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唐河县退役军人事务局</w:t>
      </w:r>
      <w:r>
        <w:rPr>
          <w:rFonts w:hint="eastAsia" w:ascii="黑体" w:hAnsi="黑体" w:eastAsia="黑体" w:cs="黑体"/>
          <w:sz w:val="44"/>
          <w:szCs w:val="44"/>
        </w:rPr>
        <w:t>信息公开事项清单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242"/>
        <w:gridCol w:w="1382"/>
        <w:gridCol w:w="1583"/>
        <w:gridCol w:w="1874"/>
        <w:gridCol w:w="2955"/>
        <w:gridCol w:w="1215"/>
        <w:gridCol w:w="645"/>
        <w:gridCol w:w="765"/>
        <w:gridCol w:w="78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Merge w:val="restart"/>
            <w:vAlign w:val="center"/>
          </w:tcPr>
          <w:p>
            <w:pPr>
              <w:jc w:val="center"/>
              <w:rPr>
                <w:rFonts w:hint="eastAsia" w:ascii="黑体" w:hAnsi="黑体" w:eastAsia="黑体" w:cs="黑体"/>
              </w:rPr>
            </w:pPr>
            <w:r>
              <w:rPr>
                <w:rFonts w:hint="eastAsia" w:ascii="黑体" w:hAnsi="黑体" w:eastAsia="黑体" w:cs="黑体"/>
              </w:rPr>
              <w:t>序号</w:t>
            </w:r>
          </w:p>
        </w:tc>
        <w:tc>
          <w:tcPr>
            <w:tcW w:w="2624" w:type="dxa"/>
            <w:gridSpan w:val="2"/>
            <w:vAlign w:val="center"/>
          </w:tcPr>
          <w:p>
            <w:pPr>
              <w:jc w:val="center"/>
              <w:rPr>
                <w:rFonts w:hint="eastAsia" w:ascii="黑体" w:hAnsi="黑体" w:eastAsia="黑体" w:cs="黑体"/>
              </w:rPr>
            </w:pPr>
            <w:r>
              <w:rPr>
                <w:rFonts w:hint="eastAsia" w:ascii="黑体" w:hAnsi="黑体" w:eastAsia="黑体" w:cs="黑体"/>
              </w:rPr>
              <w:t>公开事项</w:t>
            </w:r>
          </w:p>
        </w:tc>
        <w:tc>
          <w:tcPr>
            <w:tcW w:w="1583" w:type="dxa"/>
            <w:vMerge w:val="restart"/>
            <w:vAlign w:val="center"/>
          </w:tcPr>
          <w:p>
            <w:pPr>
              <w:jc w:val="center"/>
              <w:rPr>
                <w:rFonts w:hint="eastAsia" w:ascii="黑体" w:hAnsi="黑体" w:eastAsia="黑体" w:cs="黑体"/>
              </w:rPr>
            </w:pPr>
            <w:r>
              <w:rPr>
                <w:rFonts w:hint="eastAsia" w:ascii="黑体" w:hAnsi="黑体" w:eastAsia="黑体" w:cs="黑体"/>
              </w:rPr>
              <w:t>公开内容</w:t>
            </w:r>
          </w:p>
        </w:tc>
        <w:tc>
          <w:tcPr>
            <w:tcW w:w="1874" w:type="dxa"/>
            <w:vMerge w:val="restart"/>
            <w:vAlign w:val="center"/>
          </w:tcPr>
          <w:p>
            <w:pPr>
              <w:jc w:val="center"/>
              <w:rPr>
                <w:rFonts w:hint="eastAsia" w:ascii="黑体" w:hAnsi="黑体" w:eastAsia="黑体" w:cs="黑体"/>
              </w:rPr>
            </w:pPr>
            <w:r>
              <w:rPr>
                <w:rFonts w:hint="eastAsia" w:ascii="黑体" w:hAnsi="黑体" w:eastAsia="黑体" w:cs="黑体"/>
              </w:rPr>
              <w:t>公开依据</w:t>
            </w:r>
          </w:p>
        </w:tc>
        <w:tc>
          <w:tcPr>
            <w:tcW w:w="2955" w:type="dxa"/>
            <w:vMerge w:val="restart"/>
            <w:vAlign w:val="center"/>
          </w:tcPr>
          <w:p>
            <w:pPr>
              <w:jc w:val="center"/>
              <w:rPr>
                <w:rFonts w:hint="eastAsia" w:ascii="黑体" w:hAnsi="黑体" w:eastAsia="黑体" w:cs="黑体"/>
              </w:rPr>
            </w:pPr>
            <w:r>
              <w:rPr>
                <w:rFonts w:hint="eastAsia" w:ascii="黑体" w:hAnsi="黑体" w:eastAsia="黑体" w:cs="黑体"/>
              </w:rPr>
              <w:t>公开时限</w:t>
            </w:r>
          </w:p>
        </w:tc>
        <w:tc>
          <w:tcPr>
            <w:tcW w:w="1215" w:type="dxa"/>
            <w:vMerge w:val="restart"/>
            <w:vAlign w:val="center"/>
          </w:tcPr>
          <w:p>
            <w:pPr>
              <w:jc w:val="center"/>
              <w:rPr>
                <w:rFonts w:hint="eastAsia" w:ascii="黑体" w:hAnsi="黑体" w:eastAsia="黑体" w:cs="黑体"/>
              </w:rPr>
            </w:pPr>
            <w:r>
              <w:rPr>
                <w:rFonts w:hint="eastAsia" w:ascii="黑体" w:hAnsi="黑体" w:eastAsia="黑体" w:cs="黑体"/>
              </w:rPr>
              <w:t>公开渠道</w:t>
            </w:r>
          </w:p>
          <w:p>
            <w:pPr>
              <w:jc w:val="center"/>
              <w:rPr>
                <w:rFonts w:hint="eastAsia" w:ascii="黑体" w:hAnsi="黑体" w:eastAsia="黑体" w:cs="黑体"/>
              </w:rPr>
            </w:pPr>
            <w:r>
              <w:rPr>
                <w:rFonts w:hint="eastAsia" w:ascii="黑体" w:hAnsi="黑体" w:eastAsia="黑体" w:cs="黑体"/>
              </w:rPr>
              <w:t>和载体</w:t>
            </w:r>
          </w:p>
        </w:tc>
        <w:tc>
          <w:tcPr>
            <w:tcW w:w="1410" w:type="dxa"/>
            <w:gridSpan w:val="2"/>
            <w:vAlign w:val="center"/>
          </w:tcPr>
          <w:p>
            <w:pPr>
              <w:jc w:val="center"/>
              <w:rPr>
                <w:rFonts w:hint="eastAsia" w:ascii="黑体" w:hAnsi="黑体" w:eastAsia="黑体" w:cs="黑体"/>
              </w:rPr>
            </w:pPr>
            <w:r>
              <w:rPr>
                <w:rFonts w:hint="eastAsia" w:ascii="黑体" w:hAnsi="黑体" w:eastAsia="黑体" w:cs="黑体"/>
              </w:rPr>
              <w:t>公开对象</w:t>
            </w:r>
          </w:p>
        </w:tc>
        <w:tc>
          <w:tcPr>
            <w:tcW w:w="1559" w:type="dxa"/>
            <w:gridSpan w:val="2"/>
            <w:vAlign w:val="center"/>
          </w:tcPr>
          <w:p>
            <w:pPr>
              <w:jc w:val="center"/>
              <w:rPr>
                <w:rFonts w:hint="eastAsia" w:ascii="黑体" w:hAnsi="黑体" w:eastAsia="黑体" w:cs="黑体"/>
              </w:rPr>
            </w:pPr>
            <w:r>
              <w:rPr>
                <w:rFonts w:hint="eastAsia" w:ascii="黑体" w:hAnsi="黑体" w:eastAsia="黑体" w:cs="黑体"/>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54" w:type="dxa"/>
            <w:vMerge w:val="continue"/>
            <w:vAlign w:val="center"/>
          </w:tcPr>
          <w:p>
            <w:pPr>
              <w:jc w:val="center"/>
              <w:rPr>
                <w:rFonts w:hint="eastAsia" w:ascii="黑体" w:hAnsi="黑体" w:eastAsia="黑体" w:cs="黑体"/>
              </w:rPr>
            </w:pPr>
          </w:p>
        </w:tc>
        <w:tc>
          <w:tcPr>
            <w:tcW w:w="1242" w:type="dxa"/>
            <w:vAlign w:val="center"/>
          </w:tcPr>
          <w:p>
            <w:pPr>
              <w:jc w:val="center"/>
              <w:rPr>
                <w:rFonts w:hint="eastAsia" w:ascii="黑体" w:hAnsi="黑体" w:eastAsia="黑体" w:cs="黑体"/>
              </w:rPr>
            </w:pPr>
            <w:r>
              <w:rPr>
                <w:rFonts w:hint="eastAsia" w:ascii="黑体" w:hAnsi="黑体" w:eastAsia="黑体" w:cs="黑体"/>
              </w:rPr>
              <w:t>一级事项</w:t>
            </w:r>
          </w:p>
        </w:tc>
        <w:tc>
          <w:tcPr>
            <w:tcW w:w="1382" w:type="dxa"/>
            <w:vAlign w:val="center"/>
          </w:tcPr>
          <w:p>
            <w:pPr>
              <w:jc w:val="center"/>
              <w:rPr>
                <w:rFonts w:hint="eastAsia" w:ascii="黑体" w:hAnsi="黑体" w:eastAsia="黑体" w:cs="黑体"/>
              </w:rPr>
            </w:pPr>
            <w:r>
              <w:rPr>
                <w:rFonts w:hint="eastAsia" w:ascii="黑体" w:hAnsi="黑体" w:eastAsia="黑体" w:cs="黑体"/>
              </w:rPr>
              <w:t>二级事项</w:t>
            </w:r>
          </w:p>
        </w:tc>
        <w:tc>
          <w:tcPr>
            <w:tcW w:w="1583" w:type="dxa"/>
            <w:vMerge w:val="continue"/>
            <w:vAlign w:val="center"/>
          </w:tcPr>
          <w:p>
            <w:pPr>
              <w:jc w:val="center"/>
              <w:rPr>
                <w:rFonts w:hint="eastAsia" w:ascii="黑体" w:hAnsi="黑体" w:eastAsia="黑体" w:cs="黑体"/>
              </w:rPr>
            </w:pPr>
          </w:p>
        </w:tc>
        <w:tc>
          <w:tcPr>
            <w:tcW w:w="1874" w:type="dxa"/>
            <w:vMerge w:val="continue"/>
            <w:vAlign w:val="center"/>
          </w:tcPr>
          <w:p>
            <w:pPr>
              <w:jc w:val="center"/>
              <w:rPr>
                <w:rFonts w:hint="eastAsia" w:ascii="黑体" w:hAnsi="黑体" w:eastAsia="黑体" w:cs="黑体"/>
              </w:rPr>
            </w:pPr>
          </w:p>
        </w:tc>
        <w:tc>
          <w:tcPr>
            <w:tcW w:w="2955" w:type="dxa"/>
            <w:vMerge w:val="continue"/>
            <w:vAlign w:val="center"/>
          </w:tcPr>
          <w:p>
            <w:pPr>
              <w:jc w:val="center"/>
              <w:rPr>
                <w:rFonts w:hint="eastAsia" w:ascii="黑体" w:hAnsi="黑体" w:eastAsia="黑体" w:cs="黑体"/>
              </w:rPr>
            </w:pPr>
          </w:p>
        </w:tc>
        <w:tc>
          <w:tcPr>
            <w:tcW w:w="1215" w:type="dxa"/>
            <w:vMerge w:val="continue"/>
            <w:vAlign w:val="center"/>
          </w:tcPr>
          <w:p>
            <w:pPr>
              <w:jc w:val="center"/>
              <w:rPr>
                <w:rFonts w:hint="eastAsia" w:ascii="黑体" w:hAnsi="黑体" w:eastAsia="黑体" w:cs="黑体"/>
              </w:rPr>
            </w:pPr>
          </w:p>
        </w:tc>
        <w:tc>
          <w:tcPr>
            <w:tcW w:w="645" w:type="dxa"/>
            <w:vAlign w:val="center"/>
          </w:tcPr>
          <w:p>
            <w:pPr>
              <w:jc w:val="center"/>
              <w:rPr>
                <w:rFonts w:hint="eastAsia" w:ascii="黑体" w:hAnsi="黑体" w:eastAsia="黑体" w:cs="黑体"/>
              </w:rPr>
            </w:pPr>
            <w:r>
              <w:rPr>
                <w:rFonts w:hint="eastAsia" w:ascii="黑体" w:hAnsi="黑体" w:eastAsia="黑体" w:cs="黑体"/>
              </w:rPr>
              <w:t>全</w:t>
            </w:r>
          </w:p>
          <w:p>
            <w:pPr>
              <w:jc w:val="center"/>
              <w:rPr>
                <w:rFonts w:hint="eastAsia" w:ascii="黑体" w:hAnsi="黑体" w:eastAsia="黑体" w:cs="黑体"/>
              </w:rPr>
            </w:pPr>
            <w:r>
              <w:rPr>
                <w:rFonts w:hint="eastAsia" w:ascii="黑体" w:hAnsi="黑体" w:eastAsia="黑体" w:cs="黑体"/>
              </w:rPr>
              <w:t>社会</w:t>
            </w:r>
          </w:p>
        </w:tc>
        <w:tc>
          <w:tcPr>
            <w:tcW w:w="765" w:type="dxa"/>
            <w:vAlign w:val="center"/>
          </w:tcPr>
          <w:p>
            <w:pPr>
              <w:jc w:val="center"/>
              <w:rPr>
                <w:rFonts w:hint="eastAsia" w:ascii="黑体" w:hAnsi="黑体" w:eastAsia="黑体" w:cs="黑体"/>
              </w:rPr>
            </w:pPr>
            <w:r>
              <w:rPr>
                <w:rFonts w:hint="eastAsia" w:ascii="黑体" w:hAnsi="黑体" w:eastAsia="黑体" w:cs="黑体"/>
              </w:rPr>
              <w:t>特定对象</w:t>
            </w:r>
          </w:p>
        </w:tc>
        <w:tc>
          <w:tcPr>
            <w:tcW w:w="780" w:type="dxa"/>
            <w:vAlign w:val="center"/>
          </w:tcPr>
          <w:p>
            <w:pPr>
              <w:jc w:val="center"/>
              <w:rPr>
                <w:rFonts w:hint="eastAsia" w:ascii="黑体" w:hAnsi="黑体" w:eastAsia="黑体" w:cs="黑体"/>
              </w:rPr>
            </w:pPr>
            <w:r>
              <w:rPr>
                <w:rFonts w:hint="eastAsia" w:ascii="黑体" w:hAnsi="黑体" w:eastAsia="黑体" w:cs="黑体"/>
              </w:rPr>
              <w:t>主动公开</w:t>
            </w:r>
          </w:p>
        </w:tc>
        <w:tc>
          <w:tcPr>
            <w:tcW w:w="779" w:type="dxa"/>
            <w:vAlign w:val="center"/>
          </w:tcPr>
          <w:p>
            <w:pPr>
              <w:jc w:val="center"/>
              <w:rPr>
                <w:rFonts w:hint="eastAsia" w:ascii="黑体" w:hAnsi="黑体" w:eastAsia="黑体" w:cs="黑体"/>
              </w:rPr>
            </w:pPr>
            <w:r>
              <w:rPr>
                <w:rFonts w:hint="eastAsia" w:ascii="黑体" w:hAnsi="黑体" w:eastAsia="黑体" w:cs="黑体"/>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机构信息</w:t>
            </w:r>
          </w:p>
        </w:tc>
        <w:tc>
          <w:tcPr>
            <w:tcW w:w="13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基本信息</w:t>
            </w:r>
          </w:p>
        </w:tc>
        <w:tc>
          <w:tcPr>
            <w:tcW w:w="1583" w:type="dxa"/>
            <w:vAlign w:val="center"/>
          </w:tcPr>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1.机构名称</w:t>
            </w:r>
          </w:p>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2.联系方式</w:t>
            </w:r>
          </w:p>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3.办公地址</w:t>
            </w:r>
          </w:p>
          <w:p>
            <w:pPr>
              <w:numPr>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4.办公时间</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法定职责</w:t>
            </w:r>
          </w:p>
        </w:tc>
        <w:tc>
          <w:tcPr>
            <w:tcW w:w="1583" w:type="dxa"/>
            <w:vAlign w:val="center"/>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依据“三定”规定确定的本单位法定职责</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领导简历</w:t>
            </w:r>
          </w:p>
        </w:tc>
        <w:tc>
          <w:tcPr>
            <w:tcW w:w="1583" w:type="dxa"/>
            <w:vAlign w:val="center"/>
          </w:tcPr>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1.姓名</w:t>
            </w:r>
          </w:p>
          <w:p>
            <w:pPr>
              <w:numPr>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2.职务</w:t>
            </w:r>
          </w:p>
          <w:p>
            <w:pPr>
              <w:numPr>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3.工作分工</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内设机构</w:t>
            </w:r>
          </w:p>
        </w:tc>
        <w:tc>
          <w:tcPr>
            <w:tcW w:w="1583" w:type="dxa"/>
            <w:vAlign w:val="center"/>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1.机构名称</w:t>
            </w:r>
          </w:p>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2.负责人信息</w:t>
            </w:r>
          </w:p>
          <w:p>
            <w:pPr>
              <w:numPr>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3.主要职责</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w:t>
            </w:r>
          </w:p>
        </w:tc>
        <w:tc>
          <w:tcPr>
            <w:tcW w:w="1242" w:type="dxa"/>
            <w:vMerge w:val="continue"/>
            <w:tcBorders/>
            <w:vAlign w:val="center"/>
          </w:tcPr>
          <w:p>
            <w:pPr>
              <w:rPr>
                <w:rFonts w:hint="eastAsia" w:ascii="仿宋" w:hAnsi="仿宋" w:eastAsia="仿宋" w:cs="仿宋"/>
                <w:sz w:val="24"/>
                <w:szCs w:val="24"/>
              </w:rPr>
            </w:pPr>
          </w:p>
        </w:tc>
        <w:tc>
          <w:tcPr>
            <w:tcW w:w="1382"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下属单位</w:t>
            </w:r>
          </w:p>
        </w:tc>
        <w:tc>
          <w:tcPr>
            <w:tcW w:w="1583" w:type="dxa"/>
            <w:vAlign w:val="center"/>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1.单位名称</w:t>
            </w:r>
          </w:p>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2.负责人信息</w:t>
            </w:r>
          </w:p>
          <w:p>
            <w:pPr>
              <w:rPr>
                <w:rFonts w:hint="eastAsia" w:ascii="仿宋" w:hAnsi="仿宋" w:eastAsia="仿宋" w:cs="仿宋"/>
                <w:sz w:val="24"/>
                <w:szCs w:val="24"/>
              </w:rPr>
            </w:pPr>
            <w:r>
              <w:rPr>
                <w:rFonts w:hint="eastAsia" w:ascii="仿宋" w:hAnsi="仿宋" w:eastAsia="仿宋" w:cs="仿宋"/>
                <w:sz w:val="24"/>
                <w:szCs w:val="24"/>
                <w:lang w:val="en-US" w:eastAsia="zh-CN"/>
              </w:rPr>
              <w:t>3.主要职责</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w:t>
            </w:r>
          </w:p>
        </w:tc>
        <w:tc>
          <w:tcPr>
            <w:tcW w:w="1242"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信息公开</w:t>
            </w:r>
          </w:p>
        </w:tc>
        <w:tc>
          <w:tcPr>
            <w:tcW w:w="1382"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政府信息公开专栏</w:t>
            </w:r>
          </w:p>
        </w:tc>
        <w:tc>
          <w:tcPr>
            <w:tcW w:w="1583" w:type="dxa"/>
            <w:vAlign w:val="center"/>
          </w:tcPr>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1.信息公开指南</w:t>
            </w:r>
          </w:p>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2.信息公开制度</w:t>
            </w:r>
          </w:p>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3.法定主动公开内容</w:t>
            </w:r>
          </w:p>
          <w:p>
            <w:pPr>
              <w:numPr>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4.信息公开年报</w:t>
            </w:r>
          </w:p>
          <w:p>
            <w:pPr>
              <w:numPr>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5.政务公开事项清单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政策文件</w:t>
            </w:r>
          </w:p>
        </w:tc>
        <w:tc>
          <w:tcPr>
            <w:tcW w:w="1382"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退役军人相关政策文件</w:t>
            </w:r>
          </w:p>
        </w:tc>
        <w:tc>
          <w:tcPr>
            <w:tcW w:w="1583"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上级退役军人相关政策文件</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政策文件</w:t>
            </w:r>
          </w:p>
        </w:tc>
        <w:tc>
          <w:tcPr>
            <w:tcW w:w="1583" w:type="dxa"/>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县退役军人事务局公开发布的政策文件</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重点领域信息</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权责清单</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经相关部门核定的责任清单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规划计划</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允许对外公开的发展规划和工作计划</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955"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215"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6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65"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bl>
    <w:p>
      <w:pPr>
        <w:rPr>
          <w:rFonts w:hint="eastAsia" w:ascii="仿宋" w:hAnsi="仿宋" w:eastAsia="仿宋" w:cs="仿宋"/>
          <w:sz w:val="21"/>
          <w:szCs w:val="21"/>
        </w:rPr>
      </w:pPr>
      <w:r>
        <w:rPr>
          <w:rFonts w:hint="eastAsia" w:ascii="仿宋" w:hAnsi="仿宋" w:eastAsia="仿宋" w:cs="仿宋"/>
          <w:sz w:val="21"/>
          <w:szCs w:val="21"/>
        </w:rPr>
        <w:t>注：法律、法规、规章和国家有关规定规定应当主动公共的其他政府信息应及时列入政务公开事项清单</w:t>
      </w:r>
      <w:bookmarkStart w:id="0" w:name="_GoBack"/>
      <w:bookmarkEnd w:id="0"/>
    </w:p>
    <w:sectPr>
      <w:pgSz w:w="16838" w:h="11906" w:orient="landscape"/>
      <w:pgMar w:top="1134" w:right="1440" w:bottom="124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YTRkMTdmY2U0OGZlYWY1OGRkNGQ3ODBjMGMwYmQifQ=="/>
  </w:docVars>
  <w:rsids>
    <w:rsidRoot w:val="00000000"/>
    <w:rsid w:val="334A002F"/>
    <w:rsid w:val="64B84E5F"/>
    <w:rsid w:val="7918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1169</Characters>
  <Lines>0</Lines>
  <Paragraphs>0</Paragraphs>
  <TotalTime>10</TotalTime>
  <ScaleCrop>false</ScaleCrop>
  <LinksUpToDate>false</LinksUpToDate>
  <CharactersWithSpaces>1169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2022-06-10T02:45:00Z</dcterms:created>
  <dc:creator>thxkj</dc:creator>
  <cp:lastModifiedBy>愿无岁月可回头</cp:lastModifiedBy>
  <cp:lastPrinted>2022-06-10T03:27:29Z</cp:lastPrinted>
  <dcterms:modified xsi:type="dcterms:W3CDTF">2022-06-10T04:14:48Z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A9C14BF7912D451CB362AE6EF20D94C6</vt:lpwstr>
  </property>
</Properties>
</file>