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ascii="方正大标宋简体" w:hAnsi="方正大标宋简体"/>
          <w:b/>
          <w:bCs/>
          <w:color w:val="000000"/>
          <w:sz w:val="56"/>
          <w:szCs w:val="56"/>
        </w:rPr>
      </w:pPr>
      <w:r>
        <w:rPr>
          <w:rFonts w:ascii="方正大标宋简体" w:hAnsi="方正大标宋简体"/>
          <w:b/>
          <w:bCs/>
          <w:color w:val="000000"/>
          <w:sz w:val="56"/>
          <w:szCs w:val="56"/>
        </w:rPr>
        <w:t>镇平县</w:t>
      </w:r>
      <w:r>
        <w:rPr>
          <w:rFonts w:hint="eastAsia" w:ascii="方正大标宋简体" w:hAnsi="方正大标宋简体"/>
          <w:b/>
          <w:bCs/>
          <w:color w:val="000000"/>
          <w:sz w:val="56"/>
          <w:szCs w:val="56"/>
        </w:rPr>
        <w:t>文化艺术</w:t>
      </w:r>
      <w:r>
        <w:rPr>
          <w:rFonts w:ascii="方正大标宋简体" w:hAnsi="方正大标宋简体"/>
          <w:b/>
          <w:bCs/>
          <w:color w:val="000000"/>
          <w:sz w:val="56"/>
          <w:szCs w:val="56"/>
        </w:rPr>
        <w:t>学校</w:t>
      </w:r>
    </w:p>
    <w:p>
      <w:pPr>
        <w:pStyle w:val="7"/>
        <w:jc w:val="center"/>
        <w:rPr>
          <w:rFonts w:ascii="方正大标宋简体" w:hAnsi="方正大标宋简体"/>
          <w:b/>
          <w:bCs/>
          <w:color w:val="000000"/>
          <w:sz w:val="56"/>
          <w:szCs w:val="56"/>
        </w:rPr>
      </w:pPr>
      <w:r>
        <w:rPr>
          <w:rFonts w:ascii="方正大标宋简体" w:hAnsi="方正大标宋简体"/>
          <w:b/>
          <w:bCs/>
          <w:color w:val="000000"/>
          <w:sz w:val="56"/>
          <w:szCs w:val="56"/>
        </w:rPr>
        <w:t>质量年度报告</w:t>
      </w:r>
    </w:p>
    <w:p>
      <w:pPr>
        <w:pStyle w:val="7"/>
        <w:jc w:val="center"/>
        <w:rPr>
          <w:rFonts w:ascii="方正大标宋简体" w:hAnsi="方正大标宋简体"/>
          <w:color w:val="000000"/>
          <w:sz w:val="56"/>
          <w:szCs w:val="56"/>
        </w:rPr>
      </w:pPr>
      <w:r>
        <w:rPr>
          <w:rFonts w:ascii="方正大标宋简体" w:hAnsi="方正大标宋简体"/>
          <w:color w:val="000000"/>
          <w:sz w:val="56"/>
          <w:szCs w:val="56"/>
        </w:rPr>
        <w:t>(20</w:t>
      </w:r>
      <w:r>
        <w:rPr>
          <w:rFonts w:hint="eastAsia" w:ascii="方正大标宋简体" w:hAnsi="方正大标宋简体"/>
          <w:color w:val="000000"/>
          <w:sz w:val="56"/>
          <w:szCs w:val="56"/>
          <w:lang w:val="en-US" w:eastAsia="zh-CN"/>
        </w:rPr>
        <w:t>22</w:t>
      </w:r>
      <w:r>
        <w:rPr>
          <w:rFonts w:ascii="方正大标宋简体" w:hAnsi="方正大标宋简体"/>
          <w:color w:val="000000"/>
          <w:sz w:val="56"/>
          <w:szCs w:val="56"/>
        </w:rPr>
        <w:t>)</w:t>
      </w:r>
    </w:p>
    <w:p>
      <w:pPr>
        <w:pStyle w:val="7"/>
        <w:jc w:val="center"/>
        <w:rPr>
          <w:rFonts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drawing>
          <wp:anchor distT="0" distB="0" distL="114300" distR="114300" simplePos="0" relativeHeight="251659264" behindDoc="1" locked="0" layoutInCell="1" allowOverlap="1">
            <wp:simplePos x="0" y="0"/>
            <wp:positionH relativeFrom="column">
              <wp:posOffset>1851660</wp:posOffset>
            </wp:positionH>
            <wp:positionV relativeFrom="paragraph">
              <wp:posOffset>429260</wp:posOffset>
            </wp:positionV>
            <wp:extent cx="2359660" cy="2359660"/>
            <wp:effectExtent l="0" t="0" r="2540"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2359660" cy="2359660"/>
                    </a:xfrm>
                    <a:prstGeom prst="rect">
                      <a:avLst/>
                    </a:prstGeom>
                    <a:noFill/>
                    <a:ln>
                      <a:noFill/>
                    </a:ln>
                  </pic:spPr>
                </pic:pic>
              </a:graphicData>
            </a:graphic>
          </wp:anchor>
        </w:drawing>
      </w: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color w:val="000000"/>
          <w:sz w:val="32"/>
          <w:szCs w:val="32"/>
        </w:rPr>
      </w:pPr>
      <w:r>
        <w:rPr>
          <w:rFonts w:hint="eastAsia" w:ascii="宋体" w:hAnsi="宋体"/>
          <w:color w:val="000000"/>
          <w:sz w:val="32"/>
          <w:szCs w:val="32"/>
        </w:rPr>
        <w:t xml:space="preserve"> </w:t>
      </w:r>
    </w:p>
    <w:p>
      <w:pPr>
        <w:pStyle w:val="7"/>
        <w:jc w:val="center"/>
        <w:rPr>
          <w:rFonts w:hint="eastAsia" w:ascii="宋体" w:hAnsi="宋体"/>
          <w:b/>
          <w:bCs/>
          <w:color w:val="000000"/>
          <w:sz w:val="32"/>
          <w:szCs w:val="32"/>
        </w:rPr>
      </w:pPr>
      <w:r>
        <w:rPr>
          <w:rFonts w:hint="eastAsia" w:ascii="宋体" w:hAnsi="宋体"/>
          <w:b/>
          <w:bCs/>
          <w:color w:val="000000"/>
          <w:sz w:val="32"/>
          <w:szCs w:val="32"/>
        </w:rPr>
        <w:t xml:space="preserve"> </w:t>
      </w:r>
    </w:p>
    <w:p>
      <w:pPr>
        <w:pStyle w:val="7"/>
        <w:jc w:val="center"/>
        <w:rPr>
          <w:rFonts w:hint="eastAsia" w:ascii="黑体" w:hAnsi="黑体" w:eastAsia="黑体"/>
          <w:color w:val="000000"/>
          <w:sz w:val="44"/>
          <w:szCs w:val="44"/>
        </w:rPr>
      </w:pPr>
      <w:r>
        <w:rPr>
          <w:rFonts w:hint="eastAsia" w:ascii="黑体" w:hAnsi="黑体" w:eastAsia="黑体"/>
          <w:color w:val="000000"/>
          <w:sz w:val="44"/>
          <w:szCs w:val="44"/>
        </w:rPr>
        <w:t>20</w:t>
      </w:r>
      <w:r>
        <w:rPr>
          <w:rFonts w:hint="eastAsia" w:ascii="黑体" w:hAnsi="黑体" w:eastAsia="黑体"/>
          <w:color w:val="000000"/>
          <w:sz w:val="44"/>
          <w:szCs w:val="44"/>
          <w:lang w:val="en-US" w:eastAsia="zh-CN"/>
        </w:rPr>
        <w:t>21</w:t>
      </w:r>
      <w:r>
        <w:rPr>
          <w:rFonts w:hint="eastAsia" w:ascii="黑体" w:hAnsi="黑体" w:eastAsia="黑体"/>
          <w:color w:val="000000"/>
          <w:sz w:val="44"/>
          <w:szCs w:val="44"/>
        </w:rPr>
        <w:t>年</w:t>
      </w:r>
      <w:r>
        <w:rPr>
          <w:rFonts w:hint="eastAsia" w:ascii="黑体" w:hAnsi="黑体" w:eastAsia="黑体"/>
          <w:color w:val="000000"/>
          <w:sz w:val="44"/>
          <w:szCs w:val="44"/>
          <w:lang w:val="en-US" w:eastAsia="zh-CN"/>
        </w:rPr>
        <w:t>11</w:t>
      </w:r>
      <w:r>
        <w:rPr>
          <w:rFonts w:hint="eastAsia" w:ascii="黑体" w:hAnsi="黑体" w:eastAsia="黑体"/>
          <w:color w:val="000000"/>
          <w:sz w:val="44"/>
          <w:szCs w:val="44"/>
        </w:rPr>
        <w:t>月</w:t>
      </w:r>
    </w:p>
    <w:p>
      <w:pPr>
        <w:jc w:val="center"/>
        <w:rPr>
          <w:rFonts w:hint="eastAsia" w:ascii="新宋体" w:hAnsi="新宋体" w:eastAsia="新宋体" w:cs="Arial"/>
          <w:b/>
          <w:color w:val="000000"/>
          <w:sz w:val="44"/>
          <w:szCs w:val="44"/>
        </w:rPr>
      </w:pPr>
    </w:p>
    <w:p>
      <w:pPr>
        <w:keepNext w:val="0"/>
        <w:keepLines w:val="0"/>
        <w:pageBreakBefore w:val="0"/>
        <w:kinsoku/>
        <w:wordWrap/>
        <w:overflowPunct/>
        <w:topLinePunct w:val="0"/>
        <w:autoSpaceDN/>
        <w:bidi w:val="0"/>
        <w:adjustRightInd/>
        <w:snapToGrid/>
        <w:spacing w:line="526" w:lineRule="exact"/>
        <w:ind w:right="0" w:rightChars="0"/>
        <w:jc w:val="center"/>
        <w:textAlignment w:val="auto"/>
        <w:outlineLvl w:val="9"/>
        <w:rPr>
          <w:rFonts w:hint="eastAsia" w:ascii="新宋体" w:hAnsi="新宋体" w:eastAsia="新宋体" w:cs="Arial"/>
          <w:b/>
          <w:color w:val="000000"/>
          <w:sz w:val="44"/>
          <w:szCs w:val="44"/>
        </w:rPr>
        <w:sectPr>
          <w:pgSz w:w="11906" w:h="16838"/>
          <w:pgMar w:top="1304" w:right="1304" w:bottom="1304" w:left="1304" w:header="851" w:footer="992" w:gutter="0"/>
          <w:pgNumType w:fmt="decimal"/>
          <w:cols w:space="720" w:num="1"/>
          <w:docGrid w:type="lines" w:linePitch="312" w:charSpace="0"/>
        </w:sectPr>
      </w:pPr>
    </w:p>
    <w:p>
      <w:pPr>
        <w:pStyle w:val="7"/>
        <w:spacing w:beforeAutospacing="0" w:afterAutospacing="0"/>
        <w:jc w:val="center"/>
        <w:rPr>
          <w:rFonts w:hint="eastAsia" w:ascii="新宋体" w:hAnsi="新宋体" w:eastAsia="新宋体" w:cs="新宋体"/>
          <w:b/>
          <w:bCs/>
          <w:color w:val="000000"/>
          <w:sz w:val="32"/>
          <w:szCs w:val="32"/>
        </w:rPr>
      </w:pPr>
      <w:r>
        <w:rPr>
          <w:rFonts w:hint="eastAsia" w:ascii="新宋体" w:hAnsi="新宋体" w:eastAsia="新宋体" w:cs="新宋体"/>
          <w:b/>
          <w:bCs/>
          <w:color w:val="000000"/>
          <w:sz w:val="32"/>
          <w:szCs w:val="32"/>
        </w:rPr>
        <w:t>目   录</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ind w:left="0" w:leftChars="0" w:firstLine="0" w:firstLineChars="0"/>
        <w:textAlignment w:val="auto"/>
        <w:rPr>
          <w:rFonts w:hint="eastAsia" w:ascii="新宋体" w:hAnsi="新宋体" w:eastAsia="新宋体" w:cs="新宋体"/>
          <w:b/>
          <w:bCs/>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TOC \o "1-2" \h \u </w:instrText>
      </w:r>
      <w:r>
        <w:rPr>
          <w:rFonts w:hint="eastAsia" w:ascii="新宋体" w:hAnsi="新宋体" w:eastAsia="新宋体" w:cs="新宋体"/>
          <w:sz w:val="24"/>
          <w:szCs w:val="24"/>
        </w:rPr>
        <w:fldChar w:fldCharType="separate"/>
      </w: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_Toc30804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一、学校情况</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_Toc30946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1.学校概况</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_Toc15474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w:t>
      </w:r>
      <w:r>
        <w:rPr>
          <w:rFonts w:hint="eastAsia" w:ascii="新宋体" w:hAnsi="新宋体" w:eastAsia="新宋体" w:cs="新宋体"/>
          <w:sz w:val="24"/>
          <w:szCs w:val="24"/>
          <w:lang w:eastAsia="zh-CN"/>
        </w:rPr>
        <w:t>学生情况</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_Toc20198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3.教师队伍</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_Toc83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4.设施设备</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2</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fldChar w:fldCharType="end"/>
      </w: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_Toc12056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二、学生发展</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_Toc30946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学生素质</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_Toc15474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2.在校体验</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_Toc20198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资助情况</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_Toc83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就业质量</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_Toc28961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职业发展</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_Toc4394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三、质量保障措施</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_Toc5288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专业动态调整</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_Toc28302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教育教学改革</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5</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_Toc17959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3.教师培养培训</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_Toc6191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规范管理情况</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6</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_Toc15764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德育工作情况</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default"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_Toc6191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6.党建情况</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10</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_Toc18716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四、校企合作</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_Toc2256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lang w:eastAsia="zh-CN"/>
        </w:rPr>
        <w:t>拓宽办学思路、扩大办学规模</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_Toc25214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成立筹建委员会，加强校建和实训基地建设</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_Toc3073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3.学生实习情况</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1</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_Toc3073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4.集团化办学情况</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2</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_Toc10496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五、社会贡献</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_Toc3548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技术技能人才培养</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2</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_Toc21100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社会服务</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2</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_Toc30534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对口支援</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2</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_Toc3548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lang w:eastAsia="zh-CN"/>
        </w:rPr>
        <w:t>服务抗疫</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3</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_Toc3403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六、举办者履责</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_Toc26864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经费</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3</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_Toc14996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rPr>
        <w:t>政策措施</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3</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_Toc7898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七、特色创新</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_Toc26864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1.教师、学生在各级各类技能竞赛中屡获佳绩</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_Toc14996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2.实习和就业单位对学生素质满意度提高</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_Toc14996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3.社会影响辐射力扩大</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5"/>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b/>
          <w:bCs/>
          <w:sz w:val="24"/>
          <w:szCs w:val="24"/>
          <w:lang w:val="en-US" w:eastAsia="zh-CN"/>
        </w:rPr>
      </w:pPr>
      <w:r>
        <w:rPr>
          <w:rFonts w:hint="eastAsia" w:ascii="新宋体" w:hAnsi="新宋体" w:eastAsia="新宋体" w:cs="新宋体"/>
          <w:b/>
          <w:bCs/>
          <w:sz w:val="24"/>
          <w:szCs w:val="24"/>
        </w:rPr>
        <w:fldChar w:fldCharType="begin"/>
      </w:r>
      <w:r>
        <w:rPr>
          <w:rFonts w:hint="eastAsia" w:ascii="新宋体" w:hAnsi="新宋体" w:eastAsia="新宋体" w:cs="新宋体"/>
          <w:b/>
          <w:bCs/>
          <w:sz w:val="24"/>
          <w:szCs w:val="24"/>
        </w:rPr>
        <w:instrText xml:space="preserve"> HYPERLINK \l _Toc4517 </w:instrText>
      </w:r>
      <w:r>
        <w:rPr>
          <w:rFonts w:hint="eastAsia" w:ascii="新宋体" w:hAnsi="新宋体" w:eastAsia="新宋体" w:cs="新宋体"/>
          <w:b/>
          <w:bCs/>
          <w:sz w:val="24"/>
          <w:szCs w:val="24"/>
        </w:rPr>
        <w:fldChar w:fldCharType="separate"/>
      </w:r>
      <w:r>
        <w:rPr>
          <w:rFonts w:hint="eastAsia" w:ascii="新宋体" w:hAnsi="新宋体" w:eastAsia="新宋体" w:cs="新宋体"/>
          <w:b/>
          <w:bCs/>
          <w:sz w:val="24"/>
          <w:szCs w:val="24"/>
        </w:rPr>
        <w:t>八、主要问题和改进措施</w:t>
      </w:r>
      <w:r>
        <w:rPr>
          <w:rFonts w:hint="eastAsia" w:ascii="新宋体" w:hAnsi="新宋体" w:eastAsia="新宋体" w:cs="新宋体"/>
          <w:b/>
          <w:bCs/>
          <w:sz w:val="24"/>
          <w:szCs w:val="24"/>
        </w:rPr>
        <w:fldChar w:fldCharType="end"/>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_Toc6367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w:t>
      </w:r>
      <w:r>
        <w:rPr>
          <w:rFonts w:hint="eastAsia" w:ascii="新宋体" w:hAnsi="新宋体" w:eastAsia="新宋体" w:cs="新宋体"/>
          <w:sz w:val="24"/>
          <w:szCs w:val="24"/>
          <w:lang w:eastAsia="zh-CN"/>
        </w:rPr>
        <w:t>师资队伍结构需要进一步优化</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_Toc26900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eastAsia="zh-CN"/>
        </w:rPr>
        <w:t>现代职业教育理念待进一步提升和增强</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_Toc26900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lang w:eastAsia="zh-CN"/>
        </w:rPr>
        <w:t>教学改革需要进一步深化</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4</w:t>
      </w:r>
    </w:p>
    <w:p>
      <w:pPr>
        <w:pStyle w:val="6"/>
        <w:keepNext w:val="0"/>
        <w:keepLines w:val="0"/>
        <w:pageBreakBefore w:val="0"/>
        <w:widowControl w:val="0"/>
        <w:tabs>
          <w:tab w:val="right" w:leader="dot" w:pos="8504"/>
        </w:tabs>
        <w:kinsoku/>
        <w:wordWrap/>
        <w:overflowPunct/>
        <w:topLinePunct w:val="0"/>
        <w:autoSpaceDE/>
        <w:autoSpaceDN/>
        <w:bidi w:val="0"/>
        <w:adjustRightInd/>
        <w:snapToGrid w:val="0"/>
        <w:spacing w:line="320" w:lineRule="exact"/>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_Toc26864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4.靠租赁场地办学，难以自主发展、形成品牌</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val="en-US" w:eastAsia="zh-CN"/>
        </w:rPr>
        <w:t>5</w:t>
      </w:r>
    </w:p>
    <w:p>
      <w:pPr>
        <w:keepNext w:val="0"/>
        <w:keepLines w:val="0"/>
        <w:pageBreakBefore w:val="0"/>
        <w:kinsoku/>
        <w:wordWrap/>
        <w:overflowPunct/>
        <w:topLinePunct w:val="0"/>
        <w:autoSpaceDN/>
        <w:bidi w:val="0"/>
        <w:adjustRightInd/>
        <w:snapToGrid/>
        <w:spacing w:line="526" w:lineRule="exact"/>
        <w:ind w:right="0" w:rightChars="0"/>
        <w:jc w:val="center"/>
        <w:textAlignment w:val="auto"/>
        <w:outlineLvl w:val="9"/>
        <w:rPr>
          <w:rFonts w:hint="eastAsia" w:ascii="新宋体" w:hAnsi="新宋体" w:eastAsia="新宋体" w:cs="Arial"/>
          <w:b/>
          <w:color w:val="000000"/>
          <w:sz w:val="44"/>
          <w:szCs w:val="44"/>
        </w:rPr>
        <w:sectPr>
          <w:footerReference r:id="rId3" w:type="default"/>
          <w:pgSz w:w="11906" w:h="16838"/>
          <w:pgMar w:top="1304" w:right="1304" w:bottom="1304" w:left="1304"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新宋体" w:hAnsi="新宋体" w:eastAsia="新宋体" w:cs="新宋体"/>
          <w:sz w:val="28"/>
          <w:szCs w:val="28"/>
        </w:rPr>
      </w:pPr>
      <w:r>
        <w:rPr>
          <w:rFonts w:hint="eastAsia" w:ascii="新宋体" w:hAnsi="新宋体" w:eastAsia="新宋体" w:cs="新宋体"/>
          <w:b/>
          <w:bCs/>
          <w:sz w:val="40"/>
          <w:szCs w:val="40"/>
          <w:lang w:val="en-US" w:eastAsia="zh-CN"/>
        </w:rPr>
        <w:t>2022年镇平县文化艺术学校质量年度报告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根据河南省教育厅《关于做好2022年度职业教育质量年度报告编制和发布工作的通知》（教职成函〔2021〕632号文件精神和要求,我们认真学习了</w:t>
      </w:r>
      <w:bookmarkStart w:id="0" w:name="_GoBack"/>
      <w:bookmarkEnd w:id="0"/>
      <w:r>
        <w:rPr>
          <w:rFonts w:hint="eastAsia" w:ascii="新宋体" w:hAnsi="新宋体" w:eastAsia="新宋体" w:cs="新宋体"/>
          <w:sz w:val="28"/>
          <w:szCs w:val="28"/>
          <w:lang w:val="en-US" w:eastAsia="zh-CN"/>
        </w:rPr>
        <w:t>各级文件精神，现编制了我校2022年质量年度报告如下：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一、学校情况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1.学校概况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新宋体" w:hAnsi="新宋体" w:eastAsia="新宋体" w:cs="新宋体"/>
          <w:sz w:val="28"/>
          <w:szCs w:val="28"/>
          <w:lang w:val="en-US"/>
        </w:rPr>
      </w:pPr>
      <w:r>
        <w:rPr>
          <w:rFonts w:hint="eastAsia" w:ascii="新宋体" w:hAnsi="新宋体" w:eastAsia="新宋体" w:cs="新宋体"/>
          <w:sz w:val="28"/>
          <w:szCs w:val="28"/>
          <w:lang w:val="en-US" w:eastAsia="zh-CN"/>
        </w:rPr>
        <w:t>镇平县文化艺术学校是经河南省教育厅备案的一所全封闭寄宿制民办中等专业学校，隶属镇平县教育体育局管理。始建于2005年，位于镇平县建设路155号，2008年南阳市教育局为优化教育资源配置，整合教育资源，我校被南阳市教育局统一命名为“镇平县电子科技中等职业学校”，2017年在河南省教育厅进行中等职业学校整合时，更名为“镇平县文化艺术学校”，并于2019年从镇平县建设路155号搬迁至镇平县工业路390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2.学生情况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2021-2022学年，学历教育在校生数678人，其中包含全日制252人，非全日制426人。职业技能提升培训人数370人，学生结构如下表所示：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359"/>
        <w:gridCol w:w="1359"/>
        <w:gridCol w:w="1359"/>
        <w:gridCol w:w="1359"/>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年份</w:t>
            </w:r>
          </w:p>
        </w:tc>
        <w:tc>
          <w:tcPr>
            <w:tcW w:w="4077"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2020年</w:t>
            </w:r>
          </w:p>
        </w:tc>
        <w:tc>
          <w:tcPr>
            <w:tcW w:w="4078"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学生结构</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全日制   学历教育</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非全日制 学历教育</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技能提升 培训人数</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全日制   学历教育</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非全日制 学历教育</w:t>
            </w:r>
          </w:p>
        </w:tc>
        <w:tc>
          <w:tcPr>
            <w:tcW w:w="13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新宋体" w:hAnsi="新宋体" w:eastAsia="新宋体" w:cs="新宋体"/>
                <w:kern w:val="2"/>
                <w:sz w:val="21"/>
                <w:szCs w:val="21"/>
                <w:vertAlign w:val="baseline"/>
                <w:lang w:val="en-US" w:eastAsia="zh-CN" w:bidi="ar-SA"/>
              </w:rPr>
            </w:pPr>
            <w:r>
              <w:rPr>
                <w:rFonts w:hint="eastAsia" w:ascii="新宋体" w:hAnsi="新宋体" w:eastAsia="新宋体" w:cs="新宋体"/>
                <w:sz w:val="21"/>
                <w:szCs w:val="21"/>
                <w:vertAlign w:val="baseline"/>
                <w:lang w:val="en-US" w:eastAsia="zh-CN"/>
              </w:rPr>
              <w:t>技能提升 培训人数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在校生数</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295</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291</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472</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252</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426</w:t>
            </w:r>
          </w:p>
        </w:tc>
        <w:tc>
          <w:tcPr>
            <w:tcW w:w="13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招生数</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96</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291</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472</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103</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135</w:t>
            </w:r>
          </w:p>
        </w:tc>
        <w:tc>
          <w:tcPr>
            <w:tcW w:w="13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毕业生数</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103</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472</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105</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w:t>
            </w:r>
          </w:p>
        </w:tc>
        <w:tc>
          <w:tcPr>
            <w:tcW w:w="13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巩固率</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98%</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86%</w:t>
            </w:r>
          </w:p>
        </w:tc>
        <w:tc>
          <w:tcPr>
            <w:tcW w:w="13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w:t>
            </w:r>
          </w:p>
        </w:tc>
        <w:tc>
          <w:tcPr>
            <w:tcW w:w="13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100%</w:t>
            </w:r>
          </w:p>
        </w:tc>
      </w:tr>
    </w:tbl>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与上年度相比，全日制学历教育招生数稍有增加，但巩固率只有86%，致使全日制学历教育在校生数有所减少。非全日制学历教育招生数减少，但巩固率高，又没有到毕业学年，所以非全日制在校生数增加。技能提升培训人数比上年减少102人，相当于减少22%。</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3.教师队伍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2021-2022学年，学校教师总数为26人，其中专职教师12人，校外教师8人，行业导师4人，生师比为26：1。教师分学历情况如下表所示：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37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mc:AlternateContent>
                <mc:Choice Requires="wpsCustomData">
                  <wpsCustomData:diagonalParaType/>
                </mc:Choice>
              </mc:AlternateContent>
              <w:rPr>
                <w:rFonts w:hint="eastAsia" w:ascii="新宋体" w:hAnsi="新宋体" w:eastAsia="新宋体" w:cs="新宋体"/>
                <w:sz w:val="21"/>
                <w:szCs w:val="21"/>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专任教师</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校外教师</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行业导师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总计</w:t>
            </w: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12</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10</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大学本科</w:t>
            </w: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7</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7</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大学专科</w:t>
            </w: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5</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高中阶段以下</w:t>
            </w: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双师型教师</w:t>
            </w:r>
          </w:p>
        </w:tc>
        <w:tc>
          <w:tcPr>
            <w:tcW w:w="237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3</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2</w:t>
            </w:r>
          </w:p>
        </w:tc>
        <w:tc>
          <w:tcPr>
            <w:tcW w:w="23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新宋体" w:hAnsi="新宋体" w:eastAsia="新宋体" w:cs="新宋体"/>
                <w:sz w:val="21"/>
                <w:szCs w:val="21"/>
                <w:vertAlign w:val="baseline"/>
                <w:lang w:val="en-US" w:eastAsia="zh-CN"/>
              </w:rPr>
            </w:pPr>
            <w:r>
              <w:rPr>
                <w:rFonts w:hint="eastAsia" w:ascii="新宋体" w:hAnsi="新宋体" w:eastAsia="新宋体" w:cs="新宋体"/>
                <w:sz w:val="21"/>
                <w:szCs w:val="21"/>
                <w:vertAlign w:val="baseline"/>
                <w:lang w:val="en-US" w:eastAsia="zh-CN"/>
              </w:rPr>
              <w:t>4</w:t>
            </w: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专任教师本科以上学历占比为58.3%，双师型教师占比25%。校外教师本科以上学历占比70%，双师型教师占比20&amp;。行业导师均为本科技能型人才。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4.设施设备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教学仪器设备186.7万元，实习实训工位数215个，生均教学仪器设备值是0.27万元。学校建有千兆主干校园网、多媒体等现代化教学系统，同时拥有计算机网络教学、心理咨询服务、网上招聘信息交流等功能设施。学校现有纸质图书10000多册、电子图书1万册，图书及电子图书阅览系统可方便快捷的为师生提供书籍及报刊杂志阅览服务。与上年相比基本保持一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二、学生发展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1.学生素质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以“善学修德、精技致业”为校训，认真贯彻执行党的职业教育方针政策，注重学生综合素质的培养提高，积极推进“校企合作”办学和“学历提升”教育，逐步形成了“订单”就业和对接高校“单招”人才培养模式，认真落实河南省中等职业学校学生综合素质评价要求，建立了常态化、长效化的综合素质培养体系，以“人人皆可成才，人人尽展其才”为育人目标，开齐开足德育课，主要开设《心理健康与职业生涯》、《哲学与人生》、《职业道德与法制》、《中国特色社会主义》等系列课程，以活动为载体，弘扬社会主义核心价值观，不断提高学生的综合素质，不断提高学生学习的积极性和信心，有序开展技能训练，按照人才培养方案开展专业技能训练，学生技能水平得到明显提升，保证了学生“进得来、学得好、留得住、出得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非常重视体育测试工作，按照《国家学生体质健康标准（2014年修订）》的要求健全组织机构，制定落实学校《学生体质健康测试与上报工作实施方案》。学校根据测试项目的要求及“实施方案”，配足配齐必要的测试设施，充分利用体育课和课外活动时间，合理安排测试时间，完成各项数据的测试上报工作。工作中严肃认真，按计划进行测试，学生体质测评合格率98.9%以上。测试完成后选派业务能力强、工作认真负责的同志具体负责，将数据上报至河南省学生体质健康标准数据管理系统。今年应届毕业生中，各项数据明显优于上年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2021-2022学年，学校积极组织学生参加教育局和人社局组织的职业技能竞赛和中华优秀传统文化竞赛等活动，获得市级二等奖2项，三等奖1项。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2.在校体验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新教育理念强调教育更多的是“服务”。既然是服务，就要让被服务对象满意。为此结合我校实际组织开展“学生评教师、家长评学校、社会评教育”的“三评”活动，经“三评”统计结果，理论学习满意度91.2%，专业学习满意度94.7%，实习实训满意度93.9%，校园文化与社团满意度91.71%，生活满意度93.8%，校园安全满意度98.5%，学校还积极为毕业生提供后续管理服务和技术支撑，毕业生对学校的满意度达99.7%。</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3.资助情况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我校高度重视免学费、国家助学金以及贫困生助学工作，学校成立了以校长任组长的资助工作领导小组，制定了《镇平县文化艺术学校经济困难学生认定办法》、《镇平县文化艺术学校国家助学金、校内奖学金评选实施办法》，构建了“免、奖、助、补”的助学工作体系。助学金的发放，严格按申请、评选、公示、审核程序进行，及时足额发放。做到了“不漏一人，不少一项”，没有学生因为经济困难辍学，学生在得以安心完成学业的同时，且养成了自尊、自强、自信、自立、知恩图报的优秀品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4.就业质量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树立为毕业生就业终生服务理念，强化跟踪服务意识，建立毕业生跟踪服务长效机制，统筹安排学生毕业实习和推荐就业。与当地劳动管理部门、行业协会、企业单位建立广泛的联系，多渠道获取信息，为毕业生提供就业创业机遇。建立人才就业网络，充分利用网络技术，组织各种形式的网上招聘，实现网上供需见面，为毕业生提供方便、快捷的就业指导和服务。与企业单位订立就业实习协议，实行试就业，实习期满后，单位择优录取，实现企业与学校双赢的局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搞好就业跟踪服务是培训成效的有力保证，在实际操作过程中，学校结合实际不断充实完善，积极与用工单位或个人接洽，收集用工信息，提供就业服务，确保培训一人就业一人。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在2021年度实习就业安置中，获得苏州名硕电脑有限公司颁发的高素质技能人才基地的荣誉奖牌。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5.职业发展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通过充分的市场调研适时调整专业人才培养目标，制定专业人才培养方案，进行专业课程体系建设，遵循学生的学习规律及职业成长规律，突出学生人文素养、职业技能、职业素养等培养，加强实习实训教学改革管理，调动学生学习积极性，提高学生学习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学校积极开展学生职业生涯指导工作，通过理论指导和系列专题训练，来推进学生的职业发展。学校构建了以学生为主体、师生互动式和以学生评价为重要指标的课程教学模式，来促进学生学会学习，培养了学生的学习能力。目前，我校学生的岗位适应能力、岗位迁移能力、创新创业能力均得到了社会的好评，特别是得到了相关企业的信任。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三、质量保障措施</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1.专业动态调整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根据镇平县社会经济发展和经济结构调整的需要，改造老专业，增设新专业，加强专业内涵建设，增强专业设置与本地产业发展的吻合度。学校目前共开设有7个专业，其中包括2021年新增“计算机平面设计、数字媒体技术应用、电子商务”三个新专业。现已逐步形成专业布局合理、专业结构较为完善、质量优良、特色鲜明的专业体系，培养能适应工作变化的、知识型、发展型中等职业技能人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人才培养方案全面修订。各专业组成专家对四个专业的人才培养方案进行了全面修订。所有的人才培养方案课程包括公共基础课、专业基础课、专业技能课和拓展课程四大部分，使全校各专业的人才培养方案格式得到统一、内容得到充实、课程及学时得到重新调整，实践技能课程得到加强，并把人文素养课程融入其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下一步，学校要重点对接河南发展战略，面向我省支柱产业和新兴产业的需求再增设1-3个专业，特别是要主动对接民生等紧缺领域，加强养老服务与管理专业建设的同时，增设家政服务与托幼专业。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2.教育教学改革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完善教育教学管理机制，初步建立由行业企业技术专家、教育教学专家、学校骨干教师组成的学术委员会，并发挥在教育教学管理中的指导作用，并确立了“理论够用、强化技能、注重德育、一专多能”的教育教学改革指导思想，探索出了以“四三两突出”为总体要求的人才培养模式改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所谓“四三两突出”，主要包括“四个三”和“两个突出”。“四个三”即：①培养模式“三结合”：学校培养与用人单位培养紧密结合；课堂教学与实习实训紧密结合；专业教学与岗位实操紧密结合。②培养目标“三要求”：会干，肯干，用心干。③专业建设“三对接”：专业设置对接市场需求；课程内容对接职业标准；教学过程对接岗位工作过程。④课程体系“三衔接”：课程内容与学生知识水平相衔接；基础课程与专业课程相衔接；专业课程与职业岗位需求相衔接。“两突出”是指人才培养两突出：在教育教学过程中，突出学生职业道德教育；突出学生职业技能培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3.教师培养培训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积极落实师资提升计划，采取理论学习、校本培训、进修学习、专家指导，企业实践、社会服务等综合培养办法，提高教师职业意识、专业技能和实践教学能力。2021年，2人参加了企业实践、3人参加了高校进修，并邀请行业导师来校举办讲座5次。 同时，线上学习教师每人平均50节课以上。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同时启动名师培训工程，要求科研型名师养成研究习惯，以“全面提高教育质量”为中心工作，突出课堂教学环节，以“课堂观察”为重要手段，激励教师开展“教科、教研、教学”三位一体的研究，使得科研与教育教学相融合，让教师在自主参与、个性表达的过程中反思教学行为，提高教学效率，营造良好氛围，以完善自我、实现价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抓实课题研究，提高教师素养，发挥“科研型”教师的引领作用。通过切合实际、有特色的课堂研究，生成学校文化，组成课题研究团体，形成科研合力，以“名师课题”的方式推出名师，带动相关青年教师，实现“课题引领学科教学，科研打造名师”的目标，催生更多的“科研型教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4.规范管理情况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我校从真正的学校制度文化就是一种价值观的角度去思考学校制度文化建设，根据国家教育方针和法规，依据学校工作任务和内部管理要求，制定了相对稳定的规章制度和工作规程，并编印成《教师手册》认真学习，使学校各项工作纳入科学规范的轨道，实现学校管理工作的良性循环，通过制度让“优秀”成为每位师生的习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①以规范为坐标，完善《教育教学管理工作基本规范》。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深化教学改革，创新教学模式，基本形成以项目教学、案例教学等为主题的教学模式，注重专业教学过程与生产过程的对接，建立以教学效果评价老师、以素质能力评价学生的评价机制，修改完善《教师量化考核制度》，坚持实行学期学生评教，每两周召开一次教师教研会，全面落实教育教学质量监控和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学校遵照科学合理、精干高效、权责清晰、运转协调、信息畅通的原则</w:t>
      </w:r>
      <w:r>
        <w:rPr>
          <w:rFonts w:hint="eastAsia" w:ascii="新宋体" w:hAnsi="新宋体" w:eastAsia="新宋体" w:cs="新宋体"/>
          <w:b w:val="0"/>
          <w:bCs w:val="0"/>
          <w:sz w:val="28"/>
          <w:szCs w:val="28"/>
          <w:lang w:val="en-US" w:eastAsia="zh-CN"/>
        </w:rPr>
        <w:t>完善了《教育教学管理工作基本规范》，已形成比较健全的教育</w:t>
      </w:r>
      <w:r>
        <w:rPr>
          <w:rFonts w:hint="eastAsia" w:ascii="新宋体" w:hAnsi="新宋体" w:eastAsia="新宋体" w:cs="新宋体"/>
          <w:sz w:val="28"/>
          <w:szCs w:val="28"/>
          <w:lang w:val="en-US" w:eastAsia="zh-CN"/>
        </w:rPr>
        <w:t>教学管理组织系统，确保贯彻落实党和国家教育方针，落实立德树人根本任务，遵照职业教育法律法规，遵循职业教育教学规律和技术技能人才成长规律，坚持教育教学与生产实践相结合，实施校企合作、工学结合的人才培养模式，全面提高学生综合职业素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②以成长为指引，形成和实施学生管理制度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加强学生管理，完善《文明班级评比办法》、《文明宿舍评比办法》、《学生综合素质评定办法》等学生管理制度，使学生管理的各项工作都有章可循，通过值日领导和值周教师的工作，对各班学习、纪律、卫生、出勤等工作进行细致、全面的检查，培养了学生良好的学习、纪律、卫生等行为习惯。利用班会、节日活动、体育比赛、传统文化大赛等活动，丰富学生校园文化生活，并对学生进行文明行为养成和守纪教育、培育民族传统文化和法制教育、拓展学生个性发展和心理健康教育等，促进了学生在思想道德、行为习惯、科学文化健康等方面素质的不断提高。</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③以法律为准则，建立健全学校财务管理制度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财务管理是教育教学的“先行官”，是学校教育教学工作的有力保证，为使学校的财务管理更有效地为教育教学工作服务，我们以新的《民办教育促进法》和《民办教育促进法实施条例》的要求及国家有关学校财产管理法规制度为准则，制定和完善学校财务管理制度，资金的收入和支出严格按照学校财务管理制度和镇平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④以服务为宗旨，规范后勤管理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的后勤工作是学校工作的一个重要组成部分，后勤人员都有“兵马未动，粮草先行”的服务意识，建立有《财产财务管理制度》落实购物、领物、实物有台账，会计人员及时做好各种账务核算，同时做好固定资产的请点、核实工作。学校成立了以校长为组长的食品安全工作领导小组，处理食品突发应急预案，严格执行《食堂管理员工作职责》、《食品卫生检查制度》等管理制度，并不定期进行食堂卫生检查，确保了2021年度没有食品安全事故的发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学校还认真落实了中职生资助和贫困生减免学费补助政策，建立详细信息资料，尽最大努力解决了师生及家长的后顾之忧。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⑤以激励为导向，形成和实施教职工队伍管理制度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重视管理队伍建设，定期进行党性理论学习和廉洁自律教育，提高班子成员的党性觉悟，制定的教师绩分管理制度向教学一线倾斜，打破平均主义，能者多劳、优质多酬，合理拉开教师工资差距。其中，教师的基本工作量和超额工作量有差别；班主任班级管理效果不同，所得津贴有差别；教师参赛获奖或参与课题研究、发表论文等，根据各自不同级别和奖项有差别；教师的教学和管理情况得到学生或家长不同的评价，在绩效工资中也有差别。此外，我们还将教师考勤、技能鉴定、实习实训等工作量打包，下放到教研组考评，一方面提高了教研组的管理凝聚力，另一方面也使大家相互监督，使考评结果更加客观真实。</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⑥实施校本课程项目培训，提升教师队伍的科研能力。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继续开展每年一度的校本课程培训，即每年以专业教研组为单位，确定一个主题，在全校范围内进行理论研讨与实践，通过讲座、撰写研究报告等形式，就某一方面的专业问题探究根源、提炼思想、交流经验。进一步深化理论研讨的选题，提升实践性和科学性，完善活动的组织，提升活动的参与性与实效性。通过多渠道开展校本培训，指导一线教师全面认识和理解教育和科研成果，仔细研究教育实践转化的方式、过程和方法，真正为我所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⑦利用现代技术网络，提高管理信息化水平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2021年学校继续坚持实施中职数字化校园提升建设工程，建成学校办公管理、教务管理、科研管理、教职工档案管理、财务管理、宿舍管理、图书管理、设备与校产管理、学籍管理、学生资助管理、学生成长档案管理等系统，并与上级系统互联互通；建成学校微信公众号平台，实现学校信息通过公众号对外发布，实现家校信息网上互动交流。学校加强信息化技术培训，教师和行政管理人员的信息化能力合格率已达到97％，日常管理机制运行已初步实现无纸化、自动化、信息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5.德育工作情况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始终把学生的思想品德教育放在首位，特别注重德育工作与校园文化相结合、与新课程改革相结合、与培养学生良好行为习惯相结合，有计划的对学生的政治思想教育、道德教育、纪律教育、法制教育，增强学生的爱国主义、集体主义和社会主义的思想。我们的具体做法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①突出环境熏陶，打造学校物质文化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（1）校园环境文化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整体优化校园环境，使校园文化成为学校特色的显性标志，使他人一走进校园就能感受到浓郁的特色文化气氛。根据校园布局特点除了做一些必要的绿化外，要增加文化长廊、阅报栏、宣传橱窗、板报、雕塑等文化设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具体是在校门口宣传橱窗张贴学校简介和校园文化简表，明确学校的使命、运营理念、教学理念、育人理念、服务理念和“校风、校训、校徽、校歌”等。步入校园后的甬路建设文化长廊，宣传橱窗等。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（2）班级文化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班级文化建设是校园文化建设的重要组成部分，是形成良好班风、校风的载体和平台。班主任要发展学生个性，调动学生动手操作，合理进行教室布置，例如在教室门口墙壁上悬挂在老师指导下由学生设计的班规、班风、班级格言；再如让学生设计班级壁报、图书角、班会主题、学生评价表……学生在实际参与的过程中增知识、长才干、明道理，在营建过程中凝聚人心，形成集体。学生自觉或不自觉地把班级的目标内化为自己的追求和行动，一旦发现自己和班级的进步，获得成功喜悦，就会更加热爱自己的班级，向着更高目标攀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（3）宿舍文化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宿舍文化的布置要关注学生良好行为习惯、道德品行养成的培养，学校后勤处精心布置，内容突出人文性、知识性，且富有教育意义。基本内容包括寝室标志（门牌）、宿管人员寄语、宿舍管理制度、寄宿生名单、温馨提示语和图片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（4）处室文化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创意上要简介、大方、美观，并要找准与办学理念的结合点。比如教务处要体现“管理育人”的思想；政教处要体现“以德育人”的思想；后勤处要体现“服务育人”的思想；聊课室要体现“智慧育人”的思想；教师办公室要体现“爱心育人”的思想；体、音、美、卫生、劳技、科学等六大功能室要彰显各自特色，具有创造性。做到室室文化特色鲜明、底蕴深厚和育人效果明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（5）场地文化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要在活动场地、学生餐厅、食堂、厕所等场地写上耐人寻味、意味深长的文字将会达到意想不到的效果。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②突出精神挖掘，打造精神文化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（1）“一课”、“两会”、“一仪式”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一课”是指每周安排一节思想品德课，用讲说、绘画或书法练习的方式学习《学生守则》、《日常行为规范》等；“两会”是指晨（夕）会和班会，通过背诵国学经典、播放影视片或利用节日组织主题教育活动等，去点燃、激励、唤醒学生，让学生感悟，学会做人，养成习惯；“一仪式”是指利用升国旗仪式，有计划、有准备甚至有创意的组织国旗下讲话，使师生有兴趣、有收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（2）开辟文学社、广播站等教育渠道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要求全校师生充分认识文学社、广播站的育人功能，调动全体师生的积极性，使他们参与其中。创办文学社、广播站要高举表扬的大旗，例如开展“礼仪之星”、“文明学生”“十佳标兵”等评比创建活动，以正面教育为主，树正气压邪气；以正确的舆论引导人、以优秀的作品鼓舞人。学校还设了“教师书法周周练展板、学生书画月月展展板、学生手抄报展板”等三个宣传板面，以促进学校文学社和广播站的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（3）主题教育活动建设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各部门要根据不同时期情况，结合实际需求，开展主题教育活动，如利用植树节、母亲节、教师节、国庆节、中秋节、重阳节等重大节日，举办知识讲座、演讲比赛、经典诵读、文艺演出等活动，提升学生的文体艺术素养，促进学生健康成长，修炼和培养学生良好的思想品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6.党建情况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学校全面贯彻党的教育方针，积极探索党建和教育教学工作有机结合的有效途径，成立了党史政治理论学习活动小组，制定了切实可行的整治理论学习方案，组织好日常整治理论学习，通过学习和党员的带头与辐射，提高了全校教职工的整治素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四、校企合作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1.拓宽办学思路，扩大办学规模。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紧贴地方产业发展，创新校校联合、校企联合模式。与苏州名硕电脑有限公司签订了校企合作办学协议，开展订单式培训。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扩大招生规模，树立学校品牌。在原以就业培训为主的基础上开办“幼儿保育”与“老年人服务与管理”专业单招升学班，打造我校社会服务类高考品牌，提高社会影响力。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拓宽学生提升学历渠道，鼓励在校学生参加成人高考，与南阳职业学院、河南工业学院、信阳职业技术学院等高职高专院校积极对接，鼓励在校生参加高职高专院校单招，大面积提升学历，增强学生就业竞争力。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以全日制中等职业教育为中心，探索师徒制和弹性学制的学习方式，在办好中等职业教育的同时，还根据社会和企事业单位的需要，开展岗前培训、技能提升培训、创业培训、下岗工人再就业培训等。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2.成立筹建委员会，加强校建和实训基地建设。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成立筹建委员会和实训基地工作领导小组，全面负责实训基地建设工作，研究实训基地的建设和发展规划，确保经费投入，协调与其他部门的关系，解决实训基地建设及运行中出现的问题。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目前有“镇平县圣鑫家政服务有限公司”、“镇平县瑾瑜和年电子商务有限公司”“宏烈育才幼儿园”等三个专业实习实训基地。实习实训基地以服务市场为宗旨，以职业能力为主线，以全面的素质为目标，强化专业实用性实训，构建“教学工厂”的实训空间，培养学生德技兼备，在生产一线工作的高素质劳动者和中初级技能人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3.学生实习情况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严格按照《教育部等五部门关于印发（职业学校学生实习管理规定）的通知》精神，制定并完善我校的《学生实习工作管理制度》、《学生实习工作管理实施细则》、《学生实习安全管理制度》、《就业学生“三跟踪”管理制度》加强学生实习就业管理，做到细化管理，责任到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成立学生就业指导委员会，认真指导学生“认识实习、跟岗实习、顶岗实习”工作，指导委员会一方面及时为实习学生解决生活和实习中的困难，让他们能在实习单位安心实习；另一方面，学校能与实习单位深入交流，听取实习单位对学生、对学校的意见和建议，更好地为学生管理和专业建设服务。实现了学生、学校、实习单位三方共赢的良好局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2021年组织赴名硕电脑苏州有限公司实习，得到名硕电脑苏州有限公司的高度认可，并给我校颁发了高素质技能人才基地的荣誉奖牌。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4.集团化办学情况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积极探索集团化办学的路子，2021年学校与镇平县圣鑫家政服务有限公司合作，为我县培养培训养老护理员、家政服务员100余名，与镇平县五十多家幼儿园紧密合作，培训培养保育员100多名，所培训的养老护理员、家政服务员、保育员全部获得南阳市职业技能鉴定中心组织的等级考评证书。各合作单位开展校校互动、产教结合，加强资源共享、优势互补，达到互利共赢、共同发展，促进了我校教育向特色化、品牌化、专业化方向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五、社会贡献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1.技术技能人才培养。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目前，我校为社会各行各业输送了数以万计的技术技能人才，他们现已成为各行各业基层岗位上的业务骨干，有的成为教坛名师、劳动模范，有的成为企业家。在对2021年毕业生就业后的满意度调查中，98.8%的用人单位认为我校毕业生思想道德修养好、事业心与责任心强、专业技能过硬、求实敬业、心理素质好，协作精神好。在近3年举办的人才招聘会上，用人单位对我校毕业生需求旺盛，每年都提供1000多个就业岗位。镇平县劳动局及教育主管部门对我校办学予以高度评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2.社会服务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①积极发挥专业优势，开展各类培训和技术服务。今年，我校成功地组织了镇平县幼儿园保育员培训，镇平县养老院养老护理员、家政服务培训，电子商务专业的短视频剪辑技能培训等。共完成企业、行业和社会各类培训370余人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②开展幼儿保育和养老护理员研究，助推镇平县幼教事业和养老服务业的可持续发展。当今中国，随着幼教事业和养老服务业的不断发展和人们对幼儿保育和养老服务工作内涵的认识逐步提升，中职幼儿保育和养老服务专业必须顺应社会发展形势，满足社会需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3.对口支援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加强校校联手，不断扩大学校影响。多年来，学校广泛开展校际交流合作，先后与镇平县多家民办幼儿园建立了对口合作、支援关系，强化幼师信息技术教育、幼儿心理教育、家庭教育的培训，我校专业带头人做到送教上门、指导上门、培训上门、设备资料上门，贴心的支援，友好互助的协作，促进我校职业教育水平又上一个新的台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4.服务抗疫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 xml:space="preserve">   为切实做好常态化的疫情防控工作，“返校登记”精准摸排信息，“晨午检”实时监测健康，“今日美食”实现错峰就餐等，确保疫情工作落实到位。同时还开展了线上学习平台，让学员在手机上或电脑上足不出户就可学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六、举办者履责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1.经费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学校建立了健全的财务和资产管理制度，资金的收入和支出严格按照学校制定的财务管理制度执行，在专项资金管理上，学校明确专项资金来源，使用范围、开支标准、审批人员、权限、流程，明确了相关人员的责任，按要求、按预算、按程序管理使用好项目资金，学生助学金和免学费补贴等能及时到位，保证了财务、资产管理制度的健全、规范及执行的有效性。</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2.政策措施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强化党委领导学校发展方向，实行董事会领导下的校长负责制，定期召开党委会、董事会、校长办公会议、教职工代表大会、审议表决学校重大工作，保证政务公开透明。学校实行严格的干部管理制度，建立部门目标责任制和责任追究制。学校健全师生信访投诉制度，纪委监察室确保事事有落实，件件有回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镇平县教体局重视职业教育招生工作，将职业教育学生入学率作为初中的考核指标，加大职业教育招生宣传工作。学校办学有充分的自主权，根据学校教学需要，合理招聘教师，保证了学校教育教学工作的正常开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七、特色创新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sz w:val="28"/>
          <w:szCs w:val="28"/>
        </w:rPr>
      </w:pPr>
      <w:r>
        <w:rPr>
          <w:rFonts w:hint="eastAsia" w:ascii="新宋体" w:hAnsi="新宋体" w:eastAsia="新宋体" w:cs="新宋体"/>
          <w:b/>
          <w:bCs/>
          <w:sz w:val="28"/>
          <w:szCs w:val="28"/>
          <w:lang w:val="en-US" w:eastAsia="zh-CN"/>
        </w:rPr>
        <w:t>1.教师、学生在各级各类技能竞赛中屡获佳绩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本着“逢赛必参，逢奖必拿”的向上精神，在校内广泛开展各类专业技能竞赛的同时，还积极组织师生参加省级以上技能比赛。三年来玉雕艺术专业学生已有60余人次在省级及其以上各类大赛中获奖，2021年南阳市中等职业学校的word实用文体写作、视频剪辑和平面设计大赛上均取得优异成绩。通过大赛平台，充分展示了我校近年来在人才培养模式改革、课程建设、实践教学改革等方面取得的成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2.实习和就业单位对学生素质的满意度提高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我校自开办以来先后开办平面设计专业、电子商务专业、会计专业，毕业学员以过硬的专业技能水平赢得了行业用人单位的信任，并取得了良好的社会声誉。实习、就业满意度不断提高。</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3.社会影响辐射力扩大，慕名求合作的单位增多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经过几年的快速发展，特别是养老服务专业、幼儿保育师职业技能提升培训在我县影响不断扩大，课程建设、师资队伍、实训条件等方面均处于领先地位，许多养老院、幼儿园慕名要求合作。以一批影响广泛的“品牌班”、“示范班”为代表，“专业品牌”已初具雏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八、存在问题和改进措施</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1.师资队伍结构需要进一步优化，“双师型”教师水平有待进一步提高。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在全省及全国有影响的教学骨干、名师、学科专业带头人的数量还比较少，教师实践能力有待进一步提高，区域环境、学校自身条件和教师自身因素制约影响师资队伍整体水平的提高。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改进措施：以建设高素质“双师型”教师队伍为重点，以评选专业带头人、学科带头人、优质教学团队为抓手，强化教师专业技能和实践教学能力培训，建设综合素质高、教育教学能力强、结构合理的教育教学队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2.现代职业教育理念有待进一步提升和增强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如何更好地将社会主义核心价值观和现代职业教育理念贯彻落实到学校办学和人才培养上，还需要进一步深入思考与探索，使其更加适应当前中职学校改革发展的新要求。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改进措施：理论联系实际深入学习，剖析发展中存在的问题，进一步更新观念，理清发展思路，增强特色意识，创新人才培养模式，以提升学生思想道德修养、人文素养和综合职业能力为核心，全面提高人才培养质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val="en-US" w:eastAsia="zh-CN"/>
        </w:rPr>
        <w:t>3.教学改革需要进一步深化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b w:val="0"/>
          <w:bCs w:val="0"/>
          <w:sz w:val="28"/>
          <w:szCs w:val="28"/>
          <w:lang w:val="en-US" w:eastAsia="zh-CN"/>
        </w:rPr>
        <w:t>实践教学有待进一步提高，在不</w:t>
      </w:r>
      <w:r>
        <w:rPr>
          <w:rFonts w:hint="eastAsia" w:ascii="新宋体" w:hAnsi="新宋体" w:eastAsia="新宋体" w:cs="新宋体"/>
          <w:sz w:val="28"/>
          <w:szCs w:val="28"/>
          <w:lang w:val="en-US" w:eastAsia="zh-CN"/>
        </w:rPr>
        <w:t>同专业、某一专业不同课程之间，专业人才培养模式改革、课程体系建设以及实践教学内容、方法、条件等方面，还存在着不能很好地适应技能型人才培养的需要，课程教学实践性内容的针对性不够，缺乏强有力的社会产业和技术支持，校内外实习实训条件发展不均衡的问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改进措施：积极探索技能型人才培养有效途径，进一步全面推进课程体系改革，突出实践教学，突出校企合作，强化教育教学实践性和职业性，促进学以致用、用以促学、学用相长。增强学生实践能力、创新能力和就业竞争能力。</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lang w:val="en-US" w:eastAsia="zh-CN"/>
        </w:rPr>
        <w:t>4.靠租赁场地办学，难以自主发展、形成品牌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靠租借校舍和实习场地，已不能适应我县的实际情况，我们已了解我县乃至全国职业教育市场行情，现在如果能够努力建成自己的校舍和实习基地，学校培训规模能达到千人以上。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改进措施：积极开展职业教育各类项目创建工作，努力争取政府支持，加大校企合作的力度，从争取专项资金、政府投入、企业支持、学校自筹等多方面开展工作，不断改善学校的办学条件。争取3到5年内通过拉动企业投资建设自己的校园。我校领导班子有决心、有信心，调动一切积极因素，创造一切有利条件，直面挑战、开拓创新，发挥民办学校优势，全面推进学校建设和发展。</w:t>
      </w:r>
    </w:p>
    <w:p>
      <w:pPr>
        <w:keepNext w:val="0"/>
        <w:keepLines w:val="0"/>
        <w:pageBreakBefore w:val="0"/>
        <w:widowControl w:val="0"/>
        <w:kinsoku/>
        <w:wordWrap/>
        <w:overflowPunct/>
        <w:topLinePunct w:val="0"/>
        <w:autoSpaceDE/>
        <w:autoSpaceDN/>
        <w:bidi w:val="0"/>
        <w:adjustRightInd/>
        <w:snapToGrid/>
        <w:spacing w:line="500" w:lineRule="exact"/>
        <w:ind w:firstLine="5880" w:firstLineChars="2100"/>
        <w:textAlignment w:val="auto"/>
        <w:rPr>
          <w:rFonts w:hint="eastAsia" w:ascii="新宋体" w:hAnsi="新宋体" w:eastAsia="新宋体" w:cs="新宋体"/>
          <w:sz w:val="28"/>
          <w:szCs w:val="28"/>
        </w:rPr>
      </w:pPr>
      <w:r>
        <w:rPr>
          <w:rFonts w:hint="eastAsia" w:ascii="新宋体" w:hAnsi="新宋体" w:eastAsia="新宋体" w:cs="新宋体"/>
          <w:sz w:val="28"/>
          <w:szCs w:val="28"/>
        </w:rPr>
        <w:t>镇平县文化艺术学校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8"/>
          <w:szCs w:val="28"/>
        </w:rPr>
      </w:pPr>
      <w:r>
        <w:rPr>
          <w:rFonts w:hint="eastAsia" w:ascii="新宋体" w:hAnsi="新宋体" w:eastAsia="新宋体" w:cs="新宋体"/>
          <w:sz w:val="28"/>
          <w:szCs w:val="28"/>
          <w:lang w:val="en-US"/>
        </w:rPr>
        <w:t>                </w:t>
      </w:r>
      <w:r>
        <w:rPr>
          <w:rFonts w:hint="eastAsia" w:ascii="新宋体" w:hAnsi="新宋体" w:eastAsia="新宋体" w:cs="新宋体"/>
          <w:sz w:val="28"/>
          <w:szCs w:val="28"/>
          <w:lang w:val="en-US" w:eastAsia="zh-CN"/>
        </w:rPr>
        <w:t xml:space="preserve">        </w:t>
      </w:r>
      <w:r>
        <w:rPr>
          <w:rFonts w:hint="eastAsia" w:ascii="新宋体" w:hAnsi="新宋体" w:eastAsia="新宋体" w:cs="新宋体"/>
          <w:sz w:val="28"/>
          <w:szCs w:val="28"/>
          <w:lang w:val="en-US"/>
        </w:rPr>
        <w:t xml:space="preserve">   2021</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11</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10</w:t>
      </w:r>
      <w:r>
        <w:rPr>
          <w:rFonts w:hint="eastAsia" w:ascii="新宋体" w:hAnsi="新宋体" w:eastAsia="新宋体" w:cs="新宋体"/>
          <w:sz w:val="28"/>
          <w:szCs w:val="28"/>
        </w:rPr>
        <w:t>日</w:t>
      </w:r>
    </w:p>
    <w:sectPr>
      <w:footerReference r:id="rId4" w:type="default"/>
      <w:pgSz w:w="11906" w:h="16838"/>
      <w:pgMar w:top="1304" w:right="1304" w:bottom="1304" w:left="130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大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812"/>
    <w:rsid w:val="000D017D"/>
    <w:rsid w:val="00140956"/>
    <w:rsid w:val="00227D35"/>
    <w:rsid w:val="00264272"/>
    <w:rsid w:val="002821C2"/>
    <w:rsid w:val="0028378D"/>
    <w:rsid w:val="002E2660"/>
    <w:rsid w:val="00316A76"/>
    <w:rsid w:val="003204FA"/>
    <w:rsid w:val="00383EC9"/>
    <w:rsid w:val="00414B1F"/>
    <w:rsid w:val="00416939"/>
    <w:rsid w:val="00593C88"/>
    <w:rsid w:val="005A0F1A"/>
    <w:rsid w:val="005A4F77"/>
    <w:rsid w:val="005A6A97"/>
    <w:rsid w:val="005B672C"/>
    <w:rsid w:val="005F7214"/>
    <w:rsid w:val="00674C4A"/>
    <w:rsid w:val="006F390B"/>
    <w:rsid w:val="007B2849"/>
    <w:rsid w:val="007F5F1E"/>
    <w:rsid w:val="008500BE"/>
    <w:rsid w:val="008C079C"/>
    <w:rsid w:val="008D3C2A"/>
    <w:rsid w:val="00950852"/>
    <w:rsid w:val="00962F94"/>
    <w:rsid w:val="009B2AEB"/>
    <w:rsid w:val="009F2012"/>
    <w:rsid w:val="009F5F02"/>
    <w:rsid w:val="00A12119"/>
    <w:rsid w:val="00A12BE8"/>
    <w:rsid w:val="00B21408"/>
    <w:rsid w:val="00B92E2A"/>
    <w:rsid w:val="00BA3043"/>
    <w:rsid w:val="00DF105E"/>
    <w:rsid w:val="00DF7D31"/>
    <w:rsid w:val="00E34AF4"/>
    <w:rsid w:val="00E977F6"/>
    <w:rsid w:val="00F1111F"/>
    <w:rsid w:val="00F3029F"/>
    <w:rsid w:val="00F62AF1"/>
    <w:rsid w:val="00FE56CF"/>
    <w:rsid w:val="01C64A27"/>
    <w:rsid w:val="038B5DB5"/>
    <w:rsid w:val="07DD06DB"/>
    <w:rsid w:val="09920988"/>
    <w:rsid w:val="10006933"/>
    <w:rsid w:val="135A4F50"/>
    <w:rsid w:val="13BB097D"/>
    <w:rsid w:val="13FA1142"/>
    <w:rsid w:val="16184892"/>
    <w:rsid w:val="20F403D5"/>
    <w:rsid w:val="2CD67752"/>
    <w:rsid w:val="2D022513"/>
    <w:rsid w:val="2F6E1E40"/>
    <w:rsid w:val="31D25B77"/>
    <w:rsid w:val="32E801DE"/>
    <w:rsid w:val="32F07777"/>
    <w:rsid w:val="37005604"/>
    <w:rsid w:val="38092629"/>
    <w:rsid w:val="3A5B1CAF"/>
    <w:rsid w:val="3B6C4E56"/>
    <w:rsid w:val="40284676"/>
    <w:rsid w:val="417A4BD4"/>
    <w:rsid w:val="423E1578"/>
    <w:rsid w:val="447315D7"/>
    <w:rsid w:val="477B3D85"/>
    <w:rsid w:val="49B8108C"/>
    <w:rsid w:val="4CEE47F9"/>
    <w:rsid w:val="4CF63CFA"/>
    <w:rsid w:val="4F050E86"/>
    <w:rsid w:val="535A3698"/>
    <w:rsid w:val="54B624BD"/>
    <w:rsid w:val="577634B8"/>
    <w:rsid w:val="59E9738F"/>
    <w:rsid w:val="5DDB62C9"/>
    <w:rsid w:val="61C219D5"/>
    <w:rsid w:val="63942BCE"/>
    <w:rsid w:val="641D28BC"/>
    <w:rsid w:val="66051B00"/>
    <w:rsid w:val="67530B4C"/>
    <w:rsid w:val="688B78B3"/>
    <w:rsid w:val="6A1A3E93"/>
    <w:rsid w:val="6A2D3A69"/>
    <w:rsid w:val="6D0458FB"/>
    <w:rsid w:val="6D3D2C10"/>
    <w:rsid w:val="6F4932E8"/>
    <w:rsid w:val="74707D4E"/>
    <w:rsid w:val="77DA7C35"/>
    <w:rsid w:val="7A3F6DDB"/>
    <w:rsid w:val="7AA24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iPriority w:val="0"/>
    <w:pPr>
      <w:keepNext/>
      <w:keepLines/>
      <w:widowControl w:val="0"/>
      <w:suppressLineNumbers w:val="0"/>
      <w:spacing w:before="0" w:beforeAutospacing="0" w:after="0" w:afterAutospacing="0" w:line="412" w:lineRule="auto"/>
      <w:ind w:left="0" w:right="0"/>
      <w:jc w:val="both"/>
      <w:outlineLvl w:val="1"/>
    </w:pPr>
    <w:rPr>
      <w:rFonts w:ascii="Arial" w:hAnsi="Arial" w:eastAsia="黑体" w:cs="Times New Roman"/>
      <w:b/>
      <w:kern w:val="2"/>
      <w:sz w:val="32"/>
      <w:szCs w:val="24"/>
      <w:lang w:val="en-US" w:eastAsia="zh-CN" w:bidi="ar"/>
    </w:rPr>
  </w:style>
  <w:style w:type="character" w:default="1" w:styleId="10">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uiPriority w:val="0"/>
    <w:pPr>
      <w:spacing w:before="100" w:beforeAutospacing="1" w:after="100" w:afterAutospacing="1"/>
      <w:jc w:val="left"/>
    </w:pPr>
    <w:rPr>
      <w:rFonts w:ascii="Calibri" w:hAnsi="Calibri" w:eastAsia="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000FF"/>
      <w:u w:val="single"/>
    </w:rPr>
  </w:style>
  <w:style w:type="character" w:customStyle="1" w:styleId="12">
    <w:name w:val="NormalCharacter"/>
    <w:semiHidden/>
    <w:qFormat/>
    <w:uiPriority w:val="0"/>
    <w:rPr>
      <w:rFonts w:eastAsia="仿宋_GB2312"/>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11443</Words>
  <Characters>11774</Characters>
  <Lines>350</Lines>
  <Paragraphs>116</Paragraphs>
  <TotalTime>5</TotalTime>
  <ScaleCrop>false</ScaleCrop>
  <LinksUpToDate>false</LinksUpToDate>
  <CharactersWithSpaces>17896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2018-03-14T03:16:00Z</dcterms:created>
  <dc:creator>walkinnet</dc:creator>
  <cp:lastModifiedBy>马山口镇宏烈育才学校</cp:lastModifiedBy>
  <cp:lastPrinted>2021-11-11T02:52:00Z</cp:lastPrinted>
  <dcterms:modified xsi:type="dcterms:W3CDTF">2021-11-11T03:58:08Z</dcterms:modified>
  <dc:title>镇平县文化艺术学校</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3737A1A722F64AE69D44ED5FD834821C</vt:lpwstr>
  </property>
</Properties>
</file>