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spacing w:val="-48"/>
          <w:sz w:val="44"/>
          <w:szCs w:val="44"/>
        </w:rPr>
      </w:pPr>
    </w:p>
    <w:p>
      <w:pPr>
        <w:rPr>
          <w:rFonts w:ascii="黑体" w:eastAsia="黑体"/>
          <w:spacing w:val="-48"/>
          <w:sz w:val="44"/>
          <w:szCs w:val="44"/>
        </w:rPr>
      </w:pPr>
    </w:p>
    <w:p>
      <w:pPr>
        <w:rPr>
          <w:rFonts w:ascii="黑体" w:eastAsia="黑体"/>
          <w:spacing w:val="-48"/>
          <w:sz w:val="44"/>
          <w:szCs w:val="44"/>
        </w:rPr>
      </w:pPr>
    </w:p>
    <w:p>
      <w:pPr>
        <w:rPr>
          <w:rFonts w:ascii="黑体" w:eastAsia="黑体"/>
          <w:b/>
          <w:sz w:val="72"/>
          <w:szCs w:val="72"/>
        </w:rPr>
      </w:pPr>
      <w:bookmarkStart w:id="0" w:name="_Toc14890_WPSOffice_Type1"/>
      <w:r>
        <w:rPr>
          <w:rFonts w:hint="eastAsia" w:ascii="黑体" w:eastAsia="黑体"/>
          <w:b/>
          <w:sz w:val="72"/>
          <w:szCs w:val="72"/>
        </w:rPr>
        <w:t>2022年南阳中医药学校</w:t>
      </w:r>
    </w:p>
    <w:p>
      <w:pPr>
        <w:rPr>
          <w:rFonts w:ascii="黑体" w:eastAsia="黑体"/>
          <w:b/>
          <w:sz w:val="72"/>
          <w:szCs w:val="72"/>
        </w:rPr>
      </w:pPr>
      <w:r>
        <w:rPr>
          <w:rFonts w:hint="eastAsia" w:ascii="黑体" w:eastAsia="黑体"/>
          <w:b/>
          <w:sz w:val="72"/>
          <w:szCs w:val="72"/>
        </w:rPr>
        <w:t>质量年度报告</w:t>
      </w:r>
    </w:p>
    <w:p>
      <w:pPr>
        <w:rPr>
          <w:rFonts w:ascii="黑体" w:eastAsia="黑体"/>
          <w:b/>
          <w:sz w:val="72"/>
          <w:szCs w:val="72"/>
        </w:rPr>
      </w:pPr>
    </w:p>
    <w:p>
      <w:pPr>
        <w:rPr>
          <w:rFonts w:ascii="黑体" w:eastAsia="黑体"/>
          <w:b/>
          <w:sz w:val="72"/>
          <w:szCs w:val="72"/>
        </w:rPr>
      </w:pPr>
    </w:p>
    <w:p>
      <w:pPr>
        <w:rPr>
          <w:rFonts w:ascii="黑体" w:eastAsia="黑体"/>
          <w:b/>
          <w:sz w:val="72"/>
          <w:szCs w:val="72"/>
        </w:rPr>
      </w:pPr>
    </w:p>
    <w:p>
      <w:pPr>
        <w:rPr>
          <w:rFonts w:ascii="黑体" w:eastAsia="黑体"/>
          <w:b/>
          <w:sz w:val="72"/>
          <w:szCs w:val="72"/>
        </w:rPr>
      </w:pPr>
    </w:p>
    <w:p>
      <w:pPr>
        <w:rPr>
          <w:rFonts w:ascii="黑体" w:eastAsia="黑体"/>
          <w:b/>
          <w:sz w:val="72"/>
          <w:szCs w:val="72"/>
        </w:rPr>
      </w:pPr>
    </w:p>
    <w:p>
      <w:pPr>
        <w:rPr>
          <w:rFonts w:ascii="黑体" w:eastAsia="黑体"/>
          <w:b/>
          <w:sz w:val="72"/>
          <w:szCs w:val="72"/>
        </w:rPr>
      </w:pPr>
    </w:p>
    <w:p>
      <w:pPr>
        <w:rPr>
          <w:rFonts w:ascii="黑体" w:eastAsia="黑体"/>
          <w:b/>
          <w:sz w:val="72"/>
          <w:szCs w:val="72"/>
        </w:rPr>
      </w:pPr>
    </w:p>
    <w:p>
      <w:pPr>
        <w:rPr>
          <w:rFonts w:ascii="黑体" w:eastAsia="黑体"/>
          <w:b/>
          <w:sz w:val="72"/>
          <w:szCs w:val="72"/>
        </w:rPr>
      </w:pPr>
    </w:p>
    <w:p>
      <w:pPr>
        <w:rPr>
          <w:rFonts w:ascii="黑体" w:eastAsia="黑体"/>
          <w:b/>
          <w:sz w:val="72"/>
          <w:szCs w:val="72"/>
        </w:rPr>
      </w:pPr>
    </w:p>
    <w:p>
      <w:pPr>
        <w:rPr>
          <w:rFonts w:ascii="黑体" w:eastAsia="黑体"/>
          <w:b/>
          <w:sz w:val="52"/>
          <w:szCs w:val="52"/>
        </w:rPr>
      </w:pPr>
      <w:r>
        <w:rPr>
          <w:rFonts w:hint="eastAsia" w:ascii="黑体" w:eastAsia="黑体"/>
          <w:b/>
          <w:sz w:val="52"/>
          <w:szCs w:val="52"/>
        </w:rPr>
        <w:t>2021年11月</w:t>
      </w:r>
    </w:p>
    <w:p>
      <w:pPr>
        <w:widowControl/>
        <w:spacing w:line="240" w:lineRule="auto"/>
        <w:jc w:val="left"/>
        <w:rPr>
          <w:b/>
          <w:bCs/>
          <w:sz w:val="36"/>
          <w:szCs w:val="36"/>
        </w:rPr>
      </w:pPr>
      <w:r>
        <w:rPr>
          <w:rFonts w:ascii="黑体" w:eastAsia="黑体"/>
          <w:sz w:val="52"/>
          <w:szCs w:val="52"/>
        </w:rPr>
        <w:br w:type="page"/>
      </w:r>
    </w:p>
    <w:sdt>
      <w:sdtPr>
        <w:rPr>
          <w:rFonts w:ascii="仿宋" w:hAnsi="仿宋" w:eastAsia="仿宋" w:cs="Times New Roman"/>
          <w:b w:val="0"/>
          <w:bCs w:val="0"/>
          <w:color w:val="auto"/>
          <w:kern w:val="2"/>
          <w:sz w:val="21"/>
          <w:szCs w:val="22"/>
          <w:lang w:val="zh-CN"/>
        </w:rPr>
        <w:id w:val="366068969"/>
        <w:docPartObj>
          <w:docPartGallery w:val="Table of Contents"/>
          <w:docPartUnique/>
        </w:docPartObj>
      </w:sdtPr>
      <w:sdtEndPr>
        <w:rPr>
          <w:rFonts w:ascii="仿宋" w:hAnsi="仿宋" w:eastAsia="仿宋" w:cs="Times New Roman"/>
          <w:b w:val="0"/>
          <w:bCs w:val="0"/>
          <w:color w:val="auto"/>
          <w:kern w:val="2"/>
          <w:sz w:val="21"/>
          <w:szCs w:val="22"/>
          <w:lang w:val="en-US"/>
        </w:rPr>
      </w:sdtEndPr>
      <w:sdtContent>
        <w:p>
          <w:pPr>
            <w:pStyle w:val="46"/>
            <w:jc w:val="center"/>
            <w:rPr>
              <w:color w:val="auto"/>
            </w:rPr>
          </w:pPr>
          <w:r>
            <w:rPr>
              <w:color w:val="auto"/>
              <w:lang w:val="zh-CN"/>
            </w:rPr>
            <w:t>目</w:t>
          </w:r>
          <w:r>
            <w:rPr>
              <w:rFonts w:hint="eastAsia"/>
              <w:color w:val="auto"/>
              <w:lang w:val="zh-CN"/>
            </w:rPr>
            <w:t xml:space="preserve">  </w:t>
          </w:r>
          <w:r>
            <w:rPr>
              <w:color w:val="auto"/>
              <w:lang w:val="zh-CN"/>
            </w:rPr>
            <w:t>录</w:t>
          </w:r>
        </w:p>
        <w:p>
          <w:pPr>
            <w:pStyle w:val="11"/>
            <w:tabs>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"_Toc88032463" </w:instrText>
          </w:r>
          <w:r>
            <w:fldChar w:fldCharType="separate"/>
          </w:r>
          <w:r>
            <w:rPr>
              <w:rStyle w:val="21"/>
            </w:rPr>
            <w:t xml:space="preserve">1 </w:t>
          </w:r>
          <w:r>
            <w:rPr>
              <w:rStyle w:val="21"/>
              <w:rFonts w:hint="eastAsia"/>
            </w:rPr>
            <w:t>学校情况</w:t>
          </w:r>
          <w:r>
            <w:tab/>
          </w:r>
          <w:r>
            <w:fldChar w:fldCharType="begin"/>
          </w:r>
          <w:r>
            <w:instrText xml:space="preserve"> PAGEREF _Toc88032463 \h </w:instrText>
          </w:r>
          <w:r>
            <w:fldChar w:fldCharType="separate"/>
          </w:r>
          <w:r>
            <w:t>1</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"_Toc88032464" </w:instrText>
          </w:r>
          <w:r>
            <w:fldChar w:fldCharType="separate"/>
          </w:r>
          <w:r>
            <w:rPr>
              <w:rStyle w:val="21"/>
            </w:rPr>
            <w:t xml:space="preserve">1.1 </w:t>
          </w:r>
          <w:r>
            <w:rPr>
              <w:rStyle w:val="21"/>
              <w:rFonts w:hint="eastAsia"/>
            </w:rPr>
            <w:t>学校概况</w:t>
          </w:r>
          <w:r>
            <w:tab/>
          </w:r>
          <w:r>
            <w:fldChar w:fldCharType="begin"/>
          </w:r>
          <w:r>
            <w:instrText xml:space="preserve"> PAGEREF _Toc88032464 \h </w:instrText>
          </w:r>
          <w:r>
            <w:fldChar w:fldCharType="separate"/>
          </w:r>
          <w:r>
            <w:t>1</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"_Toc88032465" </w:instrText>
          </w:r>
          <w:r>
            <w:fldChar w:fldCharType="separate"/>
          </w:r>
          <w:r>
            <w:rPr>
              <w:rStyle w:val="21"/>
            </w:rPr>
            <w:t xml:space="preserve">1.2 </w:t>
          </w:r>
          <w:r>
            <w:rPr>
              <w:rStyle w:val="21"/>
              <w:rFonts w:hint="eastAsia"/>
            </w:rPr>
            <w:t>学生情况</w:t>
          </w:r>
          <w:r>
            <w:tab/>
          </w:r>
          <w:r>
            <w:fldChar w:fldCharType="begin"/>
          </w:r>
          <w:r>
            <w:instrText xml:space="preserve"> PAGEREF _Toc88032465 \h </w:instrText>
          </w:r>
          <w:r>
            <w:fldChar w:fldCharType="separate"/>
          </w:r>
          <w:r>
            <w:t>1</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"_Toc88032466" </w:instrText>
          </w:r>
          <w:r>
            <w:fldChar w:fldCharType="separate"/>
          </w:r>
          <w:r>
            <w:rPr>
              <w:rStyle w:val="21"/>
            </w:rPr>
            <w:t xml:space="preserve">1.3 </w:t>
          </w:r>
          <w:r>
            <w:rPr>
              <w:rStyle w:val="21"/>
              <w:rFonts w:hint="eastAsia"/>
            </w:rPr>
            <w:t>教师队伍</w:t>
          </w:r>
          <w:r>
            <w:tab/>
          </w:r>
          <w:r>
            <w:fldChar w:fldCharType="begin"/>
          </w:r>
          <w:r>
            <w:instrText xml:space="preserve"> PAGEREF _Toc88032466 \h </w:instrText>
          </w:r>
          <w:r>
            <w:fldChar w:fldCharType="separate"/>
          </w:r>
          <w:r>
            <w:t>2</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"_Toc88032467" </w:instrText>
          </w:r>
          <w:r>
            <w:fldChar w:fldCharType="separate"/>
          </w:r>
          <w:r>
            <w:rPr>
              <w:rStyle w:val="21"/>
            </w:rPr>
            <w:t xml:space="preserve">1.4 </w:t>
          </w:r>
          <w:r>
            <w:rPr>
              <w:rStyle w:val="21"/>
              <w:rFonts w:hint="eastAsia"/>
            </w:rPr>
            <w:t>设施设备</w:t>
          </w:r>
          <w:r>
            <w:tab/>
          </w:r>
          <w:r>
            <w:fldChar w:fldCharType="begin"/>
          </w:r>
          <w:r>
            <w:instrText xml:space="preserve"> PAGEREF _Toc88032467 \h </w:instrText>
          </w:r>
          <w:r>
            <w:fldChar w:fldCharType="separate"/>
          </w:r>
          <w:r>
            <w:t>3</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"_Toc88032468" </w:instrText>
          </w:r>
          <w:r>
            <w:fldChar w:fldCharType="separate"/>
          </w:r>
          <w:r>
            <w:rPr>
              <w:rStyle w:val="21"/>
            </w:rPr>
            <w:t xml:space="preserve">2 </w:t>
          </w:r>
          <w:r>
            <w:rPr>
              <w:rStyle w:val="21"/>
              <w:rFonts w:hint="eastAsia"/>
            </w:rPr>
            <w:t>学生发展</w:t>
          </w:r>
          <w:r>
            <w:tab/>
          </w:r>
          <w:r>
            <w:fldChar w:fldCharType="begin"/>
          </w:r>
          <w:r>
            <w:instrText xml:space="preserve"> PAGEREF _Toc88032468 \h </w:instrText>
          </w:r>
          <w:r>
            <w:fldChar w:fldCharType="separate"/>
          </w:r>
          <w:r>
            <w:t>4</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"_Toc88032469" </w:instrText>
          </w:r>
          <w:r>
            <w:fldChar w:fldCharType="separate"/>
          </w:r>
          <w:r>
            <w:rPr>
              <w:rStyle w:val="21"/>
            </w:rPr>
            <w:t xml:space="preserve">2.1 </w:t>
          </w:r>
          <w:r>
            <w:rPr>
              <w:rStyle w:val="21"/>
              <w:rFonts w:hint="eastAsia"/>
            </w:rPr>
            <w:t>学生素质</w:t>
          </w:r>
          <w:r>
            <w:tab/>
          </w:r>
          <w:r>
            <w:fldChar w:fldCharType="begin"/>
          </w:r>
          <w:r>
            <w:instrText xml:space="preserve"> PAGEREF _Toc88032469 \h </w:instrText>
          </w:r>
          <w:r>
            <w:fldChar w:fldCharType="separate"/>
          </w:r>
          <w:r>
            <w:t>4</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"_Toc88032470" </w:instrText>
          </w:r>
          <w:r>
            <w:fldChar w:fldCharType="separate"/>
          </w:r>
          <w:r>
            <w:rPr>
              <w:rStyle w:val="21"/>
            </w:rPr>
            <w:t xml:space="preserve">2.2 </w:t>
          </w:r>
          <w:r>
            <w:rPr>
              <w:rStyle w:val="21"/>
              <w:rFonts w:hint="eastAsia"/>
            </w:rPr>
            <w:t>在校体验</w:t>
          </w:r>
          <w:r>
            <w:tab/>
          </w:r>
          <w:r>
            <w:fldChar w:fldCharType="begin"/>
          </w:r>
          <w:r>
            <w:instrText xml:space="preserve"> PAGEREF _Toc88032470 \h </w:instrText>
          </w:r>
          <w:r>
            <w:fldChar w:fldCharType="separate"/>
          </w:r>
          <w:r>
            <w:t>6</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"_Toc88032471" </w:instrText>
          </w:r>
          <w:r>
            <w:fldChar w:fldCharType="separate"/>
          </w:r>
          <w:r>
            <w:rPr>
              <w:rStyle w:val="21"/>
            </w:rPr>
            <w:t xml:space="preserve">2.3 </w:t>
          </w:r>
          <w:r>
            <w:rPr>
              <w:rStyle w:val="21"/>
              <w:rFonts w:hint="eastAsia"/>
            </w:rPr>
            <w:t>资助情况</w:t>
          </w:r>
          <w:r>
            <w:tab/>
          </w:r>
          <w:r>
            <w:fldChar w:fldCharType="begin"/>
          </w:r>
          <w:r>
            <w:instrText xml:space="preserve"> PAGEREF _Toc88032471 \h </w:instrText>
          </w:r>
          <w:r>
            <w:fldChar w:fldCharType="separate"/>
          </w:r>
          <w:r>
            <w:t>11</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"_Toc88032472" </w:instrText>
          </w:r>
          <w:r>
            <w:fldChar w:fldCharType="separate"/>
          </w:r>
          <w:r>
            <w:rPr>
              <w:rStyle w:val="21"/>
            </w:rPr>
            <w:t xml:space="preserve">2.4 </w:t>
          </w:r>
          <w:r>
            <w:rPr>
              <w:rStyle w:val="21"/>
              <w:rFonts w:hint="eastAsia"/>
            </w:rPr>
            <w:t>就业质量</w:t>
          </w:r>
          <w:r>
            <w:tab/>
          </w:r>
          <w:r>
            <w:fldChar w:fldCharType="begin"/>
          </w:r>
          <w:r>
            <w:instrText xml:space="preserve"> PAGEREF _Toc88032472 \h </w:instrText>
          </w:r>
          <w:r>
            <w:fldChar w:fldCharType="separate"/>
          </w:r>
          <w:r>
            <w:t>12</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"_Toc88032473" </w:instrText>
          </w:r>
          <w:r>
            <w:fldChar w:fldCharType="separate"/>
          </w:r>
          <w:r>
            <w:rPr>
              <w:rStyle w:val="21"/>
            </w:rPr>
            <w:t xml:space="preserve">2.5 </w:t>
          </w:r>
          <w:r>
            <w:rPr>
              <w:rStyle w:val="21"/>
              <w:rFonts w:hint="eastAsia"/>
            </w:rPr>
            <w:t>职业发展</w:t>
          </w:r>
          <w:r>
            <w:tab/>
          </w:r>
          <w:r>
            <w:fldChar w:fldCharType="begin"/>
          </w:r>
          <w:r>
            <w:instrText xml:space="preserve"> PAGEREF _Toc88032473 \h </w:instrText>
          </w:r>
          <w:r>
            <w:fldChar w:fldCharType="separate"/>
          </w:r>
          <w:r>
            <w:t>13</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"_Toc88032474" </w:instrText>
          </w:r>
          <w:r>
            <w:fldChar w:fldCharType="separate"/>
          </w:r>
          <w:r>
            <w:rPr>
              <w:rStyle w:val="21"/>
              <w:rFonts w:cs="仿宋"/>
            </w:rPr>
            <w:t xml:space="preserve">3 </w:t>
          </w:r>
          <w:r>
            <w:rPr>
              <w:rStyle w:val="21"/>
              <w:rFonts w:hint="eastAsia" w:cs="仿宋"/>
            </w:rPr>
            <w:t>质量保障措施</w:t>
          </w:r>
          <w:r>
            <w:tab/>
          </w:r>
          <w:r>
            <w:fldChar w:fldCharType="begin"/>
          </w:r>
          <w:r>
            <w:instrText xml:space="preserve"> PAGEREF _Toc88032474 \h </w:instrText>
          </w:r>
          <w:r>
            <w:fldChar w:fldCharType="separate"/>
          </w:r>
          <w:r>
            <w:t>15</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"_Toc88032475" </w:instrText>
          </w:r>
          <w:r>
            <w:fldChar w:fldCharType="separate"/>
          </w:r>
          <w:r>
            <w:rPr>
              <w:rStyle w:val="21"/>
            </w:rPr>
            <w:t xml:space="preserve">3.1 </w:t>
          </w:r>
          <w:r>
            <w:rPr>
              <w:rStyle w:val="21"/>
              <w:rFonts w:hint="eastAsia"/>
            </w:rPr>
            <w:t>专业动态调整</w:t>
          </w:r>
          <w:r>
            <w:tab/>
          </w:r>
          <w:r>
            <w:fldChar w:fldCharType="begin"/>
          </w:r>
          <w:r>
            <w:instrText xml:space="preserve"> PAGEREF _Toc88032475 \h </w:instrText>
          </w:r>
          <w:r>
            <w:fldChar w:fldCharType="separate"/>
          </w:r>
          <w:r>
            <w:t>15</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"_Toc88032476" </w:instrText>
          </w:r>
          <w:r>
            <w:fldChar w:fldCharType="separate"/>
          </w:r>
          <w:r>
            <w:rPr>
              <w:rStyle w:val="21"/>
            </w:rPr>
            <w:t xml:space="preserve">3.2 </w:t>
          </w:r>
          <w:r>
            <w:rPr>
              <w:rStyle w:val="21"/>
              <w:rFonts w:hint="eastAsia"/>
            </w:rPr>
            <w:t>教育教学改革</w:t>
          </w:r>
          <w:r>
            <w:tab/>
          </w:r>
          <w:r>
            <w:fldChar w:fldCharType="begin"/>
          </w:r>
          <w:r>
            <w:instrText xml:space="preserve"> PAGEREF _Toc88032476 \h </w:instrText>
          </w:r>
          <w:r>
            <w:fldChar w:fldCharType="separate"/>
          </w:r>
          <w:r>
            <w:t>16</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"_Toc88032477" </w:instrText>
          </w:r>
          <w:r>
            <w:fldChar w:fldCharType="separate"/>
          </w:r>
          <w:r>
            <w:rPr>
              <w:rStyle w:val="21"/>
            </w:rPr>
            <w:t xml:space="preserve">3.3 </w:t>
          </w:r>
          <w:r>
            <w:rPr>
              <w:rStyle w:val="21"/>
              <w:rFonts w:hint="eastAsia"/>
            </w:rPr>
            <w:t>教师培养培训</w:t>
          </w:r>
          <w:r>
            <w:tab/>
          </w:r>
          <w:r>
            <w:fldChar w:fldCharType="begin"/>
          </w:r>
          <w:r>
            <w:instrText xml:space="preserve"> PAGEREF _Toc88032477 \h </w:instrText>
          </w:r>
          <w:r>
            <w:fldChar w:fldCharType="separate"/>
          </w:r>
          <w:r>
            <w:t>25</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"_Toc88032478" </w:instrText>
          </w:r>
          <w:r>
            <w:fldChar w:fldCharType="separate"/>
          </w:r>
          <w:r>
            <w:rPr>
              <w:rStyle w:val="21"/>
            </w:rPr>
            <w:t xml:space="preserve">3.4 </w:t>
          </w:r>
          <w:r>
            <w:rPr>
              <w:rStyle w:val="21"/>
              <w:rFonts w:hint="eastAsia"/>
            </w:rPr>
            <w:t>规范管理情况</w:t>
          </w:r>
          <w:r>
            <w:tab/>
          </w:r>
          <w:r>
            <w:fldChar w:fldCharType="begin"/>
          </w:r>
          <w:r>
            <w:instrText xml:space="preserve"> PAGEREF _Toc88032478 \h </w:instrText>
          </w:r>
          <w:r>
            <w:fldChar w:fldCharType="separate"/>
          </w:r>
          <w:r>
            <w:t>25</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"_Toc88032479" </w:instrText>
          </w:r>
          <w:r>
            <w:fldChar w:fldCharType="separate"/>
          </w:r>
          <w:r>
            <w:rPr>
              <w:rStyle w:val="21"/>
            </w:rPr>
            <w:t xml:space="preserve">3.5 </w:t>
          </w:r>
          <w:r>
            <w:rPr>
              <w:rStyle w:val="21"/>
              <w:rFonts w:hint="eastAsia"/>
            </w:rPr>
            <w:t>德育工作情况</w:t>
          </w:r>
          <w:r>
            <w:tab/>
          </w:r>
          <w:r>
            <w:fldChar w:fldCharType="begin"/>
          </w:r>
          <w:r>
            <w:instrText xml:space="preserve"> PAGEREF _Toc88032479 \h </w:instrText>
          </w:r>
          <w:r>
            <w:fldChar w:fldCharType="separate"/>
          </w:r>
          <w:r>
            <w:t>34</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"_Toc88032480" </w:instrText>
          </w:r>
          <w:r>
            <w:fldChar w:fldCharType="separate"/>
          </w:r>
          <w:r>
            <w:rPr>
              <w:rStyle w:val="21"/>
            </w:rPr>
            <w:t xml:space="preserve">3.6 </w:t>
          </w:r>
          <w:r>
            <w:rPr>
              <w:rStyle w:val="21"/>
              <w:rFonts w:hint="eastAsia"/>
            </w:rPr>
            <w:t>党建情况</w:t>
          </w:r>
          <w:r>
            <w:tab/>
          </w:r>
          <w:r>
            <w:fldChar w:fldCharType="begin"/>
          </w:r>
          <w:r>
            <w:instrText xml:space="preserve"> PAGEREF _Toc88032480 \h </w:instrText>
          </w:r>
          <w:r>
            <w:fldChar w:fldCharType="separate"/>
          </w:r>
          <w:r>
            <w:t>41</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"_Toc88032481" </w:instrText>
          </w:r>
          <w:r>
            <w:fldChar w:fldCharType="separate"/>
          </w:r>
          <w:r>
            <w:rPr>
              <w:rStyle w:val="21"/>
            </w:rPr>
            <w:t xml:space="preserve">4 </w:t>
          </w:r>
          <w:r>
            <w:rPr>
              <w:rStyle w:val="21"/>
              <w:rFonts w:hint="eastAsia"/>
            </w:rPr>
            <w:t>校企合作</w:t>
          </w:r>
          <w:r>
            <w:tab/>
          </w:r>
          <w:r>
            <w:fldChar w:fldCharType="begin"/>
          </w:r>
          <w:r>
            <w:instrText xml:space="preserve"> PAGEREF _Toc88032481 \h </w:instrText>
          </w:r>
          <w:r>
            <w:fldChar w:fldCharType="separate"/>
          </w:r>
          <w:r>
            <w:t>43</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"_Toc88032482" </w:instrText>
          </w:r>
          <w:r>
            <w:fldChar w:fldCharType="separate"/>
          </w:r>
          <w:r>
            <w:rPr>
              <w:rStyle w:val="21"/>
            </w:rPr>
            <w:t xml:space="preserve">4.1 </w:t>
          </w:r>
          <w:r>
            <w:rPr>
              <w:rStyle w:val="21"/>
              <w:rFonts w:hint="eastAsia"/>
            </w:rPr>
            <w:t>校企合作开展情况及效果</w:t>
          </w:r>
          <w:r>
            <w:tab/>
          </w:r>
          <w:r>
            <w:fldChar w:fldCharType="begin"/>
          </w:r>
          <w:r>
            <w:instrText xml:space="preserve"> PAGEREF _Toc88032482 \h </w:instrText>
          </w:r>
          <w:r>
            <w:fldChar w:fldCharType="separate"/>
          </w:r>
          <w:r>
            <w:t>43</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"_Toc88032483" </w:instrText>
          </w:r>
          <w:r>
            <w:fldChar w:fldCharType="separate"/>
          </w:r>
          <w:r>
            <w:rPr>
              <w:rStyle w:val="21"/>
            </w:rPr>
            <w:t xml:space="preserve">4.2 </w:t>
          </w:r>
          <w:r>
            <w:rPr>
              <w:rStyle w:val="21"/>
              <w:rFonts w:hint="eastAsia"/>
            </w:rPr>
            <w:t>学生实习情况</w:t>
          </w:r>
          <w:r>
            <w:tab/>
          </w:r>
          <w:r>
            <w:fldChar w:fldCharType="begin"/>
          </w:r>
          <w:r>
            <w:instrText xml:space="preserve"> PAGEREF _Toc88032483 \h </w:instrText>
          </w:r>
          <w:r>
            <w:fldChar w:fldCharType="separate"/>
          </w:r>
          <w:r>
            <w:t>44</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"_Toc88032484" </w:instrText>
          </w:r>
          <w:r>
            <w:fldChar w:fldCharType="separate"/>
          </w:r>
          <w:r>
            <w:rPr>
              <w:rStyle w:val="21"/>
            </w:rPr>
            <w:t xml:space="preserve">4.3 </w:t>
          </w:r>
          <w:r>
            <w:rPr>
              <w:rStyle w:val="21"/>
              <w:rFonts w:hint="eastAsia"/>
            </w:rPr>
            <w:t>集团化办学情况</w:t>
          </w:r>
          <w:r>
            <w:tab/>
          </w:r>
          <w:r>
            <w:fldChar w:fldCharType="begin"/>
          </w:r>
          <w:r>
            <w:instrText xml:space="preserve"> PAGEREF _Toc88032484 \h </w:instrText>
          </w:r>
          <w:r>
            <w:fldChar w:fldCharType="separate"/>
          </w:r>
          <w:r>
            <w:t>45</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"_Toc88032485" </w:instrText>
          </w:r>
          <w:r>
            <w:fldChar w:fldCharType="separate"/>
          </w:r>
          <w:r>
            <w:rPr>
              <w:rStyle w:val="21"/>
              <w:rFonts w:cs="仿宋"/>
            </w:rPr>
            <w:t xml:space="preserve">5 </w:t>
          </w:r>
          <w:r>
            <w:rPr>
              <w:rStyle w:val="21"/>
              <w:rFonts w:hint="eastAsia" w:cs="仿宋"/>
            </w:rPr>
            <w:t>社会贡献</w:t>
          </w:r>
          <w:r>
            <w:tab/>
          </w:r>
          <w:r>
            <w:fldChar w:fldCharType="begin"/>
          </w:r>
          <w:r>
            <w:instrText xml:space="preserve"> PAGEREF _Toc88032485 \h </w:instrText>
          </w:r>
          <w:r>
            <w:fldChar w:fldCharType="separate"/>
          </w:r>
          <w:r>
            <w:t>46</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"_Toc88032486" </w:instrText>
          </w:r>
          <w:r>
            <w:fldChar w:fldCharType="separate"/>
          </w:r>
          <w:r>
            <w:rPr>
              <w:rStyle w:val="21"/>
            </w:rPr>
            <w:t xml:space="preserve">5.1 </w:t>
          </w:r>
          <w:r>
            <w:rPr>
              <w:rStyle w:val="21"/>
              <w:rFonts w:hint="eastAsia"/>
            </w:rPr>
            <w:t>技术技能人才培养</w:t>
          </w:r>
          <w:r>
            <w:tab/>
          </w:r>
          <w:r>
            <w:fldChar w:fldCharType="begin"/>
          </w:r>
          <w:r>
            <w:instrText xml:space="preserve"> PAGEREF _Toc88032486 \h </w:instrText>
          </w:r>
          <w:r>
            <w:fldChar w:fldCharType="separate"/>
          </w:r>
          <w:r>
            <w:t>46</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"_Toc88032487" </w:instrText>
          </w:r>
          <w:r>
            <w:fldChar w:fldCharType="separate"/>
          </w:r>
          <w:r>
            <w:rPr>
              <w:rStyle w:val="21"/>
            </w:rPr>
            <w:t xml:space="preserve">5.2 </w:t>
          </w:r>
          <w:r>
            <w:rPr>
              <w:rStyle w:val="21"/>
              <w:rFonts w:hint="eastAsia"/>
            </w:rPr>
            <w:t>社会服务</w:t>
          </w:r>
          <w:r>
            <w:tab/>
          </w:r>
          <w:r>
            <w:fldChar w:fldCharType="begin"/>
          </w:r>
          <w:r>
            <w:instrText xml:space="preserve"> PAGEREF _Toc88032487 \h </w:instrText>
          </w:r>
          <w:r>
            <w:fldChar w:fldCharType="separate"/>
          </w:r>
          <w:r>
            <w:t>46</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"_Toc88032488" </w:instrText>
          </w:r>
          <w:r>
            <w:fldChar w:fldCharType="separate"/>
          </w:r>
          <w:r>
            <w:rPr>
              <w:rStyle w:val="21"/>
            </w:rPr>
            <w:t xml:space="preserve">5.3 </w:t>
          </w:r>
          <w:r>
            <w:rPr>
              <w:rStyle w:val="21"/>
              <w:rFonts w:hint="eastAsia"/>
            </w:rPr>
            <w:t>对口支援</w:t>
          </w:r>
          <w:r>
            <w:tab/>
          </w:r>
          <w:r>
            <w:fldChar w:fldCharType="begin"/>
          </w:r>
          <w:r>
            <w:instrText xml:space="preserve"> PAGEREF _Toc88032488 \h </w:instrText>
          </w:r>
          <w:r>
            <w:fldChar w:fldCharType="separate"/>
          </w:r>
          <w:r>
            <w:t>49</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"_Toc88032489" </w:instrText>
          </w:r>
          <w:r>
            <w:fldChar w:fldCharType="separate"/>
          </w:r>
          <w:r>
            <w:rPr>
              <w:rStyle w:val="21"/>
            </w:rPr>
            <w:t xml:space="preserve">5.4 </w:t>
          </w:r>
          <w:r>
            <w:rPr>
              <w:rStyle w:val="21"/>
              <w:rFonts w:hint="eastAsia"/>
            </w:rPr>
            <w:t>服务抗疫</w:t>
          </w:r>
          <w:r>
            <w:tab/>
          </w:r>
          <w:r>
            <w:fldChar w:fldCharType="begin"/>
          </w:r>
          <w:r>
            <w:instrText xml:space="preserve"> PAGEREF _Toc88032489 \h </w:instrText>
          </w:r>
          <w:r>
            <w:fldChar w:fldCharType="separate"/>
          </w:r>
          <w:r>
            <w:t>50</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"_Toc88032490" </w:instrText>
          </w:r>
          <w:r>
            <w:fldChar w:fldCharType="separate"/>
          </w:r>
          <w:r>
            <w:rPr>
              <w:rStyle w:val="21"/>
            </w:rPr>
            <w:t xml:space="preserve">6 </w:t>
          </w:r>
          <w:r>
            <w:rPr>
              <w:rStyle w:val="21"/>
              <w:rFonts w:hint="eastAsia"/>
            </w:rPr>
            <w:t>举办者履责</w:t>
          </w:r>
          <w:r>
            <w:tab/>
          </w:r>
          <w:r>
            <w:fldChar w:fldCharType="begin"/>
          </w:r>
          <w:r>
            <w:instrText xml:space="preserve"> PAGEREF _Toc88032490 \h </w:instrText>
          </w:r>
          <w:r>
            <w:fldChar w:fldCharType="separate"/>
          </w:r>
          <w:r>
            <w:t>52</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"_Toc88032491" </w:instrText>
          </w:r>
          <w:r>
            <w:fldChar w:fldCharType="separate"/>
          </w:r>
          <w:r>
            <w:rPr>
              <w:rStyle w:val="21"/>
            </w:rPr>
            <w:t xml:space="preserve">6.1 </w:t>
          </w:r>
          <w:r>
            <w:rPr>
              <w:rStyle w:val="21"/>
              <w:rFonts w:hint="eastAsia"/>
            </w:rPr>
            <w:t>经费</w:t>
          </w:r>
          <w:r>
            <w:tab/>
          </w:r>
          <w:r>
            <w:fldChar w:fldCharType="begin"/>
          </w:r>
          <w:r>
            <w:instrText xml:space="preserve"> PAGEREF _Toc88032491 \h </w:instrText>
          </w:r>
          <w:r>
            <w:fldChar w:fldCharType="separate"/>
          </w:r>
          <w:r>
            <w:t>52</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"_Toc88032492" </w:instrText>
          </w:r>
          <w:r>
            <w:fldChar w:fldCharType="separate"/>
          </w:r>
          <w:r>
            <w:rPr>
              <w:rStyle w:val="21"/>
            </w:rPr>
            <w:t xml:space="preserve">6.2 </w:t>
          </w:r>
          <w:r>
            <w:rPr>
              <w:rStyle w:val="21"/>
              <w:rFonts w:hint="eastAsia"/>
            </w:rPr>
            <w:t>政策措施</w:t>
          </w:r>
          <w:r>
            <w:tab/>
          </w:r>
          <w:r>
            <w:fldChar w:fldCharType="begin"/>
          </w:r>
          <w:r>
            <w:instrText xml:space="preserve"> PAGEREF _Toc88032492 \h </w:instrText>
          </w:r>
          <w:r>
            <w:fldChar w:fldCharType="separate"/>
          </w:r>
          <w:r>
            <w:t>52</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"_Toc88032493" </w:instrText>
          </w:r>
          <w:r>
            <w:fldChar w:fldCharType="separate"/>
          </w:r>
          <w:r>
            <w:rPr>
              <w:rStyle w:val="21"/>
            </w:rPr>
            <w:t xml:space="preserve">7 </w:t>
          </w:r>
          <w:r>
            <w:rPr>
              <w:rStyle w:val="21"/>
              <w:rFonts w:hint="eastAsia"/>
            </w:rPr>
            <w:t>特殊创新</w:t>
          </w:r>
          <w:r>
            <w:tab/>
          </w:r>
          <w:r>
            <w:fldChar w:fldCharType="begin"/>
          </w:r>
          <w:r>
            <w:instrText xml:space="preserve"> PAGEREF _Toc88032493 \h </w:instrText>
          </w:r>
          <w:r>
            <w:fldChar w:fldCharType="separate"/>
          </w:r>
          <w:r>
            <w:t>54</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"_Toc88032494" </w:instrText>
          </w:r>
          <w:r>
            <w:fldChar w:fldCharType="separate"/>
          </w:r>
          <w:r>
            <w:rPr>
              <w:rStyle w:val="21"/>
            </w:rPr>
            <w:t xml:space="preserve">8 </w:t>
          </w:r>
          <w:r>
            <w:rPr>
              <w:rStyle w:val="21"/>
              <w:rFonts w:hint="eastAsia"/>
            </w:rPr>
            <w:t>主要问题和改进措施</w:t>
          </w:r>
          <w:r>
            <w:tab/>
          </w:r>
          <w:r>
            <w:fldChar w:fldCharType="begin"/>
          </w:r>
          <w:r>
            <w:instrText xml:space="preserve"> PAGEREF _Toc88032494 \h </w:instrText>
          </w:r>
          <w:r>
            <w:fldChar w:fldCharType="separate"/>
          </w:r>
          <w:r>
            <w:t>62</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"_Toc88032495" </w:instrText>
          </w:r>
          <w:r>
            <w:fldChar w:fldCharType="separate"/>
          </w:r>
          <w:r>
            <w:rPr>
              <w:rStyle w:val="21"/>
            </w:rPr>
            <w:t>8.1</w:t>
          </w:r>
          <w:r>
            <w:rPr>
              <w:rStyle w:val="21"/>
              <w:rFonts w:hint="eastAsia"/>
            </w:rPr>
            <w:t>存在的主要问题</w:t>
          </w:r>
          <w:r>
            <w:tab/>
          </w:r>
          <w:r>
            <w:fldChar w:fldCharType="begin"/>
          </w:r>
          <w:r>
            <w:instrText xml:space="preserve"> PAGEREF _Toc88032495 \h </w:instrText>
          </w:r>
          <w:r>
            <w:fldChar w:fldCharType="separate"/>
          </w:r>
          <w:r>
            <w:t>62</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"_Toc88032496" </w:instrText>
          </w:r>
          <w:r>
            <w:fldChar w:fldCharType="separate"/>
          </w:r>
          <w:r>
            <w:rPr>
              <w:rStyle w:val="21"/>
            </w:rPr>
            <w:t xml:space="preserve">8.2 </w:t>
          </w:r>
          <w:r>
            <w:rPr>
              <w:rStyle w:val="21"/>
              <w:rFonts w:hint="eastAsia"/>
            </w:rPr>
            <w:t>改进措施</w:t>
          </w:r>
          <w:r>
            <w:tab/>
          </w:r>
          <w:r>
            <w:fldChar w:fldCharType="begin"/>
          </w:r>
          <w:r>
            <w:instrText xml:space="preserve"> PAGEREF _Toc88032496 \h </w:instrText>
          </w:r>
          <w:r>
            <w:fldChar w:fldCharType="separate"/>
          </w:r>
          <w:r>
            <w:t>62</w:t>
          </w:r>
          <w:r>
            <w:fldChar w:fldCharType="end"/>
          </w:r>
          <w:r>
            <w:fldChar w:fldCharType="end"/>
          </w:r>
        </w:p>
        <w:p>
          <w:pPr>
            <w:pStyle w:val="11"/>
            <w:tabs>
              <w:tab w:val="right" w:leader="dot" w:pos="8296"/>
            </w:tabs>
            <w:rPr>
              <w:rFonts w:asciiTheme="minorHAnsi" w:hAnsiTheme="minorHAnsi" w:eastAsiaTheme="minorEastAsia" w:cstheme="minorBidi"/>
            </w:rPr>
          </w:pPr>
          <w:r>
            <w:fldChar w:fldCharType="begin"/>
          </w:r>
          <w:r>
            <w:instrText xml:space="preserve"> HYPERLINK \l "_Toc88032497" </w:instrText>
          </w:r>
          <w:r>
            <w:fldChar w:fldCharType="separate"/>
          </w:r>
          <w:r>
            <w:rPr>
              <w:rStyle w:val="21"/>
            </w:rPr>
            <w:t>9</w:t>
          </w:r>
          <w:r>
            <w:rPr>
              <w:rStyle w:val="21"/>
              <w:rFonts w:hint="eastAsia"/>
            </w:rPr>
            <w:t>中等职业教育质量数据表</w:t>
          </w:r>
          <w:r>
            <w:tab/>
          </w:r>
          <w:r>
            <w:fldChar w:fldCharType="begin"/>
          </w:r>
          <w:r>
            <w:instrText xml:space="preserve"> PAGEREF _Toc88032497 \h </w:instrText>
          </w:r>
          <w:r>
            <w:fldChar w:fldCharType="separate"/>
          </w:r>
          <w:r>
            <w:t>63</w:t>
          </w:r>
          <w:r>
            <w:fldChar w:fldCharType="end"/>
          </w:r>
          <w:r>
            <w:fldChar w:fldCharType="end"/>
          </w:r>
        </w:p>
        <w:p>
          <w:r>
            <w:fldChar w:fldCharType="end"/>
          </w:r>
        </w:p>
      </w:sdtContent>
    </w:sdt>
    <w:p>
      <w:pPr>
        <w:pStyle w:val="27"/>
        <w:tabs>
          <w:tab w:val="right" w:leader="dot" w:pos="8306"/>
        </w:tabs>
        <w:spacing w:line="360" w:lineRule="auto"/>
        <w:ind w:firstLine="200" w:firstLineChars="100"/>
        <w:sectPr>
          <w:pgSz w:w="11906" w:h="16838"/>
          <w:pgMar w:top="1440" w:right="1800" w:bottom="1440" w:left="1800" w:header="851" w:footer="992" w:gutter="0"/>
          <w:cols w:space="720" w:num="1"/>
          <w:docGrid w:type="lines" w:linePitch="312" w:charSpace="0"/>
        </w:sectPr>
      </w:pPr>
    </w:p>
    <w:bookmarkEnd w:id="0"/>
    <w:p>
      <w:pPr>
        <w:pStyle w:val="2"/>
        <w:rPr>
          <w:szCs w:val="32"/>
        </w:rPr>
      </w:pPr>
      <w:bookmarkStart w:id="1" w:name="_Toc88032463"/>
      <w:bookmarkStart w:id="2" w:name="_Toc28937"/>
      <w:bookmarkStart w:id="3" w:name="_Toc20435_WPSOffice_Level1"/>
      <w:bookmarkStart w:id="4" w:name="_Toc26203"/>
      <w:bookmarkStart w:id="5" w:name="_Toc15462"/>
      <w:bookmarkStart w:id="6" w:name="_Toc13442"/>
      <w:bookmarkStart w:id="7" w:name="_Toc17386_WPSOffice_Level1"/>
      <w:bookmarkStart w:id="8" w:name="_Toc8119"/>
      <w:bookmarkStart w:id="9" w:name="_Toc2584"/>
      <w:r>
        <w:rPr>
          <w:rFonts w:hint="eastAsia"/>
          <w:szCs w:val="32"/>
        </w:rPr>
        <w:t>1 学校情况</w:t>
      </w:r>
      <w:bookmarkEnd w:id="1"/>
      <w:bookmarkEnd w:id="2"/>
      <w:bookmarkEnd w:id="3"/>
      <w:bookmarkEnd w:id="4"/>
      <w:bookmarkEnd w:id="5"/>
    </w:p>
    <w:p>
      <w:pPr>
        <w:pStyle w:val="3"/>
        <w:spacing w:before="156" w:after="156"/>
        <w:ind w:firstLine="562"/>
      </w:pPr>
      <w:bookmarkStart w:id="10" w:name="_Toc8652_WPSOffice_Level1"/>
      <w:bookmarkStart w:id="11" w:name="_Toc21837"/>
      <w:bookmarkStart w:id="12" w:name="_Toc88032464"/>
      <w:bookmarkStart w:id="13" w:name="_Toc12225"/>
      <w:bookmarkStart w:id="14" w:name="_Toc19893"/>
      <w:r>
        <w:rPr>
          <w:rFonts w:hint="eastAsia"/>
        </w:rPr>
        <w:t>1.1 学校概况</w:t>
      </w:r>
      <w:bookmarkEnd w:id="10"/>
      <w:bookmarkEnd w:id="11"/>
      <w:bookmarkEnd w:id="12"/>
      <w:bookmarkEnd w:id="13"/>
      <w:bookmarkEnd w:id="14"/>
    </w:p>
    <w:p>
      <w:pPr>
        <w:pStyle w:val="5"/>
        <w:ind w:firstLine="560"/>
      </w:pPr>
      <w:bookmarkStart w:id="15" w:name="_Toc29758"/>
      <w:bookmarkStart w:id="16" w:name="_Toc24889_WPSOffice_Level1"/>
      <w:bookmarkStart w:id="17" w:name="_Toc30549"/>
      <w:bookmarkStart w:id="18" w:name="_Toc21928"/>
      <w:r>
        <w:rPr>
          <w:rFonts w:hint="eastAsia"/>
        </w:rPr>
        <w:t>南阳中医药学校为市属公办学校，创建于</w:t>
      </w:r>
      <w:r>
        <w:t>1978</w:t>
      </w:r>
      <w:r>
        <w:rPr>
          <w:rFonts w:hint="eastAsia"/>
        </w:rPr>
        <w:t>年</w:t>
      </w:r>
      <w:r>
        <w:t>10</w:t>
      </w:r>
      <w:r>
        <w:rPr>
          <w:rFonts w:hint="eastAsia"/>
        </w:rPr>
        <w:t>月，前身是河南省云阳中医中药学校。</w:t>
      </w:r>
      <w:r>
        <w:t>1992</w:t>
      </w:r>
      <w:r>
        <w:rPr>
          <w:rFonts w:hint="eastAsia"/>
        </w:rPr>
        <w:t>年</w:t>
      </w:r>
      <w:r>
        <w:t>7</w:t>
      </w:r>
      <w:r>
        <w:rPr>
          <w:rFonts w:hint="eastAsia"/>
        </w:rPr>
        <w:t>月根据河南省人民政府（豫政文</w:t>
      </w:r>
      <w:r>
        <w:t>[1992]188</w:t>
      </w:r>
      <w:r>
        <w:rPr>
          <w:rFonts w:hint="eastAsia"/>
        </w:rPr>
        <w:t>号）文件精神，云阳中医中药学校搬迁南阳，与张仲景国医大学合并，更名为南阳中医药学校。2006年南阳市人民政府进行教育资源整合（宛政文[2006]37号），将南阳中医药学校、一职专委托南阳医专代管，共享实验平台、图书馆、互联网等教育教学资源。学校现有教职员工218人，专任教师148人，专任教师中副高级以上职称教师占专任教师总数的41.2%；学校占地144072平方米，固定资产总值6624万元，教学科研仪器设备总值1496万元，图书馆藏书25.9万册。学校开设有护理、助产、药剂、中医康复保健、中医养生保健、中医康复技术等6个专业，在校生3119人。</w:t>
      </w:r>
    </w:p>
    <w:p>
      <w:pPr>
        <w:pStyle w:val="3"/>
        <w:spacing w:before="156" w:after="156"/>
        <w:ind w:firstLine="562"/>
      </w:pPr>
      <w:bookmarkStart w:id="19" w:name="_Toc88032465"/>
      <w:r>
        <w:rPr>
          <w:rFonts w:hint="eastAsia"/>
        </w:rPr>
        <w:t>1.2 学生情况</w:t>
      </w:r>
      <w:bookmarkEnd w:id="15"/>
      <w:bookmarkEnd w:id="16"/>
      <w:bookmarkEnd w:id="17"/>
      <w:bookmarkEnd w:id="18"/>
      <w:bookmarkEnd w:id="19"/>
    </w:p>
    <w:bookmarkEnd w:id="6"/>
    <w:bookmarkEnd w:id="7"/>
    <w:bookmarkEnd w:id="8"/>
    <w:bookmarkEnd w:id="9"/>
    <w:p>
      <w:pPr>
        <w:pStyle w:val="5"/>
        <w:ind w:firstLine="560"/>
        <w:rPr>
          <w:color w:val="FF0000"/>
        </w:rPr>
      </w:pPr>
      <w:bookmarkStart w:id="20" w:name="_Toc9664"/>
      <w:bookmarkStart w:id="21" w:name="_Toc5750"/>
      <w:bookmarkStart w:id="22" w:name="_Toc6858"/>
      <w:bookmarkStart w:id="23" w:name="_Toc32667_WPSOffice_Level1"/>
      <w:r>
        <w:rPr>
          <w:rFonts w:hint="eastAsia"/>
        </w:rPr>
        <w:t>2021年学校普通中专招生1178人，在校生3119，毕业生1090人。与上年度相比，招生数增加159人，毕业生数增加40人。</w:t>
      </w:r>
    </w:p>
    <w:p>
      <w:pPr>
        <w:pStyle w:val="33"/>
      </w:pPr>
      <w:r>
        <w:rPr>
          <w:rFonts w:hint="eastAsia"/>
          <w:bCs/>
        </w:rPr>
        <w:t>表</w:t>
      </w:r>
      <w:r>
        <w:rPr>
          <w:bCs/>
        </w:rPr>
        <w:t>1-1 202</w:t>
      </w:r>
      <w:r>
        <w:rPr>
          <w:rFonts w:hint="eastAsia"/>
          <w:bCs/>
        </w:rPr>
        <w:t>1</w:t>
      </w:r>
      <w:r>
        <w:rPr>
          <w:bCs/>
        </w:rPr>
        <w:t>年度学生结构</w:t>
      </w:r>
    </w:p>
    <w:tbl>
      <w:tblPr>
        <w:tblStyle w:val="16"/>
        <w:tblW w:w="633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9"/>
        <w:gridCol w:w="1542"/>
        <w:gridCol w:w="1571"/>
        <w:gridCol w:w="1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atLeast"/>
          <w:jc w:val="center"/>
        </w:trPr>
        <w:tc>
          <w:tcPr>
            <w:tcW w:w="1749" w:type="dxa"/>
            <w:vAlign w:val="center"/>
          </w:tcPr>
          <w:p>
            <w:pPr>
              <w:pStyle w:val="33"/>
            </w:pPr>
            <w:r>
              <w:rPr>
                <w:rFonts w:hint="eastAsia"/>
              </w:rPr>
              <w:t>专业名称</w:t>
            </w:r>
          </w:p>
        </w:tc>
        <w:tc>
          <w:tcPr>
            <w:tcW w:w="1542" w:type="dxa"/>
            <w:vAlign w:val="center"/>
          </w:tcPr>
          <w:p>
            <w:pPr>
              <w:pStyle w:val="33"/>
            </w:pPr>
            <w:r>
              <w:rPr>
                <w:rFonts w:hint="eastAsia"/>
              </w:rPr>
              <w:t>招生数</w:t>
            </w:r>
          </w:p>
        </w:tc>
        <w:tc>
          <w:tcPr>
            <w:tcW w:w="1571" w:type="dxa"/>
            <w:vAlign w:val="center"/>
          </w:tcPr>
          <w:p>
            <w:pPr>
              <w:pStyle w:val="33"/>
            </w:pPr>
            <w:r>
              <w:rPr>
                <w:rFonts w:hint="eastAsia"/>
              </w:rPr>
              <w:t>在校生数</w:t>
            </w:r>
          </w:p>
        </w:tc>
        <w:tc>
          <w:tcPr>
            <w:tcW w:w="1474" w:type="dxa"/>
            <w:vAlign w:val="center"/>
          </w:tcPr>
          <w:p>
            <w:pPr>
              <w:pStyle w:val="33"/>
            </w:pPr>
            <w:r>
              <w:rPr>
                <w:rFonts w:hint="eastAsia"/>
              </w:rPr>
              <w:t>毕业生数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1" w:hRule="atLeast"/>
          <w:jc w:val="center"/>
        </w:trPr>
        <w:tc>
          <w:tcPr>
            <w:tcW w:w="1749" w:type="dxa"/>
            <w:vAlign w:val="center"/>
          </w:tcPr>
          <w:p>
            <w:pPr>
              <w:rPr>
                <w:kern w:val="0"/>
                <w:szCs w:val="21"/>
              </w:rPr>
            </w:pPr>
            <w:r>
              <w:rPr>
                <w:rFonts w:hint="eastAsia"/>
                <w:kern w:val="0"/>
                <w:szCs w:val="21"/>
              </w:rPr>
              <w:t>护理</w:t>
            </w:r>
          </w:p>
        </w:tc>
        <w:tc>
          <w:tcPr>
            <w:tcW w:w="1542" w:type="dxa"/>
            <w:vAlign w:val="center"/>
          </w:tcPr>
          <w:p>
            <w:pPr>
              <w:rPr>
                <w:kern w:val="0"/>
                <w:szCs w:val="21"/>
              </w:rPr>
            </w:pPr>
            <w:r>
              <w:rPr>
                <w:rFonts w:hint="eastAsia"/>
                <w:kern w:val="0"/>
                <w:szCs w:val="21"/>
              </w:rPr>
              <w:t>854</w:t>
            </w:r>
          </w:p>
        </w:tc>
        <w:tc>
          <w:tcPr>
            <w:tcW w:w="1571" w:type="dxa"/>
            <w:vAlign w:val="center"/>
          </w:tcPr>
          <w:p>
            <w:pPr>
              <w:rPr>
                <w:kern w:val="0"/>
                <w:szCs w:val="21"/>
              </w:rPr>
            </w:pPr>
            <w:r>
              <w:rPr>
                <w:rFonts w:hint="eastAsia"/>
                <w:kern w:val="0"/>
                <w:szCs w:val="21"/>
              </w:rPr>
              <w:t>2202</w:t>
            </w:r>
          </w:p>
        </w:tc>
        <w:tc>
          <w:tcPr>
            <w:tcW w:w="1474" w:type="dxa"/>
            <w:vAlign w:val="center"/>
          </w:tcPr>
          <w:p>
            <w:pPr>
              <w:rPr>
                <w:kern w:val="0"/>
                <w:szCs w:val="21"/>
              </w:rPr>
            </w:pPr>
            <w:r>
              <w:rPr>
                <w:rFonts w:hint="eastAsia"/>
                <w:kern w:val="0"/>
                <w:szCs w:val="21"/>
              </w:rPr>
              <w:t>790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 w:hRule="atLeast"/>
          <w:jc w:val="center"/>
        </w:trPr>
        <w:tc>
          <w:tcPr>
            <w:tcW w:w="1749" w:type="dxa"/>
            <w:vAlign w:val="center"/>
          </w:tcPr>
          <w:p>
            <w:pPr>
              <w:rPr>
                <w:kern w:val="0"/>
                <w:szCs w:val="21"/>
              </w:rPr>
            </w:pPr>
            <w:r>
              <w:rPr>
                <w:rFonts w:hint="eastAsia"/>
                <w:kern w:val="0"/>
                <w:szCs w:val="21"/>
              </w:rPr>
              <w:t>助产</w:t>
            </w:r>
          </w:p>
        </w:tc>
        <w:tc>
          <w:tcPr>
            <w:tcW w:w="1542" w:type="dxa"/>
            <w:vAlign w:val="center"/>
          </w:tcPr>
          <w:p>
            <w:pPr>
              <w:rPr>
                <w:kern w:val="0"/>
                <w:szCs w:val="21"/>
              </w:rPr>
            </w:pPr>
            <w:r>
              <w:rPr>
                <w:rFonts w:hint="eastAsia"/>
                <w:kern w:val="0"/>
                <w:szCs w:val="21"/>
              </w:rPr>
              <w:t>0</w:t>
            </w:r>
          </w:p>
        </w:tc>
        <w:tc>
          <w:tcPr>
            <w:tcW w:w="1571" w:type="dxa"/>
            <w:vAlign w:val="center"/>
          </w:tcPr>
          <w:p>
            <w:pPr>
              <w:rPr>
                <w:kern w:val="0"/>
                <w:szCs w:val="21"/>
              </w:rPr>
            </w:pPr>
            <w:r>
              <w:rPr>
                <w:rFonts w:hint="eastAsia"/>
                <w:kern w:val="0"/>
                <w:szCs w:val="21"/>
              </w:rPr>
              <w:t>139</w:t>
            </w:r>
          </w:p>
        </w:tc>
        <w:tc>
          <w:tcPr>
            <w:tcW w:w="1474" w:type="dxa"/>
            <w:vAlign w:val="center"/>
          </w:tcPr>
          <w:p>
            <w:pPr>
              <w:rPr>
                <w:kern w:val="0"/>
                <w:szCs w:val="21"/>
              </w:rPr>
            </w:pPr>
            <w:r>
              <w:rPr>
                <w:rFonts w:hint="eastAsia"/>
                <w:kern w:val="0"/>
                <w:szCs w:val="21"/>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 w:hRule="atLeast"/>
          <w:jc w:val="center"/>
        </w:trPr>
        <w:tc>
          <w:tcPr>
            <w:tcW w:w="1749" w:type="dxa"/>
            <w:vAlign w:val="center"/>
          </w:tcPr>
          <w:p>
            <w:pPr>
              <w:rPr>
                <w:kern w:val="0"/>
                <w:szCs w:val="21"/>
              </w:rPr>
            </w:pPr>
            <w:r>
              <w:rPr>
                <w:rFonts w:hint="eastAsia"/>
                <w:kern w:val="0"/>
                <w:szCs w:val="21"/>
              </w:rPr>
              <w:t>药剂</w:t>
            </w:r>
          </w:p>
        </w:tc>
        <w:tc>
          <w:tcPr>
            <w:tcW w:w="1542" w:type="dxa"/>
            <w:vAlign w:val="center"/>
          </w:tcPr>
          <w:p>
            <w:pPr>
              <w:rPr>
                <w:kern w:val="0"/>
                <w:szCs w:val="21"/>
              </w:rPr>
            </w:pPr>
            <w:r>
              <w:rPr>
                <w:rFonts w:hint="eastAsia"/>
                <w:kern w:val="0"/>
                <w:szCs w:val="21"/>
              </w:rPr>
              <w:t>182</w:t>
            </w:r>
          </w:p>
        </w:tc>
        <w:tc>
          <w:tcPr>
            <w:tcW w:w="1571" w:type="dxa"/>
            <w:vAlign w:val="center"/>
          </w:tcPr>
          <w:p>
            <w:pPr>
              <w:rPr>
                <w:kern w:val="0"/>
                <w:szCs w:val="21"/>
              </w:rPr>
            </w:pPr>
            <w:r>
              <w:rPr>
                <w:rFonts w:hint="eastAsia"/>
                <w:kern w:val="0"/>
                <w:szCs w:val="21"/>
              </w:rPr>
              <w:t>415</w:t>
            </w:r>
          </w:p>
        </w:tc>
        <w:tc>
          <w:tcPr>
            <w:tcW w:w="1474" w:type="dxa"/>
            <w:vAlign w:val="center"/>
          </w:tcPr>
          <w:p>
            <w:pPr>
              <w:rPr>
                <w:kern w:val="0"/>
                <w:szCs w:val="21"/>
              </w:rPr>
            </w:pPr>
            <w:r>
              <w:rPr>
                <w:rFonts w:hint="eastAsia"/>
                <w:kern w:val="0"/>
                <w:szCs w:val="21"/>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 w:hRule="atLeast"/>
          <w:jc w:val="center"/>
        </w:trPr>
        <w:tc>
          <w:tcPr>
            <w:tcW w:w="1749" w:type="dxa"/>
            <w:vAlign w:val="center"/>
          </w:tcPr>
          <w:p>
            <w:pPr>
              <w:rPr>
                <w:kern w:val="0"/>
                <w:szCs w:val="21"/>
              </w:rPr>
            </w:pPr>
            <w:r>
              <w:rPr>
                <w:rFonts w:hint="eastAsia"/>
                <w:kern w:val="0"/>
                <w:szCs w:val="21"/>
              </w:rPr>
              <w:t>中医康复技术</w:t>
            </w:r>
          </w:p>
        </w:tc>
        <w:tc>
          <w:tcPr>
            <w:tcW w:w="1542" w:type="dxa"/>
            <w:vAlign w:val="center"/>
          </w:tcPr>
          <w:p>
            <w:pPr>
              <w:rPr>
                <w:kern w:val="0"/>
                <w:szCs w:val="21"/>
              </w:rPr>
            </w:pPr>
            <w:r>
              <w:rPr>
                <w:rFonts w:hint="eastAsia"/>
                <w:kern w:val="0"/>
                <w:szCs w:val="21"/>
              </w:rPr>
              <w:t>114</w:t>
            </w:r>
          </w:p>
        </w:tc>
        <w:tc>
          <w:tcPr>
            <w:tcW w:w="1571" w:type="dxa"/>
            <w:vAlign w:val="center"/>
          </w:tcPr>
          <w:p>
            <w:pPr>
              <w:rPr>
                <w:kern w:val="0"/>
                <w:szCs w:val="21"/>
              </w:rPr>
            </w:pPr>
            <w:r>
              <w:rPr>
                <w:rFonts w:hint="eastAsia"/>
                <w:kern w:val="0"/>
                <w:szCs w:val="21"/>
              </w:rPr>
              <w:t>114</w:t>
            </w:r>
          </w:p>
        </w:tc>
        <w:tc>
          <w:tcPr>
            <w:tcW w:w="1474" w:type="dxa"/>
            <w:vAlign w:val="center"/>
          </w:tcPr>
          <w:p>
            <w:pPr>
              <w:rPr>
                <w:kern w:val="0"/>
                <w:szCs w:val="21"/>
              </w:rPr>
            </w:pPr>
            <w:r>
              <w:rPr>
                <w:rFonts w:hint="eastAsia"/>
                <w:kern w:val="0"/>
                <w:szCs w:val="21"/>
              </w:rPr>
              <w:tab/>
            </w:r>
            <w:r>
              <w:rPr>
                <w:rFonts w:hint="eastAsia"/>
                <w:kern w:val="0"/>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 w:hRule="atLeast"/>
          <w:jc w:val="center"/>
        </w:trPr>
        <w:tc>
          <w:tcPr>
            <w:tcW w:w="1749" w:type="dxa"/>
            <w:vAlign w:val="center"/>
          </w:tcPr>
          <w:p>
            <w:pPr>
              <w:rPr>
                <w:kern w:val="0"/>
                <w:szCs w:val="21"/>
              </w:rPr>
            </w:pPr>
            <w:r>
              <w:rPr>
                <w:rFonts w:hint="eastAsia"/>
                <w:kern w:val="0"/>
                <w:szCs w:val="21"/>
              </w:rPr>
              <w:t>中医养生保健</w:t>
            </w:r>
          </w:p>
        </w:tc>
        <w:tc>
          <w:tcPr>
            <w:tcW w:w="1542" w:type="dxa"/>
            <w:vAlign w:val="center"/>
          </w:tcPr>
          <w:p>
            <w:pPr>
              <w:rPr>
                <w:kern w:val="0"/>
                <w:szCs w:val="21"/>
              </w:rPr>
            </w:pPr>
            <w:r>
              <w:rPr>
                <w:rFonts w:hint="eastAsia"/>
                <w:kern w:val="0"/>
                <w:szCs w:val="21"/>
              </w:rPr>
              <w:t>28</w:t>
            </w:r>
          </w:p>
        </w:tc>
        <w:tc>
          <w:tcPr>
            <w:tcW w:w="1571" w:type="dxa"/>
            <w:vAlign w:val="center"/>
          </w:tcPr>
          <w:p>
            <w:pPr>
              <w:rPr>
                <w:kern w:val="0"/>
                <w:szCs w:val="21"/>
              </w:rPr>
            </w:pPr>
            <w:r>
              <w:rPr>
                <w:rFonts w:hint="eastAsia"/>
                <w:kern w:val="0"/>
                <w:szCs w:val="21"/>
              </w:rPr>
              <w:t>28</w:t>
            </w:r>
          </w:p>
        </w:tc>
        <w:tc>
          <w:tcPr>
            <w:tcW w:w="1474" w:type="dxa"/>
            <w:vAlign w:val="center"/>
          </w:tcPr>
          <w:p>
            <w:pPr>
              <w:rPr>
                <w:kern w:val="0"/>
                <w:szCs w:val="21"/>
              </w:rPr>
            </w:pPr>
            <w:r>
              <w:rPr>
                <w:rFonts w:hint="eastAsia"/>
                <w:kern w:val="0"/>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 w:hRule="atLeast"/>
          <w:jc w:val="center"/>
        </w:trPr>
        <w:tc>
          <w:tcPr>
            <w:tcW w:w="1749" w:type="dxa"/>
            <w:vAlign w:val="center"/>
          </w:tcPr>
          <w:p>
            <w:pPr>
              <w:rPr>
                <w:kern w:val="0"/>
                <w:szCs w:val="21"/>
              </w:rPr>
            </w:pPr>
            <w:r>
              <w:rPr>
                <w:rFonts w:hint="eastAsia"/>
                <w:kern w:val="0"/>
                <w:szCs w:val="21"/>
              </w:rPr>
              <w:t>中医康复保健</w:t>
            </w:r>
          </w:p>
        </w:tc>
        <w:tc>
          <w:tcPr>
            <w:tcW w:w="1542" w:type="dxa"/>
            <w:vAlign w:val="center"/>
          </w:tcPr>
          <w:p>
            <w:pPr>
              <w:rPr>
                <w:kern w:val="0"/>
                <w:szCs w:val="21"/>
              </w:rPr>
            </w:pPr>
            <w:r>
              <w:rPr>
                <w:rFonts w:hint="eastAsia"/>
                <w:kern w:val="0"/>
                <w:szCs w:val="21"/>
              </w:rPr>
              <w:t>0</w:t>
            </w:r>
          </w:p>
        </w:tc>
        <w:tc>
          <w:tcPr>
            <w:tcW w:w="1571" w:type="dxa"/>
            <w:vAlign w:val="center"/>
          </w:tcPr>
          <w:p>
            <w:pPr>
              <w:ind w:firstLine="630" w:firstLineChars="300"/>
              <w:jc w:val="both"/>
              <w:rPr>
                <w:kern w:val="0"/>
                <w:szCs w:val="21"/>
              </w:rPr>
            </w:pPr>
            <w:r>
              <w:rPr>
                <w:rFonts w:hint="eastAsia"/>
                <w:kern w:val="0"/>
                <w:szCs w:val="21"/>
              </w:rPr>
              <w:t>221</w:t>
            </w:r>
          </w:p>
        </w:tc>
        <w:tc>
          <w:tcPr>
            <w:tcW w:w="1474" w:type="dxa"/>
            <w:vAlign w:val="center"/>
          </w:tcPr>
          <w:p>
            <w:pPr>
              <w:rPr>
                <w:kern w:val="0"/>
                <w:szCs w:val="21"/>
              </w:rPr>
            </w:pPr>
            <w:r>
              <w:rPr>
                <w:rFonts w:hint="eastAsia"/>
                <w:kern w:val="0"/>
                <w:szCs w:val="21"/>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 w:hRule="atLeast"/>
          <w:jc w:val="center"/>
        </w:trPr>
        <w:tc>
          <w:tcPr>
            <w:tcW w:w="1749" w:type="dxa"/>
            <w:vAlign w:val="center"/>
          </w:tcPr>
          <w:p>
            <w:pPr>
              <w:rPr>
                <w:kern w:val="0"/>
                <w:szCs w:val="21"/>
              </w:rPr>
            </w:pPr>
            <w:r>
              <w:rPr>
                <w:rFonts w:hint="eastAsia"/>
                <w:kern w:val="0"/>
                <w:szCs w:val="21"/>
              </w:rPr>
              <w:t>合计</w:t>
            </w:r>
          </w:p>
        </w:tc>
        <w:tc>
          <w:tcPr>
            <w:tcW w:w="1542" w:type="dxa"/>
            <w:vAlign w:val="center"/>
          </w:tcPr>
          <w:p>
            <w:pPr>
              <w:rPr>
                <w:kern w:val="0"/>
                <w:szCs w:val="21"/>
              </w:rPr>
            </w:pPr>
            <w:r>
              <w:rPr>
                <w:rFonts w:hint="eastAsia"/>
                <w:kern w:val="0"/>
                <w:szCs w:val="21"/>
              </w:rPr>
              <w:t>1178</w:t>
            </w:r>
          </w:p>
        </w:tc>
        <w:tc>
          <w:tcPr>
            <w:tcW w:w="1571" w:type="dxa"/>
            <w:vAlign w:val="center"/>
          </w:tcPr>
          <w:p>
            <w:pPr>
              <w:rPr>
                <w:kern w:val="0"/>
                <w:szCs w:val="21"/>
              </w:rPr>
            </w:pPr>
            <w:r>
              <w:rPr>
                <w:rFonts w:hint="eastAsia"/>
                <w:kern w:val="0"/>
                <w:szCs w:val="21"/>
              </w:rPr>
              <w:t>3119</w:t>
            </w:r>
          </w:p>
        </w:tc>
        <w:tc>
          <w:tcPr>
            <w:tcW w:w="1474" w:type="dxa"/>
            <w:vAlign w:val="center"/>
          </w:tcPr>
          <w:p>
            <w:pPr>
              <w:rPr>
                <w:kern w:val="0"/>
                <w:szCs w:val="21"/>
              </w:rPr>
            </w:pPr>
            <w:r>
              <w:rPr>
                <w:rFonts w:hint="eastAsia"/>
                <w:kern w:val="0"/>
                <w:szCs w:val="21"/>
              </w:rPr>
              <w:t>1090</w:t>
            </w:r>
          </w:p>
        </w:tc>
      </w:tr>
    </w:tbl>
    <w:p>
      <w:pPr>
        <w:pStyle w:val="3"/>
        <w:spacing w:before="156" w:after="156"/>
        <w:ind w:firstLine="562"/>
      </w:pPr>
      <w:bookmarkStart w:id="24" w:name="_Toc88032466"/>
      <w:r>
        <w:rPr>
          <w:rFonts w:hint="eastAsia"/>
        </w:rPr>
        <w:t>1.3 教师队伍</w:t>
      </w:r>
      <w:bookmarkEnd w:id="20"/>
      <w:bookmarkEnd w:id="21"/>
      <w:bookmarkEnd w:id="22"/>
      <w:bookmarkEnd w:id="23"/>
      <w:bookmarkEnd w:id="24"/>
    </w:p>
    <w:p>
      <w:pPr>
        <w:spacing w:line="590" w:lineRule="exact"/>
        <w:ind w:firstLine="560" w:firstLineChars="200"/>
        <w:jc w:val="left"/>
        <w:rPr>
          <w:rFonts w:cs="仿宋"/>
          <w:kern w:val="0"/>
          <w:sz w:val="28"/>
          <w:szCs w:val="28"/>
        </w:rPr>
      </w:pPr>
      <w:bookmarkStart w:id="25" w:name="_Toc22484"/>
      <w:bookmarkStart w:id="26" w:name="_Toc1808"/>
      <w:bookmarkStart w:id="27" w:name="_Toc22632_WPSOffice_Level1"/>
      <w:bookmarkStart w:id="28" w:name="_Toc10577"/>
      <w:r>
        <w:rPr>
          <w:rFonts w:hint="eastAsia" w:cs="仿宋"/>
          <w:kern w:val="0"/>
          <w:sz w:val="28"/>
          <w:szCs w:val="28"/>
        </w:rPr>
        <w:t>学校现有在岗教职工总数为 218人。现有专任教师148 人。专任教师中副高级以上职称教师占专任教师总数的41.2%；硕士以上学位教师占专任教师总数的18.2%；“双师型”教师90人，占专任教师比例为60.8%。学校被省内外高校聘为硕士、博士生导师 1人，省管专家及享受国务院津贴专家4人，河南省职业教育教学专家2人。  6人被命名为“全国优秀中医研修人才”，1人被命名为“河南省名中医”， 63人荣获省、市（厅）级“学术技术带头人”和“专业技术拔尖人才”称号。常年聘用 2名外国文教专家。</w:t>
      </w:r>
    </w:p>
    <w:p>
      <w:pPr>
        <w:pStyle w:val="33"/>
      </w:pPr>
      <w:r>
        <w:rPr>
          <w:rFonts w:hint="eastAsia"/>
        </w:rPr>
        <w:t>表1-2 专任教师队伍职称结构情况表</w:t>
      </w:r>
    </w:p>
    <w:tbl>
      <w:tblPr>
        <w:tblStyle w:val="16"/>
        <w:tblpPr w:leftFromText="181" w:rightFromText="181" w:vertAnchor="text" w:horzAnchor="margin" w:tblpXSpec="center" w:tblpY="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562"/>
        <w:gridCol w:w="837"/>
        <w:gridCol w:w="815"/>
        <w:gridCol w:w="897"/>
        <w:gridCol w:w="777"/>
        <w:gridCol w:w="835"/>
        <w:gridCol w:w="668"/>
        <w:gridCol w:w="859"/>
        <w:gridCol w:w="815"/>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622" w:type="dxa"/>
            <w:vMerge w:val="restart"/>
            <w:shd w:val="clear" w:color="auto" w:fill="auto"/>
          </w:tcPr>
          <w:p>
            <w:pPr>
              <w:pStyle w:val="33"/>
            </w:pPr>
            <w:r>
              <w:rPr>
                <w:rFonts w:hint="eastAsia"/>
              </w:rPr>
              <w:t>专任教师</w:t>
            </w:r>
          </w:p>
        </w:tc>
        <w:tc>
          <w:tcPr>
            <w:tcW w:w="7900" w:type="dxa"/>
            <w:gridSpan w:val="10"/>
            <w:shd w:val="clear" w:color="auto" w:fill="auto"/>
          </w:tcPr>
          <w:p>
            <w:pPr>
              <w:pStyle w:val="33"/>
            </w:pPr>
            <w:r>
              <w:rPr>
                <w:rFonts w:hint="eastAsia"/>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622" w:type="dxa"/>
            <w:vMerge w:val="continue"/>
            <w:shd w:val="clear" w:color="auto" w:fill="auto"/>
          </w:tcPr>
          <w:p>
            <w:pPr>
              <w:pStyle w:val="33"/>
            </w:pPr>
          </w:p>
        </w:tc>
        <w:tc>
          <w:tcPr>
            <w:tcW w:w="4723" w:type="dxa"/>
            <w:gridSpan w:val="6"/>
            <w:shd w:val="clear" w:color="auto" w:fill="auto"/>
          </w:tcPr>
          <w:p>
            <w:pPr>
              <w:pStyle w:val="33"/>
            </w:pPr>
            <w:r>
              <w:rPr>
                <w:rFonts w:hint="eastAsia"/>
              </w:rPr>
              <w:t>高级职称</w:t>
            </w:r>
          </w:p>
        </w:tc>
        <w:tc>
          <w:tcPr>
            <w:tcW w:w="1527" w:type="dxa"/>
            <w:gridSpan w:val="2"/>
            <w:vMerge w:val="restart"/>
            <w:shd w:val="clear" w:color="auto" w:fill="auto"/>
          </w:tcPr>
          <w:p>
            <w:pPr>
              <w:pStyle w:val="33"/>
            </w:pPr>
            <w:r>
              <w:rPr>
                <w:rFonts w:hint="eastAsia"/>
              </w:rPr>
              <w:t>中级</w:t>
            </w:r>
          </w:p>
        </w:tc>
        <w:tc>
          <w:tcPr>
            <w:tcW w:w="1650" w:type="dxa"/>
            <w:gridSpan w:val="2"/>
            <w:vMerge w:val="restart"/>
            <w:shd w:val="clear" w:color="auto" w:fill="auto"/>
          </w:tcPr>
          <w:p>
            <w:pPr>
              <w:pStyle w:val="33"/>
            </w:pPr>
            <w:r>
              <w:rPr>
                <w:rFonts w:hint="eastAsia"/>
              </w:rPr>
              <w:t>初级及以下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622" w:type="dxa"/>
            <w:vMerge w:val="continue"/>
            <w:shd w:val="clear" w:color="auto" w:fill="auto"/>
          </w:tcPr>
          <w:p>
            <w:pPr>
              <w:pStyle w:val="33"/>
            </w:pPr>
          </w:p>
        </w:tc>
        <w:tc>
          <w:tcPr>
            <w:tcW w:w="1399" w:type="dxa"/>
            <w:gridSpan w:val="2"/>
            <w:shd w:val="clear" w:color="auto" w:fill="auto"/>
          </w:tcPr>
          <w:p>
            <w:pPr>
              <w:pStyle w:val="33"/>
            </w:pPr>
            <w:r>
              <w:rPr>
                <w:rFonts w:hint="eastAsia"/>
              </w:rPr>
              <w:t>合计</w:t>
            </w:r>
          </w:p>
        </w:tc>
        <w:tc>
          <w:tcPr>
            <w:tcW w:w="1712" w:type="dxa"/>
            <w:gridSpan w:val="2"/>
            <w:shd w:val="clear" w:color="auto" w:fill="auto"/>
          </w:tcPr>
          <w:p>
            <w:pPr>
              <w:pStyle w:val="33"/>
            </w:pPr>
            <w:r>
              <w:rPr>
                <w:rFonts w:hint="eastAsia"/>
              </w:rPr>
              <w:t>正高</w:t>
            </w:r>
          </w:p>
        </w:tc>
        <w:tc>
          <w:tcPr>
            <w:tcW w:w="1612" w:type="dxa"/>
            <w:gridSpan w:val="2"/>
            <w:shd w:val="clear" w:color="auto" w:fill="auto"/>
          </w:tcPr>
          <w:p>
            <w:pPr>
              <w:pStyle w:val="33"/>
            </w:pPr>
            <w:r>
              <w:rPr>
                <w:rFonts w:hint="eastAsia"/>
              </w:rPr>
              <w:t>副高</w:t>
            </w:r>
          </w:p>
        </w:tc>
        <w:tc>
          <w:tcPr>
            <w:tcW w:w="1527" w:type="dxa"/>
            <w:gridSpan w:val="2"/>
            <w:vMerge w:val="continue"/>
            <w:shd w:val="clear" w:color="auto" w:fill="auto"/>
          </w:tcPr>
          <w:p>
            <w:pPr>
              <w:pStyle w:val="33"/>
            </w:pPr>
          </w:p>
        </w:tc>
        <w:tc>
          <w:tcPr>
            <w:tcW w:w="1650" w:type="dxa"/>
            <w:gridSpan w:val="2"/>
            <w:vMerge w:val="continue"/>
            <w:shd w:val="clear" w:color="auto" w:fill="auto"/>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trPr>
        <w:tc>
          <w:tcPr>
            <w:tcW w:w="622" w:type="dxa"/>
            <w:vMerge w:val="continue"/>
            <w:shd w:val="clear" w:color="auto" w:fill="auto"/>
          </w:tcPr>
          <w:p>
            <w:pPr>
              <w:pStyle w:val="33"/>
            </w:pPr>
          </w:p>
        </w:tc>
        <w:tc>
          <w:tcPr>
            <w:tcW w:w="562" w:type="dxa"/>
            <w:shd w:val="clear" w:color="auto" w:fill="auto"/>
          </w:tcPr>
          <w:p>
            <w:pPr>
              <w:pStyle w:val="33"/>
            </w:pPr>
            <w:r>
              <w:rPr>
                <w:rFonts w:hint="eastAsia"/>
              </w:rPr>
              <w:t>人数</w:t>
            </w:r>
          </w:p>
        </w:tc>
        <w:tc>
          <w:tcPr>
            <w:tcW w:w="837" w:type="dxa"/>
            <w:shd w:val="clear" w:color="auto" w:fill="auto"/>
          </w:tcPr>
          <w:p>
            <w:pPr>
              <w:pStyle w:val="33"/>
            </w:pPr>
            <w:r>
              <w:rPr>
                <w:rFonts w:hint="eastAsia"/>
              </w:rPr>
              <w:t>所占</w:t>
            </w:r>
          </w:p>
          <w:p>
            <w:pPr>
              <w:pStyle w:val="33"/>
            </w:pPr>
            <w:r>
              <w:rPr>
                <w:rFonts w:hint="eastAsia"/>
              </w:rPr>
              <w:t>比例</w:t>
            </w:r>
          </w:p>
        </w:tc>
        <w:tc>
          <w:tcPr>
            <w:tcW w:w="815" w:type="dxa"/>
            <w:shd w:val="clear" w:color="auto" w:fill="auto"/>
          </w:tcPr>
          <w:p>
            <w:pPr>
              <w:pStyle w:val="33"/>
            </w:pPr>
            <w:r>
              <w:rPr>
                <w:rFonts w:hint="eastAsia"/>
              </w:rPr>
              <w:t>人数</w:t>
            </w:r>
          </w:p>
        </w:tc>
        <w:tc>
          <w:tcPr>
            <w:tcW w:w="897" w:type="dxa"/>
            <w:shd w:val="clear" w:color="auto" w:fill="auto"/>
          </w:tcPr>
          <w:p>
            <w:pPr>
              <w:pStyle w:val="33"/>
            </w:pPr>
            <w:r>
              <w:rPr>
                <w:rFonts w:hint="eastAsia"/>
              </w:rPr>
              <w:t>所占</w:t>
            </w:r>
          </w:p>
          <w:p>
            <w:pPr>
              <w:pStyle w:val="33"/>
            </w:pPr>
            <w:r>
              <w:rPr>
                <w:rFonts w:hint="eastAsia"/>
              </w:rPr>
              <w:t>比例</w:t>
            </w:r>
          </w:p>
        </w:tc>
        <w:tc>
          <w:tcPr>
            <w:tcW w:w="777" w:type="dxa"/>
            <w:shd w:val="clear" w:color="auto" w:fill="auto"/>
          </w:tcPr>
          <w:p>
            <w:pPr>
              <w:pStyle w:val="33"/>
            </w:pPr>
            <w:r>
              <w:rPr>
                <w:rFonts w:hint="eastAsia"/>
              </w:rPr>
              <w:t>人数</w:t>
            </w:r>
          </w:p>
        </w:tc>
        <w:tc>
          <w:tcPr>
            <w:tcW w:w="835" w:type="dxa"/>
            <w:shd w:val="clear" w:color="auto" w:fill="auto"/>
          </w:tcPr>
          <w:p>
            <w:pPr>
              <w:pStyle w:val="33"/>
            </w:pPr>
            <w:r>
              <w:rPr>
                <w:rFonts w:hint="eastAsia"/>
              </w:rPr>
              <w:t>所占</w:t>
            </w:r>
          </w:p>
          <w:p>
            <w:pPr>
              <w:pStyle w:val="33"/>
            </w:pPr>
            <w:r>
              <w:rPr>
                <w:rFonts w:hint="eastAsia"/>
              </w:rPr>
              <w:t>比例</w:t>
            </w:r>
          </w:p>
        </w:tc>
        <w:tc>
          <w:tcPr>
            <w:tcW w:w="668" w:type="dxa"/>
            <w:shd w:val="clear" w:color="auto" w:fill="auto"/>
          </w:tcPr>
          <w:p>
            <w:pPr>
              <w:pStyle w:val="33"/>
            </w:pPr>
            <w:r>
              <w:rPr>
                <w:rFonts w:hint="eastAsia"/>
              </w:rPr>
              <w:t>人数</w:t>
            </w:r>
          </w:p>
        </w:tc>
        <w:tc>
          <w:tcPr>
            <w:tcW w:w="859" w:type="dxa"/>
            <w:shd w:val="clear" w:color="auto" w:fill="auto"/>
          </w:tcPr>
          <w:p>
            <w:pPr>
              <w:pStyle w:val="33"/>
            </w:pPr>
            <w:r>
              <w:rPr>
                <w:rFonts w:hint="eastAsia"/>
              </w:rPr>
              <w:t>所占</w:t>
            </w:r>
          </w:p>
          <w:p>
            <w:pPr>
              <w:pStyle w:val="33"/>
            </w:pPr>
            <w:r>
              <w:rPr>
                <w:rFonts w:hint="eastAsia"/>
              </w:rPr>
              <w:t>比例</w:t>
            </w:r>
          </w:p>
        </w:tc>
        <w:tc>
          <w:tcPr>
            <w:tcW w:w="815" w:type="dxa"/>
            <w:shd w:val="clear" w:color="auto" w:fill="auto"/>
          </w:tcPr>
          <w:p>
            <w:pPr>
              <w:pStyle w:val="33"/>
            </w:pPr>
            <w:r>
              <w:rPr>
                <w:rFonts w:hint="eastAsia"/>
              </w:rPr>
              <w:t>人数</w:t>
            </w:r>
          </w:p>
        </w:tc>
        <w:tc>
          <w:tcPr>
            <w:tcW w:w="835" w:type="dxa"/>
            <w:shd w:val="clear" w:color="auto" w:fill="auto"/>
          </w:tcPr>
          <w:p>
            <w:pPr>
              <w:pStyle w:val="33"/>
            </w:pPr>
            <w:r>
              <w:rPr>
                <w:rFonts w:hint="eastAsia"/>
              </w:rPr>
              <w:t>所占</w:t>
            </w:r>
          </w:p>
          <w:p>
            <w:pPr>
              <w:pStyle w:val="33"/>
            </w:pPr>
            <w:r>
              <w:rPr>
                <w:rFonts w:hint="eastAsia"/>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22" w:type="dxa"/>
            <w:shd w:val="clear" w:color="auto" w:fill="auto"/>
          </w:tcPr>
          <w:p>
            <w:pPr>
              <w:widowControl/>
              <w:spacing w:line="300" w:lineRule="exact"/>
              <w:rPr>
                <w:rFonts w:cs="仿宋"/>
                <w:kern w:val="0"/>
                <w:szCs w:val="21"/>
              </w:rPr>
            </w:pPr>
            <w:r>
              <w:rPr>
                <w:rFonts w:hint="eastAsia" w:cs="仿宋"/>
                <w:kern w:val="0"/>
                <w:szCs w:val="21"/>
              </w:rPr>
              <w:t>148</w:t>
            </w:r>
          </w:p>
        </w:tc>
        <w:tc>
          <w:tcPr>
            <w:tcW w:w="562" w:type="dxa"/>
            <w:shd w:val="clear" w:color="auto" w:fill="auto"/>
          </w:tcPr>
          <w:p>
            <w:pPr>
              <w:widowControl/>
              <w:spacing w:line="300" w:lineRule="exact"/>
              <w:rPr>
                <w:rFonts w:cs="仿宋"/>
                <w:kern w:val="0"/>
                <w:szCs w:val="21"/>
              </w:rPr>
            </w:pPr>
            <w:r>
              <w:rPr>
                <w:rFonts w:hint="eastAsia" w:cs="仿宋"/>
                <w:kern w:val="0"/>
                <w:szCs w:val="21"/>
              </w:rPr>
              <w:t>61</w:t>
            </w:r>
          </w:p>
        </w:tc>
        <w:tc>
          <w:tcPr>
            <w:tcW w:w="837" w:type="dxa"/>
            <w:shd w:val="clear" w:color="auto" w:fill="auto"/>
          </w:tcPr>
          <w:p>
            <w:pPr>
              <w:widowControl/>
              <w:spacing w:line="300" w:lineRule="exact"/>
              <w:rPr>
                <w:rFonts w:cs="仿宋"/>
                <w:kern w:val="0"/>
                <w:szCs w:val="21"/>
              </w:rPr>
            </w:pPr>
            <w:r>
              <w:rPr>
                <w:rFonts w:hint="eastAsia" w:cs="仿宋"/>
                <w:kern w:val="0"/>
                <w:szCs w:val="21"/>
              </w:rPr>
              <w:t>41.2%</w:t>
            </w:r>
          </w:p>
        </w:tc>
        <w:tc>
          <w:tcPr>
            <w:tcW w:w="815" w:type="dxa"/>
            <w:shd w:val="clear" w:color="auto" w:fill="auto"/>
          </w:tcPr>
          <w:p>
            <w:pPr>
              <w:widowControl/>
              <w:spacing w:line="300" w:lineRule="exact"/>
              <w:rPr>
                <w:rFonts w:cs="仿宋"/>
                <w:kern w:val="0"/>
                <w:szCs w:val="21"/>
              </w:rPr>
            </w:pPr>
            <w:r>
              <w:rPr>
                <w:rFonts w:hint="eastAsia" w:cs="仿宋"/>
                <w:kern w:val="0"/>
                <w:szCs w:val="21"/>
              </w:rPr>
              <w:t>8</w:t>
            </w:r>
          </w:p>
        </w:tc>
        <w:tc>
          <w:tcPr>
            <w:tcW w:w="897" w:type="dxa"/>
            <w:shd w:val="clear" w:color="auto" w:fill="auto"/>
          </w:tcPr>
          <w:p>
            <w:pPr>
              <w:widowControl/>
              <w:spacing w:line="300" w:lineRule="exact"/>
              <w:rPr>
                <w:rFonts w:cs="仿宋"/>
                <w:kern w:val="0"/>
                <w:szCs w:val="21"/>
              </w:rPr>
            </w:pPr>
            <w:r>
              <w:rPr>
                <w:rFonts w:hint="eastAsia" w:cs="仿宋"/>
                <w:kern w:val="0"/>
                <w:szCs w:val="21"/>
              </w:rPr>
              <w:t>5.4%</w:t>
            </w:r>
          </w:p>
        </w:tc>
        <w:tc>
          <w:tcPr>
            <w:tcW w:w="777" w:type="dxa"/>
            <w:shd w:val="clear" w:color="auto" w:fill="auto"/>
          </w:tcPr>
          <w:p>
            <w:pPr>
              <w:widowControl/>
              <w:spacing w:line="300" w:lineRule="exact"/>
              <w:rPr>
                <w:rFonts w:cs="仿宋"/>
                <w:kern w:val="0"/>
                <w:szCs w:val="21"/>
              </w:rPr>
            </w:pPr>
            <w:r>
              <w:rPr>
                <w:rFonts w:hint="eastAsia" w:cs="仿宋"/>
                <w:kern w:val="0"/>
                <w:szCs w:val="21"/>
              </w:rPr>
              <w:t>53</w:t>
            </w:r>
          </w:p>
        </w:tc>
        <w:tc>
          <w:tcPr>
            <w:tcW w:w="835" w:type="dxa"/>
            <w:shd w:val="clear" w:color="auto" w:fill="auto"/>
          </w:tcPr>
          <w:p>
            <w:pPr>
              <w:widowControl/>
              <w:spacing w:line="300" w:lineRule="exact"/>
              <w:rPr>
                <w:rFonts w:cs="仿宋"/>
                <w:kern w:val="0"/>
                <w:szCs w:val="21"/>
              </w:rPr>
            </w:pPr>
            <w:r>
              <w:rPr>
                <w:rFonts w:hint="eastAsia" w:cs="仿宋"/>
                <w:kern w:val="0"/>
                <w:szCs w:val="21"/>
              </w:rPr>
              <w:t>35.8%</w:t>
            </w:r>
          </w:p>
        </w:tc>
        <w:tc>
          <w:tcPr>
            <w:tcW w:w="668" w:type="dxa"/>
            <w:shd w:val="clear" w:color="auto" w:fill="auto"/>
          </w:tcPr>
          <w:p>
            <w:pPr>
              <w:widowControl/>
              <w:spacing w:line="300" w:lineRule="exact"/>
              <w:rPr>
                <w:rFonts w:cs="仿宋"/>
                <w:kern w:val="0"/>
                <w:szCs w:val="21"/>
              </w:rPr>
            </w:pPr>
            <w:r>
              <w:rPr>
                <w:rFonts w:hint="eastAsia" w:cs="仿宋"/>
                <w:kern w:val="0"/>
                <w:szCs w:val="21"/>
              </w:rPr>
              <w:t>78</w:t>
            </w:r>
          </w:p>
        </w:tc>
        <w:tc>
          <w:tcPr>
            <w:tcW w:w="859" w:type="dxa"/>
            <w:shd w:val="clear" w:color="auto" w:fill="auto"/>
          </w:tcPr>
          <w:p>
            <w:pPr>
              <w:widowControl/>
              <w:spacing w:line="300" w:lineRule="exact"/>
              <w:rPr>
                <w:rFonts w:cs="仿宋"/>
                <w:kern w:val="0"/>
                <w:szCs w:val="21"/>
              </w:rPr>
            </w:pPr>
            <w:r>
              <w:rPr>
                <w:rFonts w:hint="eastAsia" w:cs="仿宋"/>
                <w:kern w:val="0"/>
                <w:szCs w:val="21"/>
              </w:rPr>
              <w:t>52.7%</w:t>
            </w:r>
          </w:p>
        </w:tc>
        <w:tc>
          <w:tcPr>
            <w:tcW w:w="815" w:type="dxa"/>
            <w:shd w:val="clear" w:color="auto" w:fill="auto"/>
          </w:tcPr>
          <w:p>
            <w:pPr>
              <w:widowControl/>
              <w:spacing w:line="300" w:lineRule="exact"/>
              <w:rPr>
                <w:rFonts w:cs="仿宋"/>
                <w:kern w:val="0"/>
                <w:szCs w:val="21"/>
              </w:rPr>
            </w:pPr>
            <w:r>
              <w:rPr>
                <w:rFonts w:hint="eastAsia" w:cs="仿宋"/>
                <w:kern w:val="0"/>
                <w:szCs w:val="21"/>
              </w:rPr>
              <w:t>9</w:t>
            </w:r>
          </w:p>
        </w:tc>
        <w:tc>
          <w:tcPr>
            <w:tcW w:w="835" w:type="dxa"/>
            <w:shd w:val="clear" w:color="auto" w:fill="auto"/>
          </w:tcPr>
          <w:p>
            <w:pPr>
              <w:widowControl/>
              <w:spacing w:line="300" w:lineRule="exact"/>
              <w:rPr>
                <w:rFonts w:cs="仿宋"/>
                <w:kern w:val="0"/>
                <w:szCs w:val="21"/>
              </w:rPr>
            </w:pPr>
            <w:r>
              <w:rPr>
                <w:rFonts w:hint="eastAsia" w:cs="仿宋"/>
                <w:kern w:val="0"/>
                <w:szCs w:val="21"/>
              </w:rPr>
              <w:t>6.1%</w:t>
            </w:r>
          </w:p>
        </w:tc>
      </w:tr>
    </w:tbl>
    <w:p>
      <w:pPr>
        <w:pStyle w:val="36"/>
      </w:pPr>
      <w:r>
        <w:tab/>
      </w:r>
    </w:p>
    <w:p>
      <w:pPr>
        <w:pStyle w:val="36"/>
      </w:pPr>
      <w:r>
        <w:rPr>
          <w:rFonts w:hint="eastAsia"/>
          <w:szCs w:val="21"/>
        </w:rPr>
        <w:t>表1-3 专任教师队伍学历结构情况表</w:t>
      </w:r>
    </w:p>
    <w:tbl>
      <w:tblPr>
        <w:tblStyle w:val="16"/>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76"/>
        <w:gridCol w:w="1075"/>
        <w:gridCol w:w="876"/>
        <w:gridCol w:w="965"/>
        <w:gridCol w:w="968"/>
        <w:gridCol w:w="1057"/>
        <w:gridCol w:w="1016"/>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811" w:type="dxa"/>
            <w:vMerge w:val="restart"/>
            <w:shd w:val="clear" w:color="auto" w:fill="auto"/>
          </w:tcPr>
          <w:p>
            <w:pPr>
              <w:pStyle w:val="33"/>
            </w:pPr>
            <w:r>
              <w:rPr>
                <w:rFonts w:hint="eastAsia"/>
              </w:rPr>
              <w:t>专任教师总数</w:t>
            </w:r>
          </w:p>
        </w:tc>
        <w:tc>
          <w:tcPr>
            <w:tcW w:w="7703" w:type="dxa"/>
            <w:gridSpan w:val="8"/>
            <w:shd w:val="clear" w:color="auto" w:fill="auto"/>
          </w:tcPr>
          <w:p>
            <w:pPr>
              <w:pStyle w:val="33"/>
            </w:pPr>
            <w:r>
              <w:rPr>
                <w:rFonts w:hint="eastAsia"/>
              </w:rPr>
              <w:t>学历（学位）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811" w:type="dxa"/>
            <w:vMerge w:val="continue"/>
            <w:shd w:val="clear" w:color="auto" w:fill="auto"/>
          </w:tcPr>
          <w:p>
            <w:pPr>
              <w:pStyle w:val="33"/>
            </w:pPr>
          </w:p>
        </w:tc>
        <w:tc>
          <w:tcPr>
            <w:tcW w:w="5817" w:type="dxa"/>
            <w:gridSpan w:val="6"/>
            <w:shd w:val="clear" w:color="auto" w:fill="auto"/>
          </w:tcPr>
          <w:p>
            <w:pPr>
              <w:pStyle w:val="33"/>
            </w:pPr>
            <w:r>
              <w:rPr>
                <w:rFonts w:hint="eastAsia"/>
              </w:rPr>
              <w:t>硕士以上</w:t>
            </w:r>
          </w:p>
        </w:tc>
        <w:tc>
          <w:tcPr>
            <w:tcW w:w="1886" w:type="dxa"/>
            <w:gridSpan w:val="2"/>
            <w:vMerge w:val="restart"/>
            <w:shd w:val="clear" w:color="auto" w:fill="auto"/>
          </w:tcPr>
          <w:p>
            <w:pPr>
              <w:pStyle w:val="33"/>
            </w:pPr>
            <w:r>
              <w:rPr>
                <w:rFonts w:hint="eastAsia"/>
              </w:rPr>
              <w:t>本科及以下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811" w:type="dxa"/>
            <w:vMerge w:val="continue"/>
            <w:shd w:val="clear" w:color="auto" w:fill="auto"/>
          </w:tcPr>
          <w:p>
            <w:pPr>
              <w:pStyle w:val="33"/>
            </w:pPr>
          </w:p>
        </w:tc>
        <w:tc>
          <w:tcPr>
            <w:tcW w:w="1951" w:type="dxa"/>
            <w:gridSpan w:val="2"/>
            <w:shd w:val="clear" w:color="auto" w:fill="auto"/>
          </w:tcPr>
          <w:p>
            <w:pPr>
              <w:pStyle w:val="33"/>
            </w:pPr>
            <w:r>
              <w:rPr>
                <w:rFonts w:hint="eastAsia"/>
              </w:rPr>
              <w:t>合计</w:t>
            </w:r>
          </w:p>
        </w:tc>
        <w:tc>
          <w:tcPr>
            <w:tcW w:w="1841" w:type="dxa"/>
            <w:gridSpan w:val="2"/>
            <w:shd w:val="clear" w:color="auto" w:fill="auto"/>
          </w:tcPr>
          <w:p>
            <w:pPr>
              <w:pStyle w:val="33"/>
            </w:pPr>
            <w:r>
              <w:rPr>
                <w:rFonts w:hint="eastAsia"/>
              </w:rPr>
              <w:t>博士</w:t>
            </w:r>
          </w:p>
        </w:tc>
        <w:tc>
          <w:tcPr>
            <w:tcW w:w="2025" w:type="dxa"/>
            <w:gridSpan w:val="2"/>
            <w:shd w:val="clear" w:color="auto" w:fill="auto"/>
          </w:tcPr>
          <w:p>
            <w:pPr>
              <w:pStyle w:val="33"/>
            </w:pPr>
            <w:r>
              <w:rPr>
                <w:rFonts w:hint="eastAsia"/>
              </w:rPr>
              <w:t>硕士</w:t>
            </w:r>
          </w:p>
        </w:tc>
        <w:tc>
          <w:tcPr>
            <w:tcW w:w="1886" w:type="dxa"/>
            <w:gridSpan w:val="2"/>
            <w:vMerge w:val="continue"/>
            <w:shd w:val="clear" w:color="auto" w:fill="auto"/>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811" w:type="dxa"/>
            <w:vMerge w:val="continue"/>
            <w:shd w:val="clear" w:color="auto" w:fill="auto"/>
          </w:tcPr>
          <w:p>
            <w:pPr>
              <w:pStyle w:val="33"/>
            </w:pPr>
          </w:p>
        </w:tc>
        <w:tc>
          <w:tcPr>
            <w:tcW w:w="876" w:type="dxa"/>
            <w:shd w:val="clear" w:color="auto" w:fill="auto"/>
          </w:tcPr>
          <w:p>
            <w:pPr>
              <w:pStyle w:val="33"/>
            </w:pPr>
            <w:r>
              <w:rPr>
                <w:rFonts w:hint="eastAsia"/>
              </w:rPr>
              <w:t>人数</w:t>
            </w:r>
          </w:p>
        </w:tc>
        <w:tc>
          <w:tcPr>
            <w:tcW w:w="1075" w:type="dxa"/>
            <w:shd w:val="clear" w:color="auto" w:fill="auto"/>
          </w:tcPr>
          <w:p>
            <w:pPr>
              <w:pStyle w:val="33"/>
            </w:pPr>
            <w:r>
              <w:rPr>
                <w:rFonts w:hint="eastAsia"/>
              </w:rPr>
              <w:t>所占</w:t>
            </w:r>
          </w:p>
          <w:p>
            <w:pPr>
              <w:pStyle w:val="33"/>
            </w:pPr>
            <w:r>
              <w:rPr>
                <w:rFonts w:hint="eastAsia"/>
              </w:rPr>
              <w:t>比例</w:t>
            </w:r>
          </w:p>
        </w:tc>
        <w:tc>
          <w:tcPr>
            <w:tcW w:w="876" w:type="dxa"/>
            <w:shd w:val="clear" w:color="auto" w:fill="auto"/>
          </w:tcPr>
          <w:p>
            <w:pPr>
              <w:pStyle w:val="33"/>
            </w:pPr>
            <w:r>
              <w:rPr>
                <w:rFonts w:hint="eastAsia"/>
              </w:rPr>
              <w:t>人数</w:t>
            </w:r>
          </w:p>
        </w:tc>
        <w:tc>
          <w:tcPr>
            <w:tcW w:w="965" w:type="dxa"/>
            <w:shd w:val="clear" w:color="auto" w:fill="auto"/>
          </w:tcPr>
          <w:p>
            <w:pPr>
              <w:pStyle w:val="33"/>
            </w:pPr>
            <w:r>
              <w:rPr>
                <w:rFonts w:hint="eastAsia"/>
              </w:rPr>
              <w:t>所占</w:t>
            </w:r>
          </w:p>
          <w:p>
            <w:pPr>
              <w:pStyle w:val="33"/>
            </w:pPr>
            <w:r>
              <w:rPr>
                <w:rFonts w:hint="eastAsia"/>
              </w:rPr>
              <w:t>比例</w:t>
            </w:r>
          </w:p>
        </w:tc>
        <w:tc>
          <w:tcPr>
            <w:tcW w:w="968" w:type="dxa"/>
            <w:shd w:val="clear" w:color="auto" w:fill="auto"/>
          </w:tcPr>
          <w:p>
            <w:pPr>
              <w:pStyle w:val="33"/>
            </w:pPr>
            <w:r>
              <w:rPr>
                <w:rFonts w:hint="eastAsia"/>
              </w:rPr>
              <w:t>人数</w:t>
            </w:r>
          </w:p>
        </w:tc>
        <w:tc>
          <w:tcPr>
            <w:tcW w:w="1057" w:type="dxa"/>
            <w:shd w:val="clear" w:color="auto" w:fill="auto"/>
          </w:tcPr>
          <w:p>
            <w:pPr>
              <w:pStyle w:val="33"/>
            </w:pPr>
            <w:r>
              <w:rPr>
                <w:rFonts w:hint="eastAsia"/>
              </w:rPr>
              <w:t>所占</w:t>
            </w:r>
          </w:p>
          <w:p>
            <w:pPr>
              <w:pStyle w:val="33"/>
            </w:pPr>
            <w:r>
              <w:rPr>
                <w:rFonts w:hint="eastAsia"/>
              </w:rPr>
              <w:t>比例</w:t>
            </w:r>
          </w:p>
        </w:tc>
        <w:tc>
          <w:tcPr>
            <w:tcW w:w="1016" w:type="dxa"/>
            <w:shd w:val="clear" w:color="auto" w:fill="auto"/>
          </w:tcPr>
          <w:p>
            <w:pPr>
              <w:pStyle w:val="33"/>
            </w:pPr>
            <w:r>
              <w:rPr>
                <w:rFonts w:hint="eastAsia"/>
              </w:rPr>
              <w:t>人数</w:t>
            </w:r>
          </w:p>
        </w:tc>
        <w:tc>
          <w:tcPr>
            <w:tcW w:w="870" w:type="dxa"/>
            <w:shd w:val="clear" w:color="auto" w:fill="auto"/>
          </w:tcPr>
          <w:p>
            <w:pPr>
              <w:pStyle w:val="33"/>
            </w:pPr>
            <w:r>
              <w:rPr>
                <w:rFonts w:hint="eastAsia"/>
              </w:rPr>
              <w:t>所占</w:t>
            </w:r>
          </w:p>
          <w:p>
            <w:pPr>
              <w:pStyle w:val="33"/>
            </w:pPr>
            <w:r>
              <w:rPr>
                <w:rFonts w:hint="eastAsia"/>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811" w:type="dxa"/>
            <w:shd w:val="clear" w:color="auto" w:fill="auto"/>
          </w:tcPr>
          <w:p>
            <w:pPr>
              <w:spacing w:line="300" w:lineRule="exact"/>
              <w:rPr>
                <w:rFonts w:cs="仿宋"/>
                <w:kern w:val="0"/>
                <w:szCs w:val="21"/>
              </w:rPr>
            </w:pPr>
            <w:r>
              <w:rPr>
                <w:rFonts w:hint="eastAsia" w:cs="仿宋"/>
                <w:kern w:val="0"/>
                <w:szCs w:val="21"/>
              </w:rPr>
              <w:t>148</w:t>
            </w:r>
          </w:p>
        </w:tc>
        <w:tc>
          <w:tcPr>
            <w:tcW w:w="876" w:type="dxa"/>
            <w:shd w:val="clear" w:color="auto" w:fill="auto"/>
          </w:tcPr>
          <w:p>
            <w:pPr>
              <w:widowControl/>
              <w:spacing w:line="300" w:lineRule="exact"/>
              <w:rPr>
                <w:rFonts w:cs="仿宋"/>
                <w:kern w:val="0"/>
                <w:szCs w:val="21"/>
              </w:rPr>
            </w:pPr>
            <w:r>
              <w:rPr>
                <w:rFonts w:hint="eastAsia" w:cs="仿宋"/>
                <w:kern w:val="0"/>
                <w:szCs w:val="21"/>
              </w:rPr>
              <w:t>27</w:t>
            </w:r>
          </w:p>
        </w:tc>
        <w:tc>
          <w:tcPr>
            <w:tcW w:w="1075" w:type="dxa"/>
            <w:shd w:val="clear" w:color="auto" w:fill="auto"/>
          </w:tcPr>
          <w:p>
            <w:pPr>
              <w:widowControl/>
              <w:spacing w:line="300" w:lineRule="exact"/>
              <w:rPr>
                <w:rFonts w:cs="仿宋"/>
                <w:kern w:val="0"/>
                <w:szCs w:val="21"/>
              </w:rPr>
            </w:pPr>
            <w:r>
              <w:rPr>
                <w:rFonts w:hint="eastAsia" w:cs="仿宋"/>
                <w:kern w:val="0"/>
                <w:szCs w:val="21"/>
              </w:rPr>
              <w:t>18.2%</w:t>
            </w:r>
          </w:p>
        </w:tc>
        <w:tc>
          <w:tcPr>
            <w:tcW w:w="876" w:type="dxa"/>
            <w:shd w:val="clear" w:color="auto" w:fill="auto"/>
          </w:tcPr>
          <w:p>
            <w:pPr>
              <w:widowControl/>
              <w:spacing w:line="300" w:lineRule="exact"/>
              <w:rPr>
                <w:rFonts w:cs="仿宋"/>
                <w:kern w:val="0"/>
                <w:szCs w:val="21"/>
              </w:rPr>
            </w:pPr>
            <w:r>
              <w:rPr>
                <w:rFonts w:hint="eastAsia" w:cs="仿宋"/>
                <w:kern w:val="0"/>
                <w:szCs w:val="21"/>
              </w:rPr>
              <w:t>1</w:t>
            </w:r>
          </w:p>
        </w:tc>
        <w:tc>
          <w:tcPr>
            <w:tcW w:w="965" w:type="dxa"/>
            <w:shd w:val="clear" w:color="auto" w:fill="auto"/>
          </w:tcPr>
          <w:p>
            <w:pPr>
              <w:widowControl/>
              <w:spacing w:line="300" w:lineRule="exact"/>
              <w:rPr>
                <w:rFonts w:cs="仿宋"/>
                <w:kern w:val="0"/>
                <w:szCs w:val="21"/>
              </w:rPr>
            </w:pPr>
            <w:r>
              <w:rPr>
                <w:rFonts w:hint="eastAsia" w:cs="仿宋"/>
                <w:kern w:val="0"/>
                <w:szCs w:val="21"/>
              </w:rPr>
              <w:t>0.6%</w:t>
            </w:r>
          </w:p>
        </w:tc>
        <w:tc>
          <w:tcPr>
            <w:tcW w:w="968" w:type="dxa"/>
            <w:shd w:val="clear" w:color="auto" w:fill="auto"/>
          </w:tcPr>
          <w:p>
            <w:pPr>
              <w:widowControl/>
              <w:spacing w:line="300" w:lineRule="exact"/>
              <w:rPr>
                <w:rFonts w:cs="仿宋"/>
                <w:kern w:val="0"/>
                <w:szCs w:val="21"/>
              </w:rPr>
            </w:pPr>
            <w:r>
              <w:rPr>
                <w:rFonts w:hint="eastAsia" w:cs="仿宋"/>
                <w:kern w:val="0"/>
                <w:szCs w:val="21"/>
              </w:rPr>
              <w:t>26</w:t>
            </w:r>
          </w:p>
        </w:tc>
        <w:tc>
          <w:tcPr>
            <w:tcW w:w="1057" w:type="dxa"/>
            <w:shd w:val="clear" w:color="auto" w:fill="auto"/>
          </w:tcPr>
          <w:p>
            <w:pPr>
              <w:widowControl/>
              <w:spacing w:line="300" w:lineRule="exact"/>
              <w:rPr>
                <w:rFonts w:cs="仿宋"/>
                <w:kern w:val="0"/>
                <w:szCs w:val="21"/>
              </w:rPr>
            </w:pPr>
            <w:r>
              <w:rPr>
                <w:rFonts w:hint="eastAsia" w:cs="仿宋"/>
                <w:kern w:val="0"/>
                <w:szCs w:val="21"/>
              </w:rPr>
              <w:t>17.6%</w:t>
            </w:r>
          </w:p>
        </w:tc>
        <w:tc>
          <w:tcPr>
            <w:tcW w:w="1016" w:type="dxa"/>
            <w:shd w:val="clear" w:color="auto" w:fill="auto"/>
          </w:tcPr>
          <w:p>
            <w:pPr>
              <w:widowControl/>
              <w:spacing w:line="300" w:lineRule="exact"/>
              <w:rPr>
                <w:rFonts w:cs="仿宋"/>
                <w:kern w:val="0"/>
                <w:szCs w:val="21"/>
              </w:rPr>
            </w:pPr>
            <w:r>
              <w:rPr>
                <w:rFonts w:hint="eastAsia" w:cs="仿宋"/>
                <w:kern w:val="0"/>
                <w:szCs w:val="21"/>
              </w:rPr>
              <w:t>121</w:t>
            </w:r>
          </w:p>
        </w:tc>
        <w:tc>
          <w:tcPr>
            <w:tcW w:w="870" w:type="dxa"/>
            <w:shd w:val="clear" w:color="auto" w:fill="auto"/>
          </w:tcPr>
          <w:p>
            <w:pPr>
              <w:widowControl/>
              <w:spacing w:line="300" w:lineRule="exact"/>
              <w:rPr>
                <w:rFonts w:cs="仿宋"/>
                <w:kern w:val="0"/>
                <w:szCs w:val="21"/>
              </w:rPr>
            </w:pPr>
            <w:r>
              <w:rPr>
                <w:rFonts w:hint="eastAsia" w:cs="仿宋"/>
                <w:kern w:val="0"/>
                <w:szCs w:val="21"/>
              </w:rPr>
              <w:t>81.8%</w:t>
            </w:r>
          </w:p>
        </w:tc>
      </w:tr>
    </w:tbl>
    <w:p>
      <w:pPr>
        <w:pStyle w:val="3"/>
        <w:spacing w:before="156" w:after="156"/>
        <w:ind w:firstLine="562"/>
      </w:pPr>
      <w:bookmarkStart w:id="29" w:name="_Toc88032467"/>
      <w:r>
        <w:rPr>
          <w:rFonts w:hint="eastAsia"/>
        </w:rPr>
        <w:t>1.4 设施设备</w:t>
      </w:r>
      <w:bookmarkEnd w:id="25"/>
      <w:bookmarkEnd w:id="26"/>
      <w:bookmarkEnd w:id="27"/>
      <w:bookmarkEnd w:id="28"/>
      <w:bookmarkEnd w:id="29"/>
    </w:p>
    <w:p>
      <w:pPr>
        <w:pStyle w:val="5"/>
        <w:ind w:firstLine="560"/>
        <w:rPr>
          <w:rFonts w:ascii="黑体" w:eastAsia="黑体"/>
          <w:b/>
          <w:sz w:val="32"/>
          <w:szCs w:val="32"/>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bookmarkStart w:id="30" w:name="_Toc3054"/>
      <w:bookmarkStart w:id="31" w:name="_Toc29244"/>
      <w:bookmarkStart w:id="32" w:name="_Toc5208_WPSOffice_Level1"/>
      <w:bookmarkStart w:id="33" w:name="_Toc7340"/>
      <w:r>
        <w:rPr>
          <w:rFonts w:hint="eastAsia"/>
        </w:rPr>
        <w:t>学校建有各专业实验实训中心8个、建筑面积9700平方米，截止于2021年10月底，生均教学仪器设备值4796元，生均实训实习工位数0.89。</w:t>
      </w:r>
    </w:p>
    <w:p>
      <w:pPr>
        <w:pStyle w:val="2"/>
      </w:pPr>
      <w:bookmarkStart w:id="34" w:name="_Toc88032468"/>
      <w:r>
        <w:rPr>
          <w:rFonts w:hint="eastAsia"/>
        </w:rPr>
        <w:t>2 学生发展</w:t>
      </w:r>
      <w:bookmarkEnd w:id="30"/>
      <w:bookmarkEnd w:id="31"/>
      <w:bookmarkEnd w:id="32"/>
      <w:bookmarkEnd w:id="33"/>
      <w:bookmarkEnd w:id="34"/>
    </w:p>
    <w:p>
      <w:pPr>
        <w:pStyle w:val="3"/>
        <w:spacing w:before="156" w:after="156"/>
        <w:ind w:firstLine="562"/>
      </w:pPr>
      <w:bookmarkStart w:id="35" w:name="_Toc9968_WPSOffice_Level1"/>
      <w:bookmarkStart w:id="36" w:name="_Toc17663"/>
      <w:bookmarkStart w:id="37" w:name="_Toc15435"/>
      <w:bookmarkStart w:id="38" w:name="_Toc13688"/>
      <w:bookmarkStart w:id="39" w:name="_Toc88032469"/>
      <w:r>
        <w:rPr>
          <w:rFonts w:hint="eastAsia"/>
        </w:rPr>
        <w:t>2.1 学生素质</w:t>
      </w:r>
      <w:bookmarkEnd w:id="35"/>
      <w:bookmarkEnd w:id="36"/>
      <w:bookmarkEnd w:id="37"/>
      <w:bookmarkEnd w:id="38"/>
      <w:bookmarkEnd w:id="39"/>
    </w:p>
    <w:p>
      <w:pPr>
        <w:pStyle w:val="5"/>
        <w:spacing w:beforeLines="30" w:afterLines="30"/>
        <w:ind w:firstLine="562"/>
        <w:rPr>
          <w:b/>
        </w:rPr>
      </w:pPr>
      <w:r>
        <w:rPr>
          <w:rFonts w:hint="eastAsia"/>
          <w:b/>
        </w:rPr>
        <w:t>2.1.1 思想政治状况、文化课合格率等情况</w:t>
      </w:r>
    </w:p>
    <w:p>
      <w:pPr>
        <w:ind w:firstLine="560" w:firstLineChars="200"/>
        <w:jc w:val="left"/>
        <w:rPr>
          <w:rFonts w:cs="仿宋"/>
          <w:kern w:val="0"/>
          <w:sz w:val="28"/>
          <w:szCs w:val="28"/>
        </w:rPr>
      </w:pPr>
      <w:r>
        <w:rPr>
          <w:rFonts w:hint="eastAsia" w:cs="仿宋"/>
          <w:kern w:val="0"/>
          <w:sz w:val="28"/>
          <w:szCs w:val="28"/>
        </w:rPr>
        <w:t>学校坚持立德树人和思想引领，秉承“崇仁厚德，恒志精术”的校训，坚持“抓教育、强规范、严考核、办活动”的工作方针。重视政治理论课的教育引导作用。开设了《职业生涯规划》《职业道德与法律》《经济政治与社会》《哲学与人生》等思政课程，不断强化学生的思想认同感。以主题教育活动为载体，不断加强社会主义核心价值观宣传教育，全年度开展了社会主义核心价值观系列宣讲活动；推进校园文明行，使学雷锋志愿服务活动制度化常态化；邀请辖区民警开展安全知识讲座，帮助学生提高安全防范意识与自我保护能力；组织学生积极参加文明风采系列活动，并取得优异成绩；注重党的宗教政策理论的宣讲，开展了《宗教知识趣味理论竞赛》等活动，加强宣传教育力度，增强学生法制意识、公德意识和健康生活观念，重视培养学生的诚信品质、敬业精神和责任意识、遵纪守法意识。</w:t>
      </w:r>
    </w:p>
    <w:p>
      <w:pPr>
        <w:ind w:firstLine="560" w:firstLineChars="200"/>
        <w:jc w:val="left"/>
        <w:rPr>
          <w:rFonts w:cs="仿宋"/>
          <w:sz w:val="32"/>
          <w:szCs w:val="32"/>
        </w:rPr>
      </w:pPr>
      <w:r>
        <w:rPr>
          <w:rFonts w:hint="eastAsia" w:cs="仿宋"/>
          <w:kern w:val="0"/>
          <w:sz w:val="28"/>
          <w:szCs w:val="28"/>
        </w:rPr>
        <w:t>目前我校在校生开设有专业课、公修课、思政课、劳动教育课等四大类课程。通过对20</w:t>
      </w:r>
      <w:r>
        <w:rPr>
          <w:rFonts w:cs="仿宋"/>
          <w:kern w:val="0"/>
          <w:sz w:val="28"/>
          <w:szCs w:val="28"/>
        </w:rPr>
        <w:t>20</w:t>
      </w:r>
      <w:r>
        <w:rPr>
          <w:rFonts w:hint="eastAsia" w:cs="仿宋"/>
          <w:kern w:val="0"/>
          <w:sz w:val="28"/>
          <w:szCs w:val="28"/>
        </w:rPr>
        <w:t>-202</w:t>
      </w:r>
      <w:r>
        <w:rPr>
          <w:rFonts w:cs="仿宋"/>
          <w:kern w:val="0"/>
          <w:sz w:val="28"/>
          <w:szCs w:val="28"/>
        </w:rPr>
        <w:t>1</w:t>
      </w:r>
      <w:r>
        <w:rPr>
          <w:rFonts w:hint="eastAsia" w:cs="仿宋"/>
          <w:kern w:val="0"/>
          <w:sz w:val="28"/>
          <w:szCs w:val="28"/>
        </w:rPr>
        <w:t>下半学年期末考试数据统计，学生各门文化课的优秀率在</w:t>
      </w:r>
      <w:r>
        <w:rPr>
          <w:rFonts w:cs="仿宋"/>
          <w:kern w:val="0"/>
          <w:sz w:val="28"/>
          <w:szCs w:val="28"/>
        </w:rPr>
        <w:t>9</w:t>
      </w:r>
      <w:r>
        <w:rPr>
          <w:rFonts w:hint="eastAsia" w:cs="仿宋"/>
          <w:kern w:val="0"/>
          <w:sz w:val="28"/>
          <w:szCs w:val="28"/>
        </w:rPr>
        <w:t>%--</w:t>
      </w:r>
      <w:r>
        <w:rPr>
          <w:rFonts w:cs="仿宋"/>
          <w:kern w:val="0"/>
          <w:sz w:val="28"/>
          <w:szCs w:val="28"/>
        </w:rPr>
        <w:t>36</w:t>
      </w:r>
      <w:r>
        <w:rPr>
          <w:rFonts w:hint="eastAsia" w:cs="仿宋"/>
          <w:kern w:val="0"/>
          <w:sz w:val="28"/>
          <w:szCs w:val="28"/>
        </w:rPr>
        <w:t>%之间，及格率在</w:t>
      </w:r>
      <w:r>
        <w:rPr>
          <w:rFonts w:cs="仿宋"/>
          <w:kern w:val="0"/>
          <w:sz w:val="28"/>
          <w:szCs w:val="28"/>
        </w:rPr>
        <w:t>88</w:t>
      </w:r>
      <w:r>
        <w:rPr>
          <w:rFonts w:hint="eastAsia" w:cs="仿宋"/>
          <w:kern w:val="0"/>
          <w:sz w:val="28"/>
          <w:szCs w:val="28"/>
        </w:rPr>
        <w:t>%--</w:t>
      </w:r>
      <w:r>
        <w:rPr>
          <w:rFonts w:cs="仿宋"/>
          <w:kern w:val="0"/>
          <w:sz w:val="28"/>
          <w:szCs w:val="28"/>
        </w:rPr>
        <w:t>93</w:t>
      </w:r>
      <w:r>
        <w:rPr>
          <w:rFonts w:hint="eastAsia" w:cs="仿宋"/>
          <w:kern w:val="0"/>
          <w:sz w:val="28"/>
          <w:szCs w:val="28"/>
        </w:rPr>
        <w:t>%之间，不及格率大体在</w:t>
      </w:r>
      <w:r>
        <w:rPr>
          <w:rFonts w:cs="仿宋"/>
          <w:kern w:val="0"/>
          <w:sz w:val="28"/>
          <w:szCs w:val="28"/>
        </w:rPr>
        <w:t>7</w:t>
      </w:r>
      <w:r>
        <w:rPr>
          <w:rFonts w:hint="eastAsia" w:cs="仿宋"/>
          <w:kern w:val="0"/>
          <w:sz w:val="28"/>
          <w:szCs w:val="28"/>
        </w:rPr>
        <w:t>%以下。各文化课从各专业优秀率来看，护理专业文化课基础相对要好，中医康复保健专业稍差，计算机基础课各专业学生普遍比其他文化课掌握得好。</w:t>
      </w:r>
    </w:p>
    <w:p>
      <w:pPr>
        <w:pStyle w:val="5"/>
        <w:spacing w:beforeLines="30" w:afterLines="30"/>
        <w:ind w:firstLine="562"/>
        <w:rPr>
          <w:b/>
        </w:rPr>
      </w:pPr>
      <w:r>
        <w:rPr>
          <w:rFonts w:hint="eastAsia"/>
          <w:b/>
        </w:rPr>
        <w:t>2.1.2 专业技能合格率</w:t>
      </w:r>
    </w:p>
    <w:p>
      <w:pPr>
        <w:adjustRightInd w:val="0"/>
        <w:snapToGrid w:val="0"/>
        <w:ind w:firstLine="560" w:firstLineChars="200"/>
        <w:jc w:val="left"/>
        <w:rPr>
          <w:sz w:val="28"/>
          <w:szCs w:val="28"/>
        </w:rPr>
      </w:pPr>
      <w:r>
        <w:rPr>
          <w:rFonts w:hint="eastAsia"/>
          <w:sz w:val="28"/>
          <w:szCs w:val="28"/>
        </w:rPr>
        <w:t>强化素质教育，突出专业技能训练，在人才培养方案制订时加大专业实践技能比例，并把专业实践技能融入课堂教学，加强考核，学生专业技能合格率达100%。</w:t>
      </w:r>
    </w:p>
    <w:p>
      <w:pPr>
        <w:pStyle w:val="5"/>
        <w:spacing w:beforeLines="30" w:afterLines="30"/>
        <w:ind w:firstLine="562"/>
        <w:rPr>
          <w:b/>
        </w:rPr>
      </w:pPr>
      <w:r>
        <w:rPr>
          <w:rFonts w:hint="eastAsia"/>
          <w:b/>
        </w:rPr>
        <w:t>2.1.3 体质测试合格率</w:t>
      </w:r>
    </w:p>
    <w:p>
      <w:pPr>
        <w:pStyle w:val="5"/>
        <w:ind w:firstLine="560"/>
      </w:pPr>
      <w:r>
        <w:rPr>
          <w:rFonts w:hint="eastAsia"/>
        </w:rPr>
        <w:t>南阳中医药学校认真组织实施《国家学生体质健康标准》工作，2021年度完成全校3113人的测试工作，测试统计结果为：合格以上2698人，合格率为86.75%，良好以上361人，良好率11.61%。</w:t>
      </w:r>
    </w:p>
    <w:p>
      <w:pPr>
        <w:pStyle w:val="5"/>
        <w:spacing w:beforeLines="30" w:afterLines="30"/>
        <w:ind w:firstLine="562"/>
        <w:rPr>
          <w:b/>
        </w:rPr>
      </w:pPr>
      <w:r>
        <w:rPr>
          <w:rFonts w:hint="eastAsia"/>
          <w:b/>
        </w:rPr>
        <w:t>2.1.4 毕业率</w:t>
      </w:r>
    </w:p>
    <w:p>
      <w:pPr>
        <w:pStyle w:val="5"/>
        <w:spacing w:beforeLines="30" w:afterLines="30"/>
        <w:ind w:firstLine="560"/>
      </w:pPr>
      <w:r>
        <w:rPr>
          <w:rFonts w:hint="eastAsia"/>
        </w:rPr>
        <w:t>南阳中医药学校认真做好学生学籍管理工作，严格毕业程序，联审中专毕业生1090人，办理中专毕业证1090份，毕业率为100%。</w:t>
      </w:r>
    </w:p>
    <w:p>
      <w:pPr>
        <w:pStyle w:val="5"/>
        <w:spacing w:beforeLines="30" w:afterLines="30"/>
        <w:ind w:firstLine="562"/>
        <w:rPr>
          <w:b/>
        </w:rPr>
      </w:pPr>
      <w:r>
        <w:rPr>
          <w:rFonts w:hint="eastAsia"/>
          <w:b/>
        </w:rPr>
        <w:t>2.1.5 资格</w:t>
      </w:r>
      <w:r>
        <w:rPr>
          <w:b/>
        </w:rPr>
        <w:t>证书获取比例与职业大赛获奖情况</w:t>
      </w:r>
    </w:p>
    <w:p>
      <w:pPr>
        <w:ind w:firstLine="560" w:firstLineChars="200"/>
        <w:jc w:val="left"/>
      </w:pPr>
      <w:r>
        <w:rPr>
          <w:rFonts w:hint="eastAsia" w:cs="仿宋"/>
          <w:kern w:val="0"/>
          <w:sz w:val="28"/>
          <w:szCs w:val="28"/>
        </w:rPr>
        <w:t>护士资格证书考取率逐年提升，</w:t>
      </w:r>
      <w:r>
        <w:rPr>
          <w:rFonts w:cs="仿宋"/>
          <w:kern w:val="0"/>
          <w:sz w:val="28"/>
          <w:szCs w:val="28"/>
        </w:rPr>
        <w:t>202</w:t>
      </w:r>
      <w:r>
        <w:rPr>
          <w:rFonts w:hint="eastAsia" w:cs="仿宋"/>
          <w:kern w:val="0"/>
          <w:sz w:val="28"/>
          <w:szCs w:val="28"/>
        </w:rPr>
        <w:t>1</w:t>
      </w:r>
      <w:r>
        <w:rPr>
          <w:rFonts w:cs="仿宋"/>
          <w:kern w:val="0"/>
          <w:sz w:val="28"/>
          <w:szCs w:val="28"/>
        </w:rPr>
        <w:t>年度报名</w:t>
      </w:r>
      <w:r>
        <w:rPr>
          <w:rFonts w:hint="eastAsia" w:cs="仿宋"/>
          <w:kern w:val="0"/>
          <w:sz w:val="28"/>
          <w:szCs w:val="28"/>
        </w:rPr>
        <w:t>618</w:t>
      </w:r>
      <w:r>
        <w:rPr>
          <w:rFonts w:cs="仿宋"/>
          <w:kern w:val="0"/>
          <w:sz w:val="28"/>
          <w:szCs w:val="28"/>
        </w:rPr>
        <w:t>人，</w:t>
      </w:r>
      <w:r>
        <w:rPr>
          <w:rFonts w:hint="eastAsia" w:cs="仿宋"/>
          <w:kern w:val="0"/>
          <w:sz w:val="28"/>
          <w:szCs w:val="28"/>
        </w:rPr>
        <w:t>资格</w:t>
      </w:r>
      <w:r>
        <w:rPr>
          <w:rFonts w:cs="仿宋"/>
          <w:kern w:val="0"/>
          <w:sz w:val="28"/>
          <w:szCs w:val="28"/>
        </w:rPr>
        <w:t>证书获取</w:t>
      </w:r>
      <w:r>
        <w:rPr>
          <w:rFonts w:hint="eastAsia" w:cs="仿宋"/>
          <w:kern w:val="0"/>
          <w:sz w:val="28"/>
          <w:szCs w:val="28"/>
        </w:rPr>
        <w:t>165人，资格证书获取</w:t>
      </w:r>
      <w:r>
        <w:rPr>
          <w:rFonts w:cs="仿宋"/>
          <w:kern w:val="0"/>
          <w:sz w:val="28"/>
          <w:szCs w:val="28"/>
        </w:rPr>
        <w:t>率</w:t>
      </w:r>
      <w:r>
        <w:rPr>
          <w:rFonts w:hint="eastAsia" w:cs="仿宋"/>
          <w:kern w:val="0"/>
          <w:sz w:val="28"/>
          <w:szCs w:val="28"/>
        </w:rPr>
        <w:t>稳定在26.7%左右；学生通过单招、对口升学升入大专率稳定在91.8%以上。</w:t>
      </w:r>
      <w:r>
        <w:rPr>
          <w:rFonts w:hint="eastAsia"/>
          <w:sz w:val="28"/>
          <w:szCs w:val="28"/>
        </w:rPr>
        <w:t>学校一直坚持举办校内学生职业竞赛活动，在全校掀起勤练技能、学好技能的良好氛围,同时也全面检验了学校专业建设和教学改革成果，展示了学生的岗位通用能力与团队协作精神。学校还鼓励学生走出校门，积极参加省级、国家级各类职业技能竞赛。</w:t>
      </w:r>
      <w:r>
        <w:rPr>
          <w:sz w:val="28"/>
          <w:szCs w:val="28"/>
        </w:rPr>
        <w:t>在2021年</w:t>
      </w:r>
      <w:r>
        <w:rPr>
          <w:rFonts w:hint="eastAsia"/>
          <w:sz w:val="28"/>
          <w:szCs w:val="28"/>
        </w:rPr>
        <w:t>“</w:t>
      </w:r>
      <w:r>
        <w:rPr>
          <w:sz w:val="28"/>
          <w:szCs w:val="28"/>
        </w:rPr>
        <w:t>河南省护理职业技能大赛</w:t>
      </w:r>
      <w:r>
        <w:rPr>
          <w:rFonts w:hint="eastAsia"/>
          <w:sz w:val="28"/>
          <w:szCs w:val="28"/>
        </w:rPr>
        <w:t>”</w:t>
      </w:r>
      <w:r>
        <w:rPr>
          <w:sz w:val="28"/>
          <w:szCs w:val="28"/>
        </w:rPr>
        <w:t>中荣获二等奖1项、三等奖1项；在</w:t>
      </w:r>
      <w:r>
        <w:rPr>
          <w:rFonts w:hint="eastAsia"/>
          <w:sz w:val="28"/>
          <w:szCs w:val="28"/>
        </w:rPr>
        <w:t>“</w:t>
      </w:r>
      <w:r>
        <w:rPr>
          <w:sz w:val="28"/>
          <w:szCs w:val="28"/>
        </w:rPr>
        <w:t>河南省文明风采大赛南阳市选拔赛</w:t>
      </w:r>
      <w:r>
        <w:rPr>
          <w:rFonts w:hint="eastAsia"/>
          <w:sz w:val="28"/>
          <w:szCs w:val="28"/>
        </w:rPr>
        <w:t>”</w:t>
      </w:r>
      <w:r>
        <w:rPr>
          <w:sz w:val="28"/>
          <w:szCs w:val="28"/>
        </w:rPr>
        <w:t>中荣获二等奖1项</w:t>
      </w:r>
      <w:r>
        <w:rPr>
          <w:rFonts w:hint="eastAsia"/>
          <w:sz w:val="28"/>
          <w:szCs w:val="28"/>
        </w:rPr>
        <w:t>。</w:t>
      </w:r>
    </w:p>
    <w:p>
      <w:pPr>
        <w:pStyle w:val="3"/>
        <w:spacing w:before="156" w:after="156"/>
        <w:ind w:firstLine="562"/>
      </w:pPr>
      <w:bookmarkStart w:id="40" w:name="_Toc549"/>
      <w:bookmarkStart w:id="41" w:name="_Toc88032470"/>
      <w:bookmarkStart w:id="42" w:name="_Toc28246"/>
      <w:bookmarkStart w:id="43" w:name="_Toc3996_WPSOffice_Level1"/>
      <w:bookmarkStart w:id="44" w:name="_Toc25446"/>
      <w:r>
        <w:rPr>
          <w:rFonts w:hint="eastAsia"/>
        </w:rPr>
        <w:t>2.2 在校体验</w:t>
      </w:r>
      <w:bookmarkEnd w:id="40"/>
      <w:bookmarkEnd w:id="41"/>
      <w:bookmarkEnd w:id="42"/>
      <w:bookmarkEnd w:id="43"/>
      <w:bookmarkEnd w:id="44"/>
    </w:p>
    <w:p>
      <w:pPr>
        <w:pStyle w:val="5"/>
        <w:spacing w:beforeLines="30" w:afterLines="30"/>
        <w:ind w:firstLine="562"/>
        <w:rPr>
          <w:b/>
        </w:rPr>
      </w:pPr>
      <w:r>
        <w:rPr>
          <w:rFonts w:hint="eastAsia"/>
          <w:b/>
        </w:rPr>
        <w:t>2.2.1 理论学习满意度、专业学习满意度</w:t>
      </w:r>
    </w:p>
    <w:p>
      <w:pPr>
        <w:ind w:firstLine="560" w:firstLineChars="200"/>
        <w:jc w:val="left"/>
      </w:pPr>
      <w:r>
        <w:rPr>
          <w:rFonts w:hint="eastAsia" w:cs="仿宋"/>
          <w:kern w:val="0"/>
          <w:sz w:val="28"/>
          <w:szCs w:val="28"/>
        </w:rPr>
        <w:t>为了解学生在校体验情况，及时改进学校各方面工作，2021—2022学年第一学期分别从在校38个班级中，每班随机抽选五名同学为代表，共计190人，进行理论、专业学习满意度调查问卷。学生对调查问卷的所有项目满意度都在90%之上，其中对理论学习满意程度达到了96.88%，对专业学习满意度达到了95.79%，不满意的比例都低于4%。通过对调查问卷的统计和分析，可以看出学生整体上对学校的教学状况等方面比较满意。一方面说明学校办学越来越规范，综合实力不断提升；另一方面，也说明绝大多绝大部分学生对学校的认可度较高、认同感较强，为学生更加积极主动地融入校园、发展自己提供了良好前提。</w:t>
      </w:r>
    </w:p>
    <w:p>
      <w:pPr>
        <w:pStyle w:val="33"/>
      </w:pPr>
      <w:r>
        <w:t>表2-1</w:t>
      </w:r>
      <w:r>
        <w:tab/>
      </w:r>
      <w:r>
        <w:t>学生在校体验调查问卷统计</w:t>
      </w:r>
    </w:p>
    <w:tbl>
      <w:tblPr>
        <w:tblStyle w:val="17"/>
        <w:tblW w:w="9090"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095"/>
        <w:gridCol w:w="960"/>
        <w:gridCol w:w="2910"/>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1530" w:type="dxa"/>
            <w:tcBorders>
              <w:tl2br w:val="single" w:color="auto" w:sz="4" w:space="0"/>
            </w:tcBorders>
          </w:tcPr>
          <w:p>
            <w:pPr>
              <w:pStyle w:val="33"/>
            </w:pPr>
            <w:r>
              <w:rPr>
                <w:rFonts w:hint="eastAsia"/>
              </w:rPr>
              <w:t xml:space="preserve">   </w:t>
            </w:r>
            <w:r>
              <w:t>满意度</w:t>
            </w:r>
          </w:p>
          <w:p>
            <w:pPr>
              <w:jc w:val="left"/>
              <w:rPr>
                <w:rFonts w:cs="仿宋"/>
                <w:b/>
                <w:bCs/>
                <w:szCs w:val="21"/>
              </w:rPr>
            </w:pPr>
            <w:r>
              <w:rPr>
                <w:b/>
              </w:rPr>
              <w:t>项目</w:t>
            </w:r>
          </w:p>
        </w:tc>
        <w:tc>
          <w:tcPr>
            <w:tcW w:w="1095" w:type="dxa"/>
            <w:vAlign w:val="center"/>
          </w:tcPr>
          <w:p>
            <w:pPr>
              <w:rPr>
                <w:rFonts w:cs="仿宋"/>
                <w:b/>
                <w:bCs/>
                <w:szCs w:val="21"/>
              </w:rPr>
            </w:pPr>
            <w:r>
              <w:rPr>
                <w:rFonts w:hint="eastAsia" w:cs="仿宋"/>
                <w:b/>
                <w:bCs/>
                <w:szCs w:val="21"/>
              </w:rPr>
              <w:t>满意</w:t>
            </w:r>
          </w:p>
          <w:p>
            <w:pPr>
              <w:rPr>
                <w:rFonts w:cs="仿宋"/>
                <w:b/>
                <w:bCs/>
                <w:szCs w:val="21"/>
              </w:rPr>
            </w:pPr>
            <w:r>
              <w:rPr>
                <w:rFonts w:hint="eastAsia" w:cs="仿宋"/>
                <w:b/>
                <w:bCs/>
                <w:szCs w:val="21"/>
              </w:rPr>
              <w:t>比率</w:t>
            </w:r>
          </w:p>
        </w:tc>
        <w:tc>
          <w:tcPr>
            <w:tcW w:w="960" w:type="dxa"/>
            <w:vAlign w:val="center"/>
          </w:tcPr>
          <w:p>
            <w:pPr>
              <w:rPr>
                <w:rFonts w:cs="仿宋"/>
                <w:b/>
                <w:bCs/>
                <w:szCs w:val="21"/>
              </w:rPr>
            </w:pPr>
            <w:r>
              <w:rPr>
                <w:rFonts w:hint="eastAsia" w:cs="仿宋"/>
                <w:b/>
                <w:bCs/>
                <w:szCs w:val="21"/>
              </w:rPr>
              <w:t>不满意</w:t>
            </w:r>
          </w:p>
          <w:p>
            <w:pPr>
              <w:rPr>
                <w:rFonts w:cs="仿宋"/>
                <w:b/>
                <w:bCs/>
                <w:szCs w:val="21"/>
              </w:rPr>
            </w:pPr>
            <w:r>
              <w:rPr>
                <w:rFonts w:hint="eastAsia" w:cs="仿宋"/>
                <w:b/>
                <w:bCs/>
                <w:szCs w:val="21"/>
              </w:rPr>
              <w:t>比率</w:t>
            </w:r>
          </w:p>
        </w:tc>
        <w:tc>
          <w:tcPr>
            <w:tcW w:w="2910" w:type="dxa"/>
            <w:vAlign w:val="center"/>
          </w:tcPr>
          <w:p>
            <w:pPr>
              <w:rPr>
                <w:rFonts w:cs="仿宋"/>
                <w:b/>
                <w:bCs/>
                <w:szCs w:val="21"/>
              </w:rPr>
            </w:pPr>
            <w:r>
              <w:rPr>
                <w:rFonts w:hint="eastAsia" w:cs="仿宋"/>
                <w:b/>
                <w:bCs/>
                <w:szCs w:val="21"/>
              </w:rPr>
              <w:t>存在问题</w:t>
            </w:r>
          </w:p>
        </w:tc>
        <w:tc>
          <w:tcPr>
            <w:tcW w:w="2595" w:type="dxa"/>
            <w:vAlign w:val="center"/>
          </w:tcPr>
          <w:p>
            <w:pPr>
              <w:rPr>
                <w:rFonts w:cs="仿宋"/>
                <w:b/>
                <w:bCs/>
                <w:szCs w:val="21"/>
              </w:rPr>
            </w:pPr>
            <w:r>
              <w:rPr>
                <w:rFonts w:hint="eastAsia" w:cs="仿宋"/>
                <w:b/>
                <w:bCs/>
                <w:szCs w:val="21"/>
              </w:rPr>
              <w:t>改进建议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Pr>
          <w:p>
            <w:pPr>
              <w:rPr>
                <w:rFonts w:cs="仿宋"/>
                <w:b/>
                <w:bCs/>
                <w:szCs w:val="21"/>
              </w:rPr>
            </w:pPr>
            <w:r>
              <w:rPr>
                <w:rFonts w:hint="eastAsia" w:cs="仿宋"/>
                <w:b/>
                <w:bCs/>
                <w:szCs w:val="21"/>
              </w:rPr>
              <w:t>对理论学习的满意程度</w:t>
            </w:r>
          </w:p>
        </w:tc>
        <w:tc>
          <w:tcPr>
            <w:tcW w:w="1095" w:type="dxa"/>
          </w:tcPr>
          <w:p>
            <w:pPr>
              <w:rPr>
                <w:rFonts w:cs="仿宋"/>
                <w:szCs w:val="21"/>
              </w:rPr>
            </w:pPr>
            <w:r>
              <w:rPr>
                <w:rFonts w:hint="eastAsia" w:cs="仿宋"/>
                <w:szCs w:val="21"/>
              </w:rPr>
              <w:t>96.88%</w:t>
            </w:r>
          </w:p>
        </w:tc>
        <w:tc>
          <w:tcPr>
            <w:tcW w:w="960" w:type="dxa"/>
          </w:tcPr>
          <w:p>
            <w:pPr>
              <w:rPr>
                <w:rFonts w:cs="仿宋"/>
                <w:szCs w:val="21"/>
              </w:rPr>
            </w:pPr>
            <w:r>
              <w:rPr>
                <w:rFonts w:hint="eastAsia" w:cs="仿宋"/>
                <w:szCs w:val="21"/>
              </w:rPr>
              <w:t>3.12%</w:t>
            </w:r>
          </w:p>
        </w:tc>
        <w:tc>
          <w:tcPr>
            <w:tcW w:w="2910" w:type="dxa"/>
          </w:tcPr>
          <w:p>
            <w:pPr>
              <w:rPr>
                <w:rFonts w:cs="仿宋"/>
                <w:szCs w:val="21"/>
              </w:rPr>
            </w:pPr>
            <w:r>
              <w:rPr>
                <w:rFonts w:hint="eastAsia" w:cs="仿宋"/>
                <w:szCs w:val="21"/>
              </w:rPr>
              <w:t>理论太过繁琐；教学内容枯燥；课堂缺乏互动性。</w:t>
            </w:r>
          </w:p>
        </w:tc>
        <w:tc>
          <w:tcPr>
            <w:tcW w:w="2595" w:type="dxa"/>
          </w:tcPr>
          <w:p>
            <w:pPr>
              <w:rPr>
                <w:rFonts w:cs="仿宋"/>
                <w:szCs w:val="21"/>
              </w:rPr>
            </w:pPr>
            <w:r>
              <w:rPr>
                <w:rFonts w:hint="eastAsia" w:cs="仿宋"/>
                <w:szCs w:val="21"/>
              </w:rPr>
              <w:t>进一步简洁通俗；加强互动。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tcPr>
          <w:p>
            <w:pPr>
              <w:rPr>
                <w:rFonts w:cs="仿宋"/>
                <w:b/>
                <w:bCs/>
                <w:szCs w:val="21"/>
              </w:rPr>
            </w:pPr>
            <w:r>
              <w:rPr>
                <w:rFonts w:hint="eastAsia" w:cs="仿宋"/>
                <w:b/>
                <w:bCs/>
                <w:szCs w:val="21"/>
              </w:rPr>
              <w:t>对专业学习的满意程度</w:t>
            </w:r>
          </w:p>
        </w:tc>
        <w:tc>
          <w:tcPr>
            <w:tcW w:w="1095" w:type="dxa"/>
          </w:tcPr>
          <w:p>
            <w:pPr>
              <w:rPr>
                <w:rFonts w:cs="仿宋"/>
                <w:szCs w:val="21"/>
              </w:rPr>
            </w:pPr>
            <w:r>
              <w:rPr>
                <w:rFonts w:hint="eastAsia" w:cs="仿宋"/>
                <w:szCs w:val="21"/>
              </w:rPr>
              <w:t>95.79%</w:t>
            </w:r>
          </w:p>
        </w:tc>
        <w:tc>
          <w:tcPr>
            <w:tcW w:w="960" w:type="dxa"/>
          </w:tcPr>
          <w:p>
            <w:pPr>
              <w:rPr>
                <w:rFonts w:cs="仿宋"/>
                <w:szCs w:val="21"/>
              </w:rPr>
            </w:pPr>
            <w:r>
              <w:rPr>
                <w:rFonts w:hint="eastAsia" w:cs="仿宋"/>
                <w:szCs w:val="21"/>
              </w:rPr>
              <w:t>4.21%</w:t>
            </w:r>
          </w:p>
        </w:tc>
        <w:tc>
          <w:tcPr>
            <w:tcW w:w="2910" w:type="dxa"/>
          </w:tcPr>
          <w:p>
            <w:pPr>
              <w:rPr>
                <w:rFonts w:cs="仿宋"/>
                <w:szCs w:val="21"/>
              </w:rPr>
            </w:pPr>
            <w:r>
              <w:rPr>
                <w:rFonts w:hint="eastAsia" w:cs="仿宋"/>
                <w:szCs w:val="21"/>
              </w:rPr>
              <w:t>个别老师上课声音小；个别专业课过于枯燥、讲解不仔细。</w:t>
            </w:r>
          </w:p>
        </w:tc>
        <w:tc>
          <w:tcPr>
            <w:tcW w:w="2595" w:type="dxa"/>
          </w:tcPr>
          <w:p>
            <w:pPr>
              <w:rPr>
                <w:rFonts w:cs="仿宋"/>
                <w:szCs w:val="21"/>
              </w:rPr>
            </w:pPr>
            <w:r>
              <w:rPr>
                <w:rFonts w:hint="eastAsia" w:cs="仿宋"/>
                <w:szCs w:val="21"/>
              </w:rPr>
              <w:t>活跃课堂气氛；讲的仔细一些；多些操作内容。</w:t>
            </w:r>
          </w:p>
        </w:tc>
      </w:tr>
    </w:tbl>
    <w:p>
      <w:pPr>
        <w:pStyle w:val="33"/>
      </w:pPr>
    </w:p>
    <w:p>
      <w:pPr>
        <w:pStyle w:val="33"/>
      </w:pPr>
      <w:r>
        <w:t>表2-2 学生在校体验调查问卷统计表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0" w:type="dxa"/>
            <w:gridSpan w:val="3"/>
          </w:tcPr>
          <w:p>
            <w:pPr>
              <w:rPr>
                <w:rFonts w:cs="仿宋"/>
                <w:b/>
                <w:bCs/>
                <w:szCs w:val="21"/>
              </w:rPr>
            </w:pPr>
            <w:r>
              <w:rPr>
                <w:rFonts w:hint="eastAsia" w:cs="仿宋"/>
                <w:b/>
                <w:bCs/>
                <w:szCs w:val="21"/>
              </w:rPr>
              <w:t>理论学习</w:t>
            </w:r>
          </w:p>
        </w:tc>
        <w:tc>
          <w:tcPr>
            <w:tcW w:w="4262" w:type="dxa"/>
            <w:gridSpan w:val="3"/>
          </w:tcPr>
          <w:p>
            <w:pPr>
              <w:rPr>
                <w:rFonts w:cs="仿宋"/>
                <w:b/>
                <w:bCs/>
                <w:szCs w:val="21"/>
              </w:rPr>
            </w:pPr>
            <w:r>
              <w:rPr>
                <w:rFonts w:hint="eastAsia" w:cs="仿宋"/>
                <w:b/>
                <w:bCs/>
                <w:szCs w:val="21"/>
              </w:rPr>
              <w:t>专业学习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rPr>
                <w:rFonts w:cs="仿宋"/>
                <w:b/>
                <w:bCs/>
                <w:szCs w:val="21"/>
              </w:rPr>
            </w:pPr>
            <w:r>
              <w:rPr>
                <w:rFonts w:hint="eastAsia" w:cs="仿宋"/>
                <w:b/>
                <w:bCs/>
                <w:szCs w:val="21"/>
              </w:rPr>
              <w:t>非常满意</w:t>
            </w:r>
          </w:p>
        </w:tc>
        <w:tc>
          <w:tcPr>
            <w:tcW w:w="1420" w:type="dxa"/>
          </w:tcPr>
          <w:p>
            <w:pPr>
              <w:rPr>
                <w:rFonts w:cs="仿宋"/>
                <w:b/>
                <w:bCs/>
                <w:szCs w:val="21"/>
              </w:rPr>
            </w:pPr>
            <w:r>
              <w:rPr>
                <w:rFonts w:hint="eastAsia" w:cs="仿宋"/>
                <w:b/>
                <w:bCs/>
                <w:szCs w:val="21"/>
              </w:rPr>
              <w:t>满意</w:t>
            </w:r>
          </w:p>
        </w:tc>
        <w:tc>
          <w:tcPr>
            <w:tcW w:w="1420" w:type="dxa"/>
          </w:tcPr>
          <w:p>
            <w:pPr>
              <w:rPr>
                <w:rFonts w:cs="仿宋"/>
                <w:b/>
                <w:bCs/>
                <w:szCs w:val="21"/>
              </w:rPr>
            </w:pPr>
            <w:r>
              <w:rPr>
                <w:rFonts w:hint="eastAsia" w:cs="仿宋"/>
                <w:b/>
                <w:bCs/>
                <w:szCs w:val="21"/>
              </w:rPr>
              <w:t>不满意</w:t>
            </w:r>
          </w:p>
        </w:tc>
        <w:tc>
          <w:tcPr>
            <w:tcW w:w="1420" w:type="dxa"/>
          </w:tcPr>
          <w:p>
            <w:pPr>
              <w:rPr>
                <w:rFonts w:cs="仿宋"/>
                <w:b/>
                <w:bCs/>
                <w:szCs w:val="21"/>
              </w:rPr>
            </w:pPr>
            <w:r>
              <w:rPr>
                <w:rFonts w:hint="eastAsia" w:cs="仿宋"/>
                <w:b/>
                <w:bCs/>
                <w:szCs w:val="21"/>
              </w:rPr>
              <w:t>非常满意</w:t>
            </w:r>
          </w:p>
        </w:tc>
        <w:tc>
          <w:tcPr>
            <w:tcW w:w="1421" w:type="dxa"/>
          </w:tcPr>
          <w:p>
            <w:pPr>
              <w:rPr>
                <w:rFonts w:cs="仿宋"/>
                <w:b/>
                <w:bCs/>
                <w:szCs w:val="21"/>
              </w:rPr>
            </w:pPr>
            <w:r>
              <w:rPr>
                <w:rFonts w:hint="eastAsia" w:cs="仿宋"/>
                <w:b/>
                <w:bCs/>
                <w:szCs w:val="21"/>
              </w:rPr>
              <w:t>满意</w:t>
            </w:r>
          </w:p>
        </w:tc>
        <w:tc>
          <w:tcPr>
            <w:tcW w:w="1421" w:type="dxa"/>
          </w:tcPr>
          <w:p>
            <w:pPr>
              <w:rPr>
                <w:rFonts w:cs="仿宋"/>
                <w:b/>
                <w:bCs/>
                <w:szCs w:val="21"/>
              </w:rPr>
            </w:pPr>
            <w:r>
              <w:rPr>
                <w:rFonts w:hint="eastAsia" w:cs="仿宋"/>
                <w:b/>
                <w:bCs/>
                <w:szCs w:val="21"/>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rPr>
                <w:rFonts w:cs="仿宋"/>
                <w:szCs w:val="21"/>
              </w:rPr>
            </w:pPr>
            <w:r>
              <w:rPr>
                <w:rFonts w:hint="eastAsia" w:cs="仿宋"/>
                <w:szCs w:val="21"/>
              </w:rPr>
              <w:t>88.33%</w:t>
            </w:r>
          </w:p>
        </w:tc>
        <w:tc>
          <w:tcPr>
            <w:tcW w:w="1420" w:type="dxa"/>
          </w:tcPr>
          <w:p>
            <w:pPr>
              <w:rPr>
                <w:rFonts w:cs="仿宋"/>
                <w:szCs w:val="21"/>
              </w:rPr>
            </w:pPr>
            <w:r>
              <w:rPr>
                <w:rFonts w:hint="eastAsia" w:cs="仿宋"/>
                <w:szCs w:val="21"/>
              </w:rPr>
              <w:t>96.88%</w:t>
            </w:r>
          </w:p>
        </w:tc>
        <w:tc>
          <w:tcPr>
            <w:tcW w:w="1420" w:type="dxa"/>
          </w:tcPr>
          <w:p>
            <w:pPr>
              <w:rPr>
                <w:rFonts w:cs="仿宋"/>
                <w:szCs w:val="21"/>
              </w:rPr>
            </w:pPr>
            <w:r>
              <w:rPr>
                <w:rFonts w:hint="eastAsia" w:cs="仿宋"/>
                <w:szCs w:val="21"/>
              </w:rPr>
              <w:t>3.12%</w:t>
            </w:r>
          </w:p>
        </w:tc>
        <w:tc>
          <w:tcPr>
            <w:tcW w:w="1420" w:type="dxa"/>
          </w:tcPr>
          <w:p>
            <w:pPr>
              <w:rPr>
                <w:rFonts w:cs="仿宋"/>
                <w:szCs w:val="21"/>
              </w:rPr>
            </w:pPr>
            <w:r>
              <w:rPr>
                <w:rFonts w:hint="eastAsia" w:cs="仿宋"/>
                <w:szCs w:val="21"/>
              </w:rPr>
              <w:t>91.03%</w:t>
            </w:r>
          </w:p>
        </w:tc>
        <w:tc>
          <w:tcPr>
            <w:tcW w:w="1421" w:type="dxa"/>
          </w:tcPr>
          <w:p>
            <w:pPr>
              <w:rPr>
                <w:rFonts w:cs="仿宋"/>
                <w:szCs w:val="21"/>
              </w:rPr>
            </w:pPr>
            <w:r>
              <w:rPr>
                <w:rFonts w:hint="eastAsia" w:cs="仿宋"/>
                <w:szCs w:val="21"/>
              </w:rPr>
              <w:t>95.79%</w:t>
            </w:r>
          </w:p>
        </w:tc>
        <w:tc>
          <w:tcPr>
            <w:tcW w:w="1421" w:type="dxa"/>
          </w:tcPr>
          <w:p>
            <w:pPr>
              <w:rPr>
                <w:rFonts w:cs="仿宋"/>
                <w:szCs w:val="21"/>
              </w:rPr>
            </w:pPr>
            <w:r>
              <w:rPr>
                <w:rFonts w:hint="eastAsia" w:cs="仿宋"/>
                <w:szCs w:val="21"/>
              </w:rPr>
              <w:t>4.21%</w:t>
            </w:r>
          </w:p>
        </w:tc>
      </w:tr>
    </w:tbl>
    <w:p>
      <w:pPr>
        <w:pStyle w:val="33"/>
      </w:pPr>
    </w:p>
    <w:p>
      <w:pPr>
        <w:pStyle w:val="33"/>
        <w:rPr>
          <w:rFonts w:cs="仿宋"/>
          <w:bCs/>
          <w:szCs w:val="21"/>
        </w:rPr>
      </w:pPr>
      <w:r>
        <w:t>表2-3</w:t>
      </w:r>
      <w:r>
        <w:tab/>
      </w:r>
      <w:r>
        <w:rPr>
          <w:rFonts w:hint="eastAsia" w:cs="仿宋"/>
          <w:bCs/>
          <w:szCs w:val="21"/>
        </w:rPr>
        <w:t>第9周教室日志信息反馈汇总表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139"/>
        <w:gridCol w:w="1701"/>
        <w:gridCol w:w="1420"/>
        <w:gridCol w:w="142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vAlign w:val="center"/>
          </w:tcPr>
          <w:p>
            <w:pPr>
              <w:rPr>
                <w:rFonts w:cs="仿宋"/>
                <w:b/>
                <w:bCs/>
                <w:szCs w:val="21"/>
              </w:rPr>
            </w:pPr>
            <w:r>
              <w:rPr>
                <w:rFonts w:hint="eastAsia" w:cs="仿宋"/>
                <w:b/>
                <w:bCs/>
                <w:szCs w:val="21"/>
              </w:rPr>
              <w:t>班级</w:t>
            </w:r>
          </w:p>
        </w:tc>
        <w:tc>
          <w:tcPr>
            <w:tcW w:w="1139" w:type="dxa"/>
            <w:vAlign w:val="center"/>
          </w:tcPr>
          <w:p>
            <w:pPr>
              <w:rPr>
                <w:rFonts w:cs="仿宋"/>
                <w:b/>
                <w:bCs/>
                <w:szCs w:val="21"/>
              </w:rPr>
            </w:pPr>
            <w:r>
              <w:rPr>
                <w:rFonts w:hint="eastAsia" w:cs="仿宋"/>
                <w:b/>
                <w:bCs/>
                <w:szCs w:val="21"/>
              </w:rPr>
              <w:t>教师教学</w:t>
            </w:r>
          </w:p>
          <w:p>
            <w:pPr>
              <w:rPr>
                <w:rFonts w:cs="仿宋"/>
                <w:b/>
                <w:bCs/>
                <w:szCs w:val="21"/>
              </w:rPr>
            </w:pPr>
            <w:r>
              <w:rPr>
                <w:rFonts w:hint="eastAsia" w:cs="仿宋"/>
                <w:b/>
                <w:bCs/>
                <w:szCs w:val="21"/>
              </w:rPr>
              <w:t>纪律情况</w:t>
            </w:r>
          </w:p>
        </w:tc>
        <w:tc>
          <w:tcPr>
            <w:tcW w:w="1701" w:type="dxa"/>
            <w:vAlign w:val="center"/>
          </w:tcPr>
          <w:p>
            <w:pPr>
              <w:rPr>
                <w:rFonts w:cs="仿宋"/>
                <w:b/>
                <w:bCs/>
                <w:szCs w:val="21"/>
              </w:rPr>
            </w:pPr>
            <w:r>
              <w:rPr>
                <w:rFonts w:hint="eastAsia" w:cs="仿宋"/>
                <w:b/>
                <w:bCs/>
                <w:szCs w:val="21"/>
              </w:rPr>
              <w:t>学生上课</w:t>
            </w:r>
          </w:p>
          <w:p>
            <w:pPr>
              <w:rPr>
                <w:rFonts w:cs="仿宋"/>
                <w:b/>
                <w:bCs/>
                <w:szCs w:val="21"/>
              </w:rPr>
            </w:pPr>
            <w:r>
              <w:rPr>
                <w:rFonts w:hint="eastAsia" w:cs="仿宋"/>
                <w:b/>
                <w:bCs/>
                <w:szCs w:val="21"/>
              </w:rPr>
              <w:t>纪律情况</w:t>
            </w:r>
          </w:p>
        </w:tc>
        <w:tc>
          <w:tcPr>
            <w:tcW w:w="1420" w:type="dxa"/>
            <w:vAlign w:val="center"/>
          </w:tcPr>
          <w:p>
            <w:pPr>
              <w:rPr>
                <w:rFonts w:cs="仿宋"/>
                <w:b/>
                <w:bCs/>
                <w:szCs w:val="21"/>
              </w:rPr>
            </w:pPr>
            <w:r>
              <w:rPr>
                <w:rFonts w:hint="eastAsia" w:cs="仿宋"/>
                <w:b/>
                <w:bCs/>
                <w:szCs w:val="21"/>
              </w:rPr>
              <w:t>意见与建议</w:t>
            </w:r>
          </w:p>
        </w:tc>
        <w:tc>
          <w:tcPr>
            <w:tcW w:w="1420" w:type="dxa"/>
            <w:vAlign w:val="center"/>
          </w:tcPr>
          <w:p>
            <w:pPr>
              <w:rPr>
                <w:rFonts w:cs="仿宋"/>
                <w:b/>
                <w:bCs/>
                <w:szCs w:val="21"/>
              </w:rPr>
            </w:pPr>
            <w:r>
              <w:rPr>
                <w:rFonts w:hint="eastAsia" w:cs="仿宋"/>
                <w:b/>
                <w:bCs/>
                <w:szCs w:val="21"/>
              </w:rPr>
              <w:t>部门审</w:t>
            </w:r>
          </w:p>
          <w:p>
            <w:pPr>
              <w:rPr>
                <w:rFonts w:cs="仿宋"/>
                <w:b/>
                <w:bCs/>
                <w:szCs w:val="21"/>
              </w:rPr>
            </w:pPr>
            <w:r>
              <w:rPr>
                <w:rFonts w:hint="eastAsia" w:cs="仿宋"/>
                <w:b/>
                <w:bCs/>
                <w:szCs w:val="21"/>
              </w:rPr>
              <w:t>阅意见</w:t>
            </w:r>
          </w:p>
        </w:tc>
        <w:tc>
          <w:tcPr>
            <w:tcW w:w="1421" w:type="dxa"/>
            <w:vAlign w:val="center"/>
          </w:tcPr>
          <w:p>
            <w:pPr>
              <w:rPr>
                <w:rFonts w:cs="仿宋"/>
                <w:b/>
                <w:bCs/>
                <w:szCs w:val="21"/>
              </w:rPr>
            </w:pPr>
            <w:r>
              <w:rPr>
                <w:rFonts w:hint="eastAsia" w:cs="仿宋"/>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20护1</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20护2</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20护3</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20护4</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20护5</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20护6</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20护7</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良好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20护8</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20护9</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20护10</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20护11</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20护12</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20护13</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良好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20助产</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20药1</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20药2</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20药3</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20康1</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20康2</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421" w:type="dxa"/>
          </w:tcPr>
          <w:p>
            <w:pPr>
              <w:rPr>
                <w:rFonts w:cs="仿宋"/>
                <w:b/>
                <w:bCs/>
                <w:szCs w:val="21"/>
              </w:rPr>
            </w:pPr>
            <w:r>
              <w:rPr>
                <w:rFonts w:hint="eastAsia" w:cs="仿宋"/>
                <w:b/>
                <w:bCs/>
                <w:szCs w:val="21"/>
              </w:rPr>
              <w:t>21护1</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21护2</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21护3</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21护4</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21护5</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21护6</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21护7</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21护8</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21护9</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21护10</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21护11</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21护12</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21护13</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21护14</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21康复</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21养生</w:t>
            </w:r>
          </w:p>
        </w:tc>
        <w:tc>
          <w:tcPr>
            <w:tcW w:w="1139" w:type="dxa"/>
          </w:tcPr>
          <w:p>
            <w:pPr>
              <w:rPr>
                <w:rFonts w:cs="仿宋"/>
                <w:szCs w:val="21"/>
              </w:rPr>
            </w:pPr>
            <w:r>
              <w:rPr>
                <w:rFonts w:hint="eastAsia" w:cs="仿宋"/>
                <w:szCs w:val="21"/>
              </w:rPr>
              <w:t>好</w:t>
            </w:r>
          </w:p>
        </w:tc>
        <w:tc>
          <w:tcPr>
            <w:tcW w:w="1701" w:type="dxa"/>
          </w:tcPr>
          <w:p>
            <w:pPr>
              <w:rPr>
                <w:rFonts w:cs="仿宋"/>
                <w:szCs w:val="21"/>
              </w:rPr>
            </w:pPr>
            <w:r>
              <w:rPr>
                <w:rFonts w:hint="eastAsia" w:cs="仿宋"/>
                <w:szCs w:val="21"/>
              </w:rPr>
              <w:t>好</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21药1</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21药2</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1" w:type="dxa"/>
          </w:tcPr>
          <w:p>
            <w:pPr>
              <w:rPr>
                <w:rFonts w:cs="仿宋"/>
                <w:b/>
                <w:bCs/>
                <w:szCs w:val="21"/>
              </w:rPr>
            </w:pPr>
            <w:r>
              <w:rPr>
                <w:rFonts w:hint="eastAsia" w:cs="仿宋"/>
                <w:b/>
                <w:bCs/>
                <w:szCs w:val="21"/>
              </w:rPr>
              <w:t>21药3</w:t>
            </w:r>
          </w:p>
        </w:tc>
        <w:tc>
          <w:tcPr>
            <w:tcW w:w="1139" w:type="dxa"/>
          </w:tcPr>
          <w:p>
            <w:pPr>
              <w:rPr>
                <w:rFonts w:cs="仿宋"/>
                <w:szCs w:val="21"/>
              </w:rPr>
            </w:pPr>
            <w:r>
              <w:rPr>
                <w:rFonts w:hint="eastAsia" w:cs="仿宋"/>
                <w:szCs w:val="21"/>
              </w:rPr>
              <w:t>良好</w:t>
            </w:r>
          </w:p>
        </w:tc>
        <w:tc>
          <w:tcPr>
            <w:tcW w:w="1701" w:type="dxa"/>
          </w:tcPr>
          <w:p>
            <w:pPr>
              <w:rPr>
                <w:rFonts w:cs="仿宋"/>
                <w:szCs w:val="21"/>
              </w:rPr>
            </w:pPr>
            <w:r>
              <w:rPr>
                <w:rFonts w:hint="eastAsia" w:cs="仿宋"/>
                <w:szCs w:val="21"/>
              </w:rPr>
              <w:t>一般</w:t>
            </w:r>
          </w:p>
        </w:tc>
        <w:tc>
          <w:tcPr>
            <w:tcW w:w="1420" w:type="dxa"/>
          </w:tcPr>
          <w:p>
            <w:pPr>
              <w:rPr>
                <w:rFonts w:cs="仿宋"/>
                <w:szCs w:val="21"/>
              </w:rPr>
            </w:pPr>
            <w:r>
              <w:rPr>
                <w:rFonts w:hint="eastAsia" w:cs="仿宋"/>
                <w:szCs w:val="21"/>
              </w:rPr>
              <w:t>无</w:t>
            </w:r>
          </w:p>
        </w:tc>
        <w:tc>
          <w:tcPr>
            <w:tcW w:w="1420" w:type="dxa"/>
          </w:tcPr>
          <w:p>
            <w:pPr>
              <w:rPr>
                <w:rFonts w:cs="仿宋"/>
                <w:szCs w:val="21"/>
              </w:rPr>
            </w:pPr>
            <w:r>
              <w:rPr>
                <w:rFonts w:hint="eastAsia" w:cs="仿宋"/>
                <w:szCs w:val="21"/>
              </w:rPr>
              <w:t>审阅</w:t>
            </w:r>
          </w:p>
        </w:tc>
        <w:tc>
          <w:tcPr>
            <w:tcW w:w="1421" w:type="dxa"/>
          </w:tcPr>
          <w:p>
            <w:pPr>
              <w:rPr>
                <w:rFonts w:cs="仿宋"/>
                <w:szCs w:val="21"/>
              </w:rPr>
            </w:pPr>
          </w:p>
        </w:tc>
      </w:tr>
    </w:tbl>
    <w:p>
      <w:pPr>
        <w:pStyle w:val="5"/>
        <w:spacing w:beforeLines="30" w:afterLines="30"/>
        <w:ind w:firstLine="562"/>
        <w:rPr>
          <w:b/>
        </w:rPr>
      </w:pPr>
      <w:r>
        <w:rPr>
          <w:rFonts w:hint="eastAsia"/>
          <w:b/>
        </w:rPr>
        <w:t xml:space="preserve">2.2.2 </w:t>
      </w:r>
      <w:r>
        <w:rPr>
          <w:b/>
        </w:rPr>
        <w:t>实习实训满意度</w:t>
      </w:r>
    </w:p>
    <w:p>
      <w:pPr>
        <w:ind w:firstLine="560" w:firstLineChars="200"/>
        <w:jc w:val="left"/>
        <w:rPr>
          <w:sz w:val="28"/>
          <w:szCs w:val="28"/>
        </w:rPr>
      </w:pPr>
      <w:r>
        <w:rPr>
          <w:rFonts w:hint="eastAsia"/>
          <w:sz w:val="28"/>
          <w:szCs w:val="28"/>
        </w:rPr>
        <w:t>在学校统一部署下，实习科根据《2022届毕业生实习工作安排的通知》结合南阳中医药学校的实习生情况，制定了2019级实习生分配方案，并且圆满将实习生送达各实习岗位，南阳中医药学校实习实训满意度一直保持在96.6%以上。</w:t>
      </w:r>
    </w:p>
    <w:p>
      <w:pPr>
        <w:ind w:firstLine="560" w:firstLineChars="200"/>
        <w:jc w:val="left"/>
        <w:rPr>
          <w:sz w:val="28"/>
          <w:szCs w:val="28"/>
        </w:rPr>
      </w:pPr>
      <w:r>
        <w:rPr>
          <w:rFonts w:hint="eastAsia"/>
          <w:sz w:val="28"/>
          <w:szCs w:val="28"/>
        </w:rPr>
        <w:t>2021年南阳中医药学校需要进行实习分配的专业有护理、药剂、中医康复与保健技术、助产4个专业。根据南阳中医药学校的实习人数及专业特点，教务处实习科先后确定了32个实习教学基地，确保有足够的实习岗位供实习生选择。并且根据中专学生的家庭所在地，尽量安排学生离家较近的实习基地进行实习，以方便实习学生的衣食住行。在实习学生到岗开始实习之前，学校举行了座谈会，给学生们讲解实习期间的工作、生活、安全等注意事项，让学生在去实习岗位之前对自己的实习期有个清醒的认识。在前期工作完成后，学校选派优秀老师，并对派送老师进行培训，在规定的时间内将实习生送到实习基地，并与实习基地进行交接。学生到达实习教学基地后，各实习教学基地对实习生进行岗前培训，让学生们对自己的实习工作的又有了进一步的认识。各实习基地根据各自的实习工作管理规定，对实习生进行要求，让实习学生在实习岗位上得到充分的学习和锻炼。教务处实习科在日常的工作中不断的与实习教学基地进行联系协调和沟通，了解实习学生的实习情况，对生活或工作中出现的问题，第一时间给予解决、处理、帮助。通过学校和实习单位的共同努力，使学生在实习期间能够得到锻炼和对自己所学知识的检验和提高，同时也对社会、生活有了进一步的了解，为日后进入工作岗位，打下良好的基础。</w:t>
      </w:r>
    </w:p>
    <w:p>
      <w:pPr>
        <w:pStyle w:val="5"/>
        <w:spacing w:beforeLines="30" w:afterLines="30"/>
        <w:ind w:firstLine="562"/>
        <w:rPr>
          <w:b/>
        </w:rPr>
      </w:pPr>
      <w:r>
        <w:rPr>
          <w:rFonts w:hint="eastAsia"/>
          <w:b/>
        </w:rPr>
        <w:t>2.2.3 校园文化与社团活动满意度</w:t>
      </w:r>
    </w:p>
    <w:p>
      <w:pPr>
        <w:ind w:firstLine="560" w:firstLineChars="200"/>
        <w:jc w:val="left"/>
        <w:rPr>
          <w:sz w:val="28"/>
          <w:szCs w:val="28"/>
        </w:rPr>
      </w:pPr>
      <w:r>
        <w:rPr>
          <w:rFonts w:hint="eastAsia"/>
          <w:sz w:val="28"/>
          <w:szCs w:val="28"/>
        </w:rPr>
        <w:t>2021年，学校针对校园文化与社团活动满意度，在全校学生中随机发放调查问卷310份进行抽样调查，填写问卷人数占到了全校学生总数的10%，一共回收了308份调查问卷，回收率达到99.3%，其中非常满意、比较满意占总数的72%，具体分布为：19%的学生选择了非常满意，53%的学生选择了比较满意，25%选择了一般，仅有3%的学生表示不满意。</w:t>
      </w:r>
    </w:p>
    <w:p>
      <w:pPr>
        <w:ind w:firstLine="560" w:firstLineChars="200"/>
        <w:jc w:val="left"/>
        <w:rPr>
          <w:sz w:val="28"/>
          <w:szCs w:val="28"/>
        </w:rPr>
      </w:pPr>
      <w:r>
        <w:rPr>
          <w:rFonts w:hint="eastAsia"/>
          <w:sz w:val="28"/>
          <w:szCs w:val="28"/>
        </w:rPr>
        <w:t>问卷结果显示，92%以上的学生每周至少参与1次校园文化活动或社团活动，说明我校学生参与活动的积极性得到了充分调动。在校园文化活动中，最受欢迎的是我校在传统节日或重大纪念日开展的文艺活动，有95%的学生选择了很满意或比较满意，可见我校在充分利用传统节日和重大纪念日开展全校性的文艺活动方面成果显著，相对满意率较低的则是系列体育比赛，有46%的学生表示满意度一般，需要在比赛的时间和范围上进行调整；在社团活动方面，整体满意度较高，很满意或比较满意的比例都在77%以上，可见我校社团活动在学生中很受欢迎。</w:t>
      </w:r>
    </w:p>
    <w:p>
      <w:pPr>
        <w:ind w:firstLine="560" w:firstLineChars="200"/>
        <w:jc w:val="left"/>
        <w:rPr>
          <w:sz w:val="28"/>
          <w:szCs w:val="28"/>
        </w:rPr>
      </w:pPr>
      <w:r>
        <w:rPr>
          <w:rFonts w:hint="eastAsia"/>
          <w:sz w:val="28"/>
          <w:szCs w:val="28"/>
        </w:rPr>
        <w:t>总体来看，我校的校园文化与社团活动在学生中的满意度较高，学校在这方面的工作成效显著，但仍有一定的改进空间。</w:t>
      </w:r>
    </w:p>
    <w:p>
      <w:pPr>
        <w:ind w:firstLine="560" w:firstLineChars="200"/>
        <w:jc w:val="left"/>
        <w:rPr>
          <w:sz w:val="28"/>
          <w:szCs w:val="28"/>
        </w:rPr>
      </w:pPr>
      <w:r>
        <w:rPr>
          <w:rFonts w:hint="eastAsia"/>
          <w:sz w:val="28"/>
          <w:szCs w:val="28"/>
        </w:rPr>
        <w:t xml:space="preserve">2.2.4 </w:t>
      </w:r>
      <w:r>
        <w:rPr>
          <w:sz w:val="28"/>
          <w:szCs w:val="28"/>
        </w:rPr>
        <w:t>生活满意度</w:t>
      </w:r>
    </w:p>
    <w:p>
      <w:pPr>
        <w:ind w:firstLine="560" w:firstLineChars="200"/>
        <w:jc w:val="left"/>
        <w:rPr>
          <w:sz w:val="28"/>
          <w:szCs w:val="28"/>
        </w:rPr>
      </w:pPr>
      <w:r>
        <w:rPr>
          <w:sz w:val="28"/>
          <w:szCs w:val="28"/>
        </w:rPr>
        <w:t>20</w:t>
      </w:r>
      <w:r>
        <w:rPr>
          <w:rFonts w:hint="eastAsia"/>
          <w:sz w:val="28"/>
          <w:szCs w:val="28"/>
        </w:rPr>
        <w:t>21</w:t>
      </w:r>
      <w:r>
        <w:rPr>
          <w:sz w:val="28"/>
          <w:szCs w:val="28"/>
        </w:rPr>
        <w:t>年，学校针对</w:t>
      </w:r>
      <w:r>
        <w:rPr>
          <w:rFonts w:hint="eastAsia"/>
          <w:sz w:val="28"/>
          <w:szCs w:val="28"/>
        </w:rPr>
        <w:t>生活</w:t>
      </w:r>
      <w:r>
        <w:rPr>
          <w:sz w:val="28"/>
          <w:szCs w:val="28"/>
        </w:rPr>
        <w:t>满意度，在全校学生中随机发放调查问卷</w:t>
      </w:r>
      <w:r>
        <w:rPr>
          <w:rFonts w:hint="eastAsia"/>
          <w:sz w:val="28"/>
          <w:szCs w:val="28"/>
        </w:rPr>
        <w:t>310</w:t>
      </w:r>
      <w:r>
        <w:rPr>
          <w:sz w:val="28"/>
          <w:szCs w:val="28"/>
        </w:rPr>
        <w:t>份进行抽样调查，填写问卷人数占到了全校学生总数的10%，一共回收了</w:t>
      </w:r>
      <w:r>
        <w:rPr>
          <w:rFonts w:hint="eastAsia"/>
          <w:sz w:val="28"/>
          <w:szCs w:val="28"/>
        </w:rPr>
        <w:t>310</w:t>
      </w:r>
      <w:r>
        <w:rPr>
          <w:sz w:val="28"/>
          <w:szCs w:val="28"/>
        </w:rPr>
        <w:t>份调查问卷，回收率达到</w:t>
      </w:r>
      <w:r>
        <w:rPr>
          <w:rFonts w:hint="eastAsia"/>
          <w:sz w:val="28"/>
          <w:szCs w:val="28"/>
        </w:rPr>
        <w:t>100</w:t>
      </w:r>
      <w:r>
        <w:rPr>
          <w:sz w:val="28"/>
          <w:szCs w:val="28"/>
        </w:rPr>
        <w:t>%，其中非常满意、比较满意占总数的6</w:t>
      </w:r>
      <w:r>
        <w:rPr>
          <w:rFonts w:hint="eastAsia"/>
          <w:sz w:val="28"/>
          <w:szCs w:val="28"/>
        </w:rPr>
        <w:t>5</w:t>
      </w:r>
      <w:r>
        <w:rPr>
          <w:sz w:val="28"/>
          <w:szCs w:val="28"/>
        </w:rPr>
        <w:t>%，具体分布为：1</w:t>
      </w:r>
      <w:r>
        <w:rPr>
          <w:rFonts w:hint="eastAsia"/>
          <w:sz w:val="28"/>
          <w:szCs w:val="28"/>
        </w:rPr>
        <w:t>6</w:t>
      </w:r>
      <w:r>
        <w:rPr>
          <w:sz w:val="28"/>
          <w:szCs w:val="28"/>
        </w:rPr>
        <w:t>%的学生选择了非常满意，</w:t>
      </w:r>
      <w:r>
        <w:rPr>
          <w:rFonts w:hint="eastAsia"/>
          <w:sz w:val="28"/>
          <w:szCs w:val="28"/>
        </w:rPr>
        <w:t>49</w:t>
      </w:r>
      <w:r>
        <w:rPr>
          <w:sz w:val="28"/>
          <w:szCs w:val="28"/>
        </w:rPr>
        <w:t>%的学生选择了比较满意，3</w:t>
      </w:r>
      <w:r>
        <w:rPr>
          <w:rFonts w:hint="eastAsia"/>
          <w:sz w:val="28"/>
          <w:szCs w:val="28"/>
        </w:rPr>
        <w:t>1</w:t>
      </w:r>
      <w:r>
        <w:rPr>
          <w:sz w:val="28"/>
          <w:szCs w:val="28"/>
        </w:rPr>
        <w:t>%选择了一般，有</w:t>
      </w:r>
      <w:r>
        <w:rPr>
          <w:rFonts w:hint="eastAsia"/>
          <w:sz w:val="28"/>
          <w:szCs w:val="28"/>
        </w:rPr>
        <w:t>4</w:t>
      </w:r>
      <w:r>
        <w:rPr>
          <w:sz w:val="28"/>
          <w:szCs w:val="28"/>
        </w:rPr>
        <w:t>%的学生表示不满意。</w:t>
      </w:r>
    </w:p>
    <w:p>
      <w:pPr>
        <w:ind w:firstLine="560" w:firstLineChars="200"/>
        <w:jc w:val="left"/>
        <w:rPr>
          <w:sz w:val="28"/>
          <w:szCs w:val="28"/>
        </w:rPr>
      </w:pPr>
      <w:r>
        <w:rPr>
          <w:sz w:val="28"/>
          <w:szCs w:val="28"/>
        </w:rPr>
        <w:t>问卷结果显示，在专业学习方面，学生对学校的课程安排与授课方式满意度较高，很满意或比较满意达到了6</w:t>
      </w:r>
      <w:r>
        <w:rPr>
          <w:rFonts w:hint="eastAsia"/>
          <w:sz w:val="28"/>
          <w:szCs w:val="28"/>
        </w:rPr>
        <w:t>5</w:t>
      </w:r>
      <w:r>
        <w:rPr>
          <w:sz w:val="28"/>
          <w:szCs w:val="28"/>
        </w:rPr>
        <w:t>%以上，而对于所学专业超过8</w:t>
      </w:r>
      <w:r>
        <w:rPr>
          <w:rFonts w:hint="eastAsia"/>
          <w:sz w:val="28"/>
          <w:szCs w:val="28"/>
        </w:rPr>
        <w:t>5</w:t>
      </w:r>
      <w:r>
        <w:rPr>
          <w:sz w:val="28"/>
          <w:szCs w:val="28"/>
        </w:rPr>
        <w:t>%的学生则选择了比较满意或一般，可见很多学生缺乏对所学专业的明确认知，需要学校进行进一步的专业教育；而在其它方面，学生对校园环境的满意度是最高的，很满意或比较满意占到了接近90%，偏低的则是学校食堂，很满意或比较满意仅有</w:t>
      </w:r>
      <w:r>
        <w:rPr>
          <w:rFonts w:hint="eastAsia"/>
          <w:sz w:val="28"/>
          <w:szCs w:val="28"/>
        </w:rPr>
        <w:t>67</w:t>
      </w:r>
      <w:r>
        <w:rPr>
          <w:sz w:val="28"/>
          <w:szCs w:val="28"/>
        </w:rPr>
        <w:t>%，学校还需要在饭菜的质量和价格上</w:t>
      </w:r>
      <w:r>
        <w:rPr>
          <w:rFonts w:hint="eastAsia"/>
          <w:sz w:val="28"/>
          <w:szCs w:val="28"/>
        </w:rPr>
        <w:t>还需要</w:t>
      </w:r>
      <w:r>
        <w:rPr>
          <w:sz w:val="28"/>
          <w:szCs w:val="28"/>
        </w:rPr>
        <w:t>进一步下功夫。</w:t>
      </w:r>
    </w:p>
    <w:p>
      <w:pPr>
        <w:ind w:firstLine="560" w:firstLineChars="200"/>
        <w:jc w:val="left"/>
        <w:rPr>
          <w:sz w:val="28"/>
          <w:szCs w:val="28"/>
        </w:rPr>
      </w:pPr>
      <w:r>
        <w:rPr>
          <w:sz w:val="28"/>
          <w:szCs w:val="28"/>
        </w:rPr>
        <w:t>总体来看，我校学生在校园生活方面普遍比较满意，学校在这方面投入了很大的精力，但仍有改进空间。</w:t>
      </w:r>
    </w:p>
    <w:p>
      <w:pPr>
        <w:pStyle w:val="5"/>
        <w:spacing w:beforeLines="30" w:afterLines="30"/>
        <w:ind w:firstLine="562"/>
        <w:rPr>
          <w:b/>
        </w:rPr>
      </w:pPr>
      <w:r>
        <w:rPr>
          <w:rFonts w:hint="eastAsia"/>
          <w:b/>
        </w:rPr>
        <w:t>2.2.5 校园安全满意度</w:t>
      </w:r>
    </w:p>
    <w:p>
      <w:pPr>
        <w:pStyle w:val="5"/>
        <w:ind w:firstLine="560"/>
        <w:rPr>
          <w:rFonts w:cs="Times New Roman"/>
          <w:kern w:val="2"/>
        </w:rPr>
      </w:pPr>
      <w:r>
        <w:rPr>
          <w:rFonts w:hint="eastAsia" w:cs="Times New Roman"/>
          <w:kern w:val="2"/>
        </w:rPr>
        <w:t>校园安全涉及到师生学习、生活和工作的方方面面，威胁着师生的生命财产安全。对此我校采取问卷调查的形式，对学生在校的安全感、案事件发案率、对校园安全有何建议进行了一次较为深入的调查了解。此次活动共发放问卷1000份，有效卷990份，有效率达99.%。</w:t>
      </w:r>
    </w:p>
    <w:p>
      <w:pPr>
        <w:pStyle w:val="5"/>
        <w:ind w:firstLine="560"/>
        <w:rPr>
          <w:rFonts w:cs="Times New Roman"/>
          <w:kern w:val="2"/>
        </w:rPr>
      </w:pPr>
      <w:r>
        <w:rPr>
          <w:rFonts w:hint="eastAsia" w:cs="Times New Roman"/>
          <w:kern w:val="2"/>
        </w:rPr>
        <w:t>从调查数据分析来看广大师生需要一个安全、稳定的校园环境，只有在安全、稳定的校园里，教职工才能全力投入到教学科研工作，学生才能安心学习深造。师生对本校的安全感满意度占到98%。</w:t>
      </w:r>
    </w:p>
    <w:p>
      <w:pPr>
        <w:pStyle w:val="5"/>
        <w:spacing w:beforeLines="30" w:afterLines="30"/>
        <w:ind w:firstLine="562"/>
        <w:rPr>
          <w:b/>
        </w:rPr>
      </w:pPr>
      <w:r>
        <w:rPr>
          <w:rFonts w:hint="eastAsia"/>
          <w:b/>
        </w:rPr>
        <w:t>2.2.6 毕业生对学校满意度</w:t>
      </w:r>
    </w:p>
    <w:p>
      <w:pPr>
        <w:ind w:firstLine="560" w:firstLineChars="200"/>
        <w:jc w:val="left"/>
        <w:rPr>
          <w:sz w:val="28"/>
          <w:szCs w:val="28"/>
        </w:rPr>
      </w:pPr>
      <w:r>
        <w:rPr>
          <w:rFonts w:hint="eastAsia"/>
          <w:sz w:val="28"/>
          <w:szCs w:val="28"/>
        </w:rPr>
        <w:t>南阳中医药学校2021年毕业生总数为1090人,通过毕业生就业满意度调查显示，其中很满意人数为331人，占比30.37%；满意的人数为621人，占比56.96%，两者合计达87.33%。</w:t>
      </w:r>
    </w:p>
    <w:p>
      <w:pPr>
        <w:widowControl/>
      </w:pPr>
      <w:r>
        <w:drawing>
          <wp:inline distT="0" distB="0" distL="0" distR="0">
            <wp:extent cx="4620895" cy="2613660"/>
            <wp:effectExtent l="3896" t="3762" r="12802" b="12361"/>
            <wp:docPr id="3" name="图片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33"/>
        <w:rPr>
          <w:rFonts w:ascii="宋体" w:hAnsi="宋体"/>
          <w:szCs w:val="24"/>
        </w:rPr>
      </w:pPr>
      <w:r>
        <w:rPr>
          <w:rFonts w:hint="eastAsia" w:ascii="宋体" w:hAnsi="宋体"/>
          <w:szCs w:val="21"/>
        </w:rPr>
        <w:t xml:space="preserve">图2-1 </w:t>
      </w:r>
      <w:r>
        <w:rPr>
          <w:rFonts w:hint="eastAsia"/>
        </w:rPr>
        <w:t xml:space="preserve"> 2021届毕业生对学校满意度</w:t>
      </w:r>
    </w:p>
    <w:p>
      <w:pPr>
        <w:pStyle w:val="3"/>
        <w:spacing w:before="156" w:after="156"/>
        <w:ind w:firstLine="562"/>
      </w:pPr>
      <w:bookmarkStart w:id="45" w:name="_Toc13559"/>
      <w:bookmarkStart w:id="46" w:name="_Toc22827_WPSOffice_Level1"/>
      <w:bookmarkStart w:id="47" w:name="_Toc15832"/>
      <w:bookmarkStart w:id="48" w:name="_Toc88032471"/>
      <w:bookmarkStart w:id="49" w:name="_Toc12827"/>
      <w:r>
        <w:rPr>
          <w:rFonts w:hint="eastAsia"/>
        </w:rPr>
        <w:t>2.3 资助情况</w:t>
      </w:r>
      <w:bookmarkEnd w:id="45"/>
      <w:bookmarkEnd w:id="46"/>
      <w:bookmarkEnd w:id="47"/>
      <w:bookmarkEnd w:id="48"/>
      <w:bookmarkEnd w:id="49"/>
    </w:p>
    <w:p>
      <w:pPr>
        <w:ind w:firstLine="560" w:firstLineChars="200"/>
        <w:jc w:val="left"/>
        <w:rPr>
          <w:sz w:val="28"/>
          <w:szCs w:val="28"/>
        </w:rPr>
      </w:pPr>
      <w:bookmarkStart w:id="50" w:name="_Toc13269"/>
      <w:bookmarkStart w:id="51" w:name="_Toc758_WPSOffice_Level1"/>
      <w:bookmarkStart w:id="52" w:name="_Toc23104"/>
      <w:bookmarkStart w:id="53" w:name="_Toc31066"/>
      <w:r>
        <w:rPr>
          <w:rFonts w:hint="eastAsia"/>
          <w:sz w:val="28"/>
          <w:szCs w:val="28"/>
        </w:rPr>
        <w:t>南阳中医药学校制定《关于中等职业教育免学费和中等职业教育国家助学金政策实施方案》、《家庭经济困难学生认定办法》、《学生奖学金管理办法》和《南阳中医药学校关于评选2020年中职国家奖学金的通知》，2020-2021学年共上报发放享受中职免学费学生</w:t>
      </w:r>
      <w:r>
        <w:rPr>
          <w:sz w:val="28"/>
          <w:szCs w:val="28"/>
        </w:rPr>
        <w:t>6125</w:t>
      </w:r>
      <w:r>
        <w:rPr>
          <w:rFonts w:hint="eastAsia"/>
          <w:sz w:val="28"/>
          <w:szCs w:val="28"/>
        </w:rPr>
        <w:t>人次，免学费金额</w:t>
      </w:r>
      <w:r>
        <w:rPr>
          <w:sz w:val="28"/>
          <w:szCs w:val="28"/>
        </w:rPr>
        <w:t>581.875</w:t>
      </w:r>
      <w:r>
        <w:rPr>
          <w:rFonts w:hint="eastAsia"/>
          <w:sz w:val="28"/>
          <w:szCs w:val="28"/>
        </w:rPr>
        <w:t>万元；上报发放享受中职助学金学生</w:t>
      </w:r>
      <w:r>
        <w:rPr>
          <w:sz w:val="28"/>
          <w:szCs w:val="28"/>
        </w:rPr>
        <w:t>1323</w:t>
      </w:r>
      <w:r>
        <w:rPr>
          <w:rFonts w:hint="eastAsia"/>
          <w:sz w:val="28"/>
          <w:szCs w:val="28"/>
        </w:rPr>
        <w:t>人次，助学金金额</w:t>
      </w:r>
      <w:r>
        <w:rPr>
          <w:sz w:val="28"/>
          <w:szCs w:val="28"/>
        </w:rPr>
        <w:t>132.3</w:t>
      </w:r>
      <w:r>
        <w:rPr>
          <w:rFonts w:hint="eastAsia"/>
          <w:sz w:val="28"/>
          <w:szCs w:val="28"/>
        </w:rPr>
        <w:t>万元；（注：该统计数据起止日期为2020年9月1日至2021年6月31日，统计数字原则上与全国学生资助管理信息系统保持一致。注意表中“人数”与“人次”的区别,每学期每人每项目为1人次。）学校评审上报发放中职国家奖学金6人，发放金额3.6万元；评审发放优秀学生奖学金448人，发放金额 6.39万元；为建档立卡等家庭经济困难学生发放越冬物资补助 166人，发放金额3.32万元。</w:t>
      </w:r>
    </w:p>
    <w:p>
      <w:pPr>
        <w:pStyle w:val="3"/>
        <w:spacing w:before="156" w:after="156"/>
        <w:ind w:firstLine="562"/>
      </w:pPr>
      <w:bookmarkStart w:id="54" w:name="_Toc88032472"/>
      <w:r>
        <w:rPr>
          <w:rFonts w:hint="eastAsia"/>
        </w:rPr>
        <w:t>2.4 就业质量</w:t>
      </w:r>
      <w:bookmarkEnd w:id="50"/>
      <w:bookmarkEnd w:id="51"/>
      <w:bookmarkEnd w:id="52"/>
      <w:bookmarkEnd w:id="53"/>
      <w:bookmarkEnd w:id="54"/>
    </w:p>
    <w:p>
      <w:pPr>
        <w:ind w:firstLine="560" w:firstLineChars="200"/>
        <w:jc w:val="left"/>
        <w:rPr>
          <w:sz w:val="28"/>
          <w:szCs w:val="28"/>
        </w:rPr>
      </w:pPr>
      <w:bookmarkStart w:id="55" w:name="_Toc32413_WPSOffice_Level1"/>
      <w:bookmarkStart w:id="56" w:name="_Toc17387"/>
      <w:bookmarkStart w:id="57" w:name="_Toc13864"/>
      <w:bookmarkStart w:id="58" w:name="_Toc14463"/>
      <w:r>
        <w:rPr>
          <w:rFonts w:hint="eastAsia"/>
          <w:sz w:val="28"/>
          <w:szCs w:val="28"/>
        </w:rPr>
        <w:t>南阳中医药学校2021年毕业生总数为1090人，其就业情况如下表：</w:t>
      </w:r>
    </w:p>
    <w:p>
      <w:pPr>
        <w:pStyle w:val="33"/>
      </w:pPr>
      <w:r>
        <w:t>表2-4</w:t>
      </w:r>
      <w:r>
        <w:rPr>
          <w:rFonts w:hint="eastAsia"/>
        </w:rPr>
        <w:t xml:space="preserve"> 2021年毕业生就业情况信息表</w:t>
      </w:r>
    </w:p>
    <w:tbl>
      <w:tblPr>
        <w:tblStyle w:val="16"/>
        <w:tblW w:w="8656" w:type="dxa"/>
        <w:jc w:val="center"/>
        <w:tblInd w:w="0" w:type="dxa"/>
        <w:tblLayout w:type="fixed"/>
        <w:tblCellMar>
          <w:top w:w="0" w:type="dxa"/>
          <w:left w:w="108" w:type="dxa"/>
          <w:bottom w:w="0" w:type="dxa"/>
          <w:right w:w="108" w:type="dxa"/>
        </w:tblCellMar>
      </w:tblPr>
      <w:tblGrid>
        <w:gridCol w:w="2301"/>
        <w:gridCol w:w="1271"/>
        <w:gridCol w:w="1271"/>
        <w:gridCol w:w="1271"/>
        <w:gridCol w:w="1271"/>
        <w:gridCol w:w="1271"/>
      </w:tblGrid>
      <w:tr>
        <w:tblPrEx>
          <w:tblLayout w:type="fixed"/>
          <w:tblCellMar>
            <w:top w:w="0" w:type="dxa"/>
            <w:left w:w="108" w:type="dxa"/>
            <w:bottom w:w="0" w:type="dxa"/>
            <w:right w:w="108" w:type="dxa"/>
          </w:tblCellMar>
        </w:tblPrEx>
        <w:trPr>
          <w:trHeight w:val="716" w:hRule="atLeast"/>
          <w:jc w:val="center"/>
        </w:trPr>
        <w:tc>
          <w:tcPr>
            <w:tcW w:w="2301" w:type="dxa"/>
            <w:tcBorders>
              <w:top w:val="single" w:color="000000" w:sz="4" w:space="0"/>
              <w:left w:val="single" w:color="000000" w:sz="4" w:space="0"/>
              <w:bottom w:val="single" w:color="000000" w:sz="4" w:space="0"/>
              <w:right w:val="single" w:color="000000" w:sz="4" w:space="0"/>
            </w:tcBorders>
            <w:vAlign w:val="center"/>
          </w:tcPr>
          <w:p>
            <w:pPr>
              <w:rPr>
                <w:rFonts w:cs="仿宋_GB2312"/>
                <w:b/>
                <w:szCs w:val="21"/>
              </w:rPr>
            </w:pPr>
            <w:r>
              <w:rPr>
                <w:rFonts w:hint="eastAsia" w:cs="仿宋_GB2312"/>
                <w:b/>
                <w:szCs w:val="21"/>
              </w:rPr>
              <w:t>专业类别</w:t>
            </w:r>
          </w:p>
        </w:tc>
        <w:tc>
          <w:tcPr>
            <w:tcW w:w="1271" w:type="dxa"/>
            <w:tcBorders>
              <w:top w:val="single" w:color="000000" w:sz="4" w:space="0"/>
              <w:left w:val="nil"/>
              <w:bottom w:val="single" w:color="000000" w:sz="4" w:space="0"/>
              <w:right w:val="single" w:color="000000" w:sz="4" w:space="0"/>
            </w:tcBorders>
            <w:vAlign w:val="center"/>
          </w:tcPr>
          <w:p>
            <w:pPr>
              <w:rPr>
                <w:rFonts w:cs="仿宋_GB2312"/>
                <w:b/>
                <w:szCs w:val="21"/>
              </w:rPr>
            </w:pPr>
            <w:r>
              <w:rPr>
                <w:rFonts w:hint="eastAsia" w:cs="仿宋_GB2312"/>
                <w:b/>
                <w:szCs w:val="21"/>
              </w:rPr>
              <w:t>毕业生数（人）</w:t>
            </w:r>
          </w:p>
        </w:tc>
        <w:tc>
          <w:tcPr>
            <w:tcW w:w="1271" w:type="dxa"/>
            <w:tcBorders>
              <w:top w:val="single" w:color="000000" w:sz="4" w:space="0"/>
              <w:left w:val="nil"/>
              <w:bottom w:val="single" w:color="000000" w:sz="4" w:space="0"/>
              <w:right w:val="single" w:color="000000" w:sz="4" w:space="0"/>
            </w:tcBorders>
            <w:vAlign w:val="center"/>
          </w:tcPr>
          <w:p>
            <w:pPr>
              <w:rPr>
                <w:b/>
                <w:szCs w:val="21"/>
              </w:rPr>
            </w:pPr>
            <w:r>
              <w:rPr>
                <w:rFonts w:hint="eastAsia" w:cs="仿宋_GB2312"/>
                <w:b/>
                <w:szCs w:val="21"/>
              </w:rPr>
              <w:t>分专业毕业去向落实率</w:t>
            </w:r>
          </w:p>
        </w:tc>
        <w:tc>
          <w:tcPr>
            <w:tcW w:w="1271" w:type="dxa"/>
            <w:tcBorders>
              <w:top w:val="single" w:color="000000" w:sz="4" w:space="0"/>
              <w:left w:val="nil"/>
              <w:bottom w:val="single" w:color="000000" w:sz="4" w:space="0"/>
              <w:right w:val="single" w:color="000000" w:sz="4" w:space="0"/>
            </w:tcBorders>
            <w:vAlign w:val="center"/>
          </w:tcPr>
          <w:p>
            <w:pPr>
              <w:rPr>
                <w:rFonts w:cs="仿宋_GB2312"/>
                <w:b/>
                <w:szCs w:val="21"/>
              </w:rPr>
            </w:pPr>
            <w:r>
              <w:rPr>
                <w:rFonts w:hint="eastAsia" w:cs="仿宋_GB2312"/>
                <w:b/>
                <w:szCs w:val="21"/>
              </w:rPr>
              <w:t>对口毕业去向落实率</w:t>
            </w:r>
          </w:p>
        </w:tc>
        <w:tc>
          <w:tcPr>
            <w:tcW w:w="1271" w:type="dxa"/>
            <w:tcBorders>
              <w:top w:val="single" w:color="000000" w:sz="4" w:space="0"/>
              <w:left w:val="nil"/>
              <w:bottom w:val="single" w:color="000000" w:sz="4" w:space="0"/>
              <w:right w:val="single" w:color="000000" w:sz="4" w:space="0"/>
            </w:tcBorders>
            <w:vAlign w:val="center"/>
          </w:tcPr>
          <w:p>
            <w:pPr>
              <w:rPr>
                <w:rFonts w:cs="仿宋_GB2312"/>
                <w:b/>
                <w:szCs w:val="21"/>
              </w:rPr>
            </w:pPr>
            <w:r>
              <w:rPr>
                <w:rFonts w:hint="eastAsia" w:cs="仿宋_GB2312"/>
                <w:b/>
                <w:szCs w:val="21"/>
              </w:rPr>
              <w:t>初次就业起薪</w:t>
            </w:r>
          </w:p>
        </w:tc>
        <w:tc>
          <w:tcPr>
            <w:tcW w:w="1271" w:type="dxa"/>
            <w:tcBorders>
              <w:top w:val="single" w:color="000000" w:sz="4" w:space="0"/>
              <w:left w:val="nil"/>
              <w:bottom w:val="single" w:color="000000" w:sz="4" w:space="0"/>
              <w:right w:val="single" w:color="000000" w:sz="4" w:space="0"/>
            </w:tcBorders>
            <w:vAlign w:val="center"/>
          </w:tcPr>
          <w:p>
            <w:pPr>
              <w:rPr>
                <w:rFonts w:cs="仿宋_GB2312"/>
                <w:b/>
                <w:szCs w:val="21"/>
              </w:rPr>
            </w:pPr>
            <w:r>
              <w:rPr>
                <w:rFonts w:hint="eastAsia" w:cs="仿宋_GB2312"/>
                <w:b/>
                <w:szCs w:val="21"/>
              </w:rPr>
              <w:t>升学人数</w:t>
            </w:r>
          </w:p>
        </w:tc>
      </w:tr>
      <w:tr>
        <w:tblPrEx>
          <w:tblLayout w:type="fixed"/>
          <w:tblCellMar>
            <w:top w:w="0" w:type="dxa"/>
            <w:left w:w="108" w:type="dxa"/>
            <w:bottom w:w="0" w:type="dxa"/>
            <w:right w:w="108" w:type="dxa"/>
          </w:tblCellMar>
        </w:tblPrEx>
        <w:trPr>
          <w:trHeight w:val="733" w:hRule="atLeast"/>
          <w:jc w:val="center"/>
        </w:trPr>
        <w:tc>
          <w:tcPr>
            <w:tcW w:w="2301" w:type="dxa"/>
            <w:tcBorders>
              <w:top w:val="nil"/>
              <w:left w:val="single" w:color="000000" w:sz="4" w:space="0"/>
              <w:bottom w:val="single" w:color="000000" w:sz="4" w:space="0"/>
              <w:right w:val="single" w:color="000000" w:sz="4" w:space="0"/>
            </w:tcBorders>
            <w:vAlign w:val="center"/>
          </w:tcPr>
          <w:p>
            <w:pPr>
              <w:rPr>
                <w:rFonts w:cs="仿宋_GB2312"/>
                <w:b/>
                <w:szCs w:val="21"/>
              </w:rPr>
            </w:pPr>
            <w:r>
              <w:rPr>
                <w:rFonts w:hint="eastAsia" w:cs="仿宋_GB2312"/>
                <w:b/>
                <w:szCs w:val="21"/>
              </w:rPr>
              <w:t>护理</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789</w:t>
            </w:r>
          </w:p>
        </w:tc>
        <w:tc>
          <w:tcPr>
            <w:tcW w:w="1271" w:type="dxa"/>
            <w:tcBorders>
              <w:top w:val="nil"/>
              <w:left w:val="nil"/>
              <w:bottom w:val="single" w:color="000000" w:sz="4" w:space="0"/>
              <w:right w:val="single" w:color="000000" w:sz="4" w:space="0"/>
            </w:tcBorders>
            <w:vAlign w:val="center"/>
          </w:tcPr>
          <w:p>
            <w:pPr>
              <w:widowControl/>
              <w:textAlignment w:val="center"/>
              <w:rPr>
                <w:szCs w:val="21"/>
              </w:rPr>
            </w:pPr>
            <w:r>
              <w:rPr>
                <w:rFonts w:cs="仿宋_GB2312"/>
                <w:kern w:val="0"/>
                <w:szCs w:val="21"/>
              </w:rPr>
              <w:t>96.20%</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91.44%</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2000</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670</w:t>
            </w:r>
          </w:p>
        </w:tc>
      </w:tr>
      <w:tr>
        <w:tblPrEx>
          <w:tblLayout w:type="fixed"/>
          <w:tblCellMar>
            <w:top w:w="0" w:type="dxa"/>
            <w:left w:w="108" w:type="dxa"/>
            <w:bottom w:w="0" w:type="dxa"/>
            <w:right w:w="108" w:type="dxa"/>
          </w:tblCellMar>
        </w:tblPrEx>
        <w:trPr>
          <w:trHeight w:val="651" w:hRule="atLeast"/>
          <w:jc w:val="center"/>
        </w:trPr>
        <w:tc>
          <w:tcPr>
            <w:tcW w:w="2301" w:type="dxa"/>
            <w:tcBorders>
              <w:top w:val="nil"/>
              <w:left w:val="single" w:color="000000" w:sz="4" w:space="0"/>
              <w:bottom w:val="single" w:color="000000" w:sz="4" w:space="0"/>
              <w:right w:val="single" w:color="000000" w:sz="4" w:space="0"/>
            </w:tcBorders>
            <w:vAlign w:val="center"/>
          </w:tcPr>
          <w:p>
            <w:pPr>
              <w:rPr>
                <w:rFonts w:cs="仿宋_GB2312"/>
                <w:b/>
                <w:szCs w:val="21"/>
              </w:rPr>
            </w:pPr>
            <w:r>
              <w:rPr>
                <w:rFonts w:hint="eastAsia" w:cs="仿宋_GB2312"/>
                <w:b/>
                <w:szCs w:val="21"/>
              </w:rPr>
              <w:t>助产</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63</w:t>
            </w:r>
          </w:p>
        </w:tc>
        <w:tc>
          <w:tcPr>
            <w:tcW w:w="1271" w:type="dxa"/>
            <w:tcBorders>
              <w:top w:val="nil"/>
              <w:left w:val="nil"/>
              <w:bottom w:val="single" w:color="000000" w:sz="4" w:space="0"/>
              <w:right w:val="single" w:color="000000" w:sz="4" w:space="0"/>
            </w:tcBorders>
            <w:vAlign w:val="center"/>
          </w:tcPr>
          <w:p>
            <w:pPr>
              <w:widowControl/>
              <w:textAlignment w:val="center"/>
              <w:rPr>
                <w:szCs w:val="21"/>
              </w:rPr>
            </w:pPr>
            <w:r>
              <w:rPr>
                <w:rFonts w:cs="仿宋_GB2312"/>
                <w:kern w:val="0"/>
                <w:szCs w:val="21"/>
              </w:rPr>
              <w:t>96.83%</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96.72%</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2000</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58</w:t>
            </w:r>
          </w:p>
        </w:tc>
      </w:tr>
      <w:tr>
        <w:tblPrEx>
          <w:tblLayout w:type="fixed"/>
          <w:tblCellMar>
            <w:top w:w="0" w:type="dxa"/>
            <w:left w:w="108" w:type="dxa"/>
            <w:bottom w:w="0" w:type="dxa"/>
            <w:right w:w="108" w:type="dxa"/>
          </w:tblCellMar>
        </w:tblPrEx>
        <w:trPr>
          <w:trHeight w:val="716" w:hRule="atLeast"/>
          <w:jc w:val="center"/>
        </w:trPr>
        <w:tc>
          <w:tcPr>
            <w:tcW w:w="2301" w:type="dxa"/>
            <w:tcBorders>
              <w:top w:val="nil"/>
              <w:left w:val="single" w:color="000000" w:sz="4" w:space="0"/>
              <w:bottom w:val="single" w:color="000000" w:sz="4" w:space="0"/>
              <w:right w:val="single" w:color="000000" w:sz="4" w:space="0"/>
            </w:tcBorders>
            <w:vAlign w:val="center"/>
          </w:tcPr>
          <w:p>
            <w:pPr>
              <w:rPr>
                <w:rFonts w:cs="仿宋_GB2312"/>
                <w:b/>
                <w:szCs w:val="21"/>
              </w:rPr>
            </w:pPr>
            <w:r>
              <w:rPr>
                <w:rFonts w:hint="eastAsia" w:cs="仿宋_GB2312"/>
                <w:b/>
                <w:szCs w:val="21"/>
              </w:rPr>
              <w:t>中医康复保健</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125</w:t>
            </w:r>
          </w:p>
        </w:tc>
        <w:tc>
          <w:tcPr>
            <w:tcW w:w="1271" w:type="dxa"/>
            <w:tcBorders>
              <w:top w:val="nil"/>
              <w:left w:val="nil"/>
              <w:bottom w:val="single" w:color="000000" w:sz="4" w:space="0"/>
              <w:right w:val="single" w:color="000000" w:sz="4" w:space="0"/>
            </w:tcBorders>
            <w:vAlign w:val="center"/>
          </w:tcPr>
          <w:p>
            <w:pPr>
              <w:widowControl/>
              <w:textAlignment w:val="center"/>
              <w:rPr>
                <w:szCs w:val="21"/>
              </w:rPr>
            </w:pPr>
            <w:r>
              <w:rPr>
                <w:rFonts w:cs="仿宋_GB2312"/>
                <w:kern w:val="0"/>
                <w:szCs w:val="21"/>
              </w:rPr>
              <w:t>86.40%</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89.81%</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2100</w:t>
            </w:r>
          </w:p>
        </w:tc>
        <w:tc>
          <w:tcPr>
            <w:tcW w:w="1271" w:type="dxa"/>
            <w:tcBorders>
              <w:top w:val="nil"/>
              <w:left w:val="nil"/>
              <w:bottom w:val="single" w:color="000000" w:sz="4" w:space="0"/>
              <w:right w:val="single" w:color="000000" w:sz="4" w:space="0"/>
            </w:tcBorders>
            <w:vAlign w:val="center"/>
          </w:tcPr>
          <w:p>
            <w:pPr>
              <w:widowControl/>
              <w:textAlignment w:val="center"/>
              <w:rPr>
                <w:rFonts w:cs="仿宋_GB2312"/>
                <w:szCs w:val="21"/>
              </w:rPr>
            </w:pPr>
            <w:r>
              <w:rPr>
                <w:rFonts w:cs="仿宋_GB2312"/>
                <w:kern w:val="0"/>
                <w:szCs w:val="21"/>
              </w:rPr>
              <w:t>88</w:t>
            </w:r>
          </w:p>
        </w:tc>
      </w:tr>
      <w:tr>
        <w:tblPrEx>
          <w:tblLayout w:type="fixed"/>
          <w:tblCellMar>
            <w:top w:w="0" w:type="dxa"/>
            <w:left w:w="108" w:type="dxa"/>
            <w:bottom w:w="0" w:type="dxa"/>
            <w:right w:w="108" w:type="dxa"/>
          </w:tblCellMar>
        </w:tblPrEx>
        <w:trPr>
          <w:trHeight w:val="861" w:hRule="atLeast"/>
          <w:jc w:val="center"/>
        </w:trPr>
        <w:tc>
          <w:tcPr>
            <w:tcW w:w="2301" w:type="dxa"/>
            <w:tcBorders>
              <w:top w:val="nil"/>
              <w:left w:val="single" w:color="000000" w:sz="4" w:space="0"/>
              <w:bottom w:val="single" w:color="auto" w:sz="4" w:space="0"/>
              <w:right w:val="single" w:color="000000" w:sz="4" w:space="0"/>
            </w:tcBorders>
            <w:vAlign w:val="center"/>
          </w:tcPr>
          <w:p>
            <w:pPr>
              <w:rPr>
                <w:rFonts w:cs="仿宋_GB2312"/>
                <w:b/>
                <w:szCs w:val="21"/>
              </w:rPr>
            </w:pPr>
            <w:r>
              <w:rPr>
                <w:rFonts w:hint="eastAsia" w:cs="仿宋_GB2312"/>
                <w:b/>
                <w:szCs w:val="21"/>
              </w:rPr>
              <w:t>药剂</w:t>
            </w:r>
          </w:p>
        </w:tc>
        <w:tc>
          <w:tcPr>
            <w:tcW w:w="1271" w:type="dxa"/>
            <w:tcBorders>
              <w:top w:val="nil"/>
              <w:left w:val="nil"/>
              <w:bottom w:val="single" w:color="auto" w:sz="4" w:space="0"/>
              <w:right w:val="single" w:color="000000" w:sz="4" w:space="0"/>
            </w:tcBorders>
            <w:vAlign w:val="center"/>
          </w:tcPr>
          <w:p>
            <w:pPr>
              <w:widowControl/>
              <w:textAlignment w:val="center"/>
              <w:rPr>
                <w:rFonts w:cs="仿宋_GB2312"/>
                <w:szCs w:val="21"/>
              </w:rPr>
            </w:pPr>
            <w:r>
              <w:rPr>
                <w:rFonts w:cs="仿宋_GB2312"/>
                <w:kern w:val="0"/>
                <w:szCs w:val="21"/>
              </w:rPr>
              <w:t>113</w:t>
            </w:r>
          </w:p>
        </w:tc>
        <w:tc>
          <w:tcPr>
            <w:tcW w:w="1271" w:type="dxa"/>
            <w:tcBorders>
              <w:top w:val="nil"/>
              <w:left w:val="nil"/>
              <w:bottom w:val="single" w:color="auto" w:sz="4" w:space="0"/>
              <w:right w:val="single" w:color="000000" w:sz="4" w:space="0"/>
            </w:tcBorders>
            <w:vAlign w:val="center"/>
          </w:tcPr>
          <w:p>
            <w:pPr>
              <w:widowControl/>
              <w:textAlignment w:val="center"/>
              <w:rPr>
                <w:szCs w:val="21"/>
              </w:rPr>
            </w:pPr>
            <w:r>
              <w:rPr>
                <w:rFonts w:cs="仿宋_GB2312"/>
                <w:kern w:val="0"/>
                <w:szCs w:val="21"/>
              </w:rPr>
              <w:t>88.50%</w:t>
            </w:r>
          </w:p>
        </w:tc>
        <w:tc>
          <w:tcPr>
            <w:tcW w:w="1271" w:type="dxa"/>
            <w:tcBorders>
              <w:top w:val="nil"/>
              <w:left w:val="nil"/>
              <w:bottom w:val="single" w:color="auto" w:sz="4" w:space="0"/>
              <w:right w:val="single" w:color="000000" w:sz="4" w:space="0"/>
            </w:tcBorders>
            <w:vAlign w:val="center"/>
          </w:tcPr>
          <w:p>
            <w:pPr>
              <w:widowControl/>
              <w:textAlignment w:val="center"/>
              <w:rPr>
                <w:rFonts w:cs="仿宋_GB2312"/>
                <w:szCs w:val="21"/>
              </w:rPr>
            </w:pPr>
            <w:r>
              <w:rPr>
                <w:rFonts w:cs="仿宋_GB2312"/>
                <w:kern w:val="0"/>
                <w:szCs w:val="21"/>
              </w:rPr>
              <w:t>91.00%</w:t>
            </w:r>
          </w:p>
        </w:tc>
        <w:tc>
          <w:tcPr>
            <w:tcW w:w="1271" w:type="dxa"/>
            <w:tcBorders>
              <w:top w:val="nil"/>
              <w:left w:val="nil"/>
              <w:bottom w:val="single" w:color="auto" w:sz="4" w:space="0"/>
              <w:right w:val="single" w:color="000000" w:sz="4" w:space="0"/>
            </w:tcBorders>
            <w:vAlign w:val="center"/>
          </w:tcPr>
          <w:p>
            <w:pPr>
              <w:widowControl/>
              <w:textAlignment w:val="center"/>
              <w:rPr>
                <w:rFonts w:cs="仿宋_GB2312"/>
                <w:szCs w:val="21"/>
              </w:rPr>
            </w:pPr>
            <w:r>
              <w:rPr>
                <w:rFonts w:cs="仿宋_GB2312"/>
                <w:kern w:val="0"/>
                <w:szCs w:val="21"/>
              </w:rPr>
              <w:t>2200</w:t>
            </w:r>
          </w:p>
        </w:tc>
        <w:tc>
          <w:tcPr>
            <w:tcW w:w="1271" w:type="dxa"/>
            <w:tcBorders>
              <w:top w:val="nil"/>
              <w:left w:val="nil"/>
              <w:bottom w:val="single" w:color="auto" w:sz="4" w:space="0"/>
              <w:right w:val="single" w:color="000000" w:sz="4" w:space="0"/>
            </w:tcBorders>
            <w:vAlign w:val="center"/>
          </w:tcPr>
          <w:p>
            <w:pPr>
              <w:widowControl/>
              <w:textAlignment w:val="center"/>
              <w:rPr>
                <w:rFonts w:cs="仿宋_GB2312"/>
                <w:szCs w:val="21"/>
              </w:rPr>
            </w:pPr>
            <w:r>
              <w:rPr>
                <w:rFonts w:cs="仿宋_GB2312"/>
                <w:kern w:val="0"/>
                <w:szCs w:val="21"/>
              </w:rPr>
              <w:t>86</w:t>
            </w:r>
          </w:p>
        </w:tc>
      </w:tr>
      <w:tr>
        <w:tblPrEx>
          <w:tblLayout w:type="fixed"/>
          <w:tblCellMar>
            <w:top w:w="0" w:type="dxa"/>
            <w:left w:w="108" w:type="dxa"/>
            <w:bottom w:w="0" w:type="dxa"/>
            <w:right w:w="108" w:type="dxa"/>
          </w:tblCellMar>
        </w:tblPrEx>
        <w:trPr>
          <w:trHeight w:val="861" w:hRule="atLeast"/>
          <w:jc w:val="center"/>
        </w:trPr>
        <w:tc>
          <w:tcPr>
            <w:tcW w:w="2301" w:type="dxa"/>
            <w:tcBorders>
              <w:top w:val="single" w:color="auto" w:sz="4" w:space="0"/>
              <w:left w:val="single" w:color="auto" w:sz="4" w:space="0"/>
              <w:bottom w:val="single" w:color="auto" w:sz="4" w:space="0"/>
              <w:right w:val="single" w:color="auto" w:sz="4" w:space="0"/>
            </w:tcBorders>
            <w:vAlign w:val="center"/>
          </w:tcPr>
          <w:p>
            <w:pPr>
              <w:rPr>
                <w:rFonts w:cs="仿宋_GB2312"/>
                <w:b/>
                <w:szCs w:val="21"/>
              </w:rPr>
            </w:pPr>
            <w:r>
              <w:rPr>
                <w:rFonts w:hint="eastAsia" w:cs="仿宋_GB2312"/>
                <w:b/>
                <w:szCs w:val="21"/>
              </w:rPr>
              <w:t>合计</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textAlignment w:val="center"/>
              <w:rPr>
                <w:rFonts w:cs="仿宋_GB2312"/>
                <w:szCs w:val="21"/>
              </w:rPr>
            </w:pPr>
            <w:r>
              <w:rPr>
                <w:rFonts w:cs="仿宋_GB2312"/>
                <w:kern w:val="0"/>
                <w:szCs w:val="21"/>
              </w:rPr>
              <w:t>1090</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textAlignment w:val="center"/>
              <w:rPr>
                <w:rFonts w:cs="仿宋_GB2312"/>
                <w:szCs w:val="21"/>
              </w:rPr>
            </w:pPr>
            <w:r>
              <w:rPr>
                <w:rFonts w:cs="仿宋_GB2312"/>
                <w:kern w:val="0"/>
                <w:szCs w:val="21"/>
              </w:rPr>
              <w:t>94.31%</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textAlignment w:val="center"/>
              <w:rPr>
                <w:rFonts w:cs="仿宋_GB2312"/>
                <w:szCs w:val="21"/>
              </w:rPr>
            </w:pPr>
            <w:r>
              <w:rPr>
                <w:rFonts w:cs="仿宋_GB2312"/>
                <w:kern w:val="0"/>
                <w:szCs w:val="21"/>
              </w:rPr>
              <w:t>91.54%</w:t>
            </w:r>
          </w:p>
        </w:tc>
        <w:tc>
          <w:tcPr>
            <w:tcW w:w="1271" w:type="dxa"/>
            <w:tcBorders>
              <w:top w:val="single" w:color="auto" w:sz="4" w:space="0"/>
              <w:left w:val="single" w:color="auto" w:sz="4" w:space="0"/>
              <w:bottom w:val="single" w:color="auto" w:sz="4" w:space="0"/>
              <w:right w:val="single" w:color="auto" w:sz="4" w:space="0"/>
            </w:tcBorders>
            <w:vAlign w:val="center"/>
          </w:tcPr>
          <w:p>
            <w:pPr>
              <w:rPr>
                <w:rFonts w:cs="仿宋_GB2312"/>
                <w:szCs w:val="21"/>
              </w:rPr>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textAlignment w:val="center"/>
              <w:rPr>
                <w:rFonts w:cs="仿宋_GB2312"/>
                <w:szCs w:val="21"/>
              </w:rPr>
            </w:pPr>
            <w:r>
              <w:rPr>
                <w:rFonts w:cs="仿宋_GB2312"/>
                <w:kern w:val="0"/>
                <w:szCs w:val="21"/>
              </w:rPr>
              <w:t>902</w:t>
            </w:r>
          </w:p>
        </w:tc>
      </w:tr>
    </w:tbl>
    <w:p>
      <w:pPr>
        <w:pStyle w:val="33"/>
      </w:pPr>
      <w:r>
        <w:t>表2-5</w:t>
      </w:r>
      <w:r>
        <w:rPr>
          <w:rFonts w:hint="eastAsia"/>
        </w:rPr>
        <w:t xml:space="preserve">  2020年毕业生就业情况信息表</w:t>
      </w:r>
    </w:p>
    <w:tbl>
      <w:tblPr>
        <w:tblStyle w:val="16"/>
        <w:tblW w:w="8624" w:type="dxa"/>
        <w:jc w:val="center"/>
        <w:tblInd w:w="0" w:type="dxa"/>
        <w:tblLayout w:type="fixed"/>
        <w:tblCellMar>
          <w:top w:w="0" w:type="dxa"/>
          <w:left w:w="108" w:type="dxa"/>
          <w:bottom w:w="0" w:type="dxa"/>
          <w:right w:w="108" w:type="dxa"/>
        </w:tblCellMar>
      </w:tblPr>
      <w:tblGrid>
        <w:gridCol w:w="2294"/>
        <w:gridCol w:w="1266"/>
        <w:gridCol w:w="1266"/>
        <w:gridCol w:w="1266"/>
        <w:gridCol w:w="1266"/>
        <w:gridCol w:w="1266"/>
      </w:tblGrid>
      <w:tr>
        <w:tblPrEx>
          <w:tblLayout w:type="fixed"/>
          <w:tblCellMar>
            <w:top w:w="0" w:type="dxa"/>
            <w:left w:w="108" w:type="dxa"/>
            <w:bottom w:w="0" w:type="dxa"/>
            <w:right w:w="108" w:type="dxa"/>
          </w:tblCellMar>
        </w:tblPrEx>
        <w:trPr>
          <w:trHeight w:val="740" w:hRule="atLeast"/>
          <w:jc w:val="center"/>
        </w:trPr>
        <w:tc>
          <w:tcPr>
            <w:tcW w:w="2294" w:type="dxa"/>
            <w:tcBorders>
              <w:top w:val="single" w:color="000000" w:sz="4" w:space="0"/>
              <w:left w:val="single" w:color="000000" w:sz="4" w:space="0"/>
              <w:bottom w:val="single" w:color="000000" w:sz="4" w:space="0"/>
              <w:right w:val="single" w:color="000000" w:sz="4" w:space="0"/>
            </w:tcBorders>
            <w:vAlign w:val="center"/>
          </w:tcPr>
          <w:p>
            <w:pPr>
              <w:rPr>
                <w:rFonts w:cs="仿宋_GB2312"/>
                <w:b/>
                <w:szCs w:val="21"/>
              </w:rPr>
            </w:pPr>
            <w:r>
              <w:rPr>
                <w:rFonts w:hint="eastAsia" w:cs="仿宋_GB2312"/>
                <w:b/>
                <w:szCs w:val="21"/>
              </w:rPr>
              <w:t>专业类别</w:t>
            </w:r>
          </w:p>
        </w:tc>
        <w:tc>
          <w:tcPr>
            <w:tcW w:w="1266" w:type="dxa"/>
            <w:tcBorders>
              <w:top w:val="single" w:color="000000" w:sz="4" w:space="0"/>
              <w:left w:val="nil"/>
              <w:bottom w:val="single" w:color="000000" w:sz="4" w:space="0"/>
              <w:right w:val="single" w:color="000000" w:sz="4" w:space="0"/>
            </w:tcBorders>
            <w:vAlign w:val="center"/>
          </w:tcPr>
          <w:p>
            <w:pPr>
              <w:rPr>
                <w:rFonts w:cs="仿宋_GB2312"/>
                <w:b/>
                <w:szCs w:val="21"/>
              </w:rPr>
            </w:pPr>
            <w:r>
              <w:rPr>
                <w:rFonts w:hint="eastAsia" w:cs="仿宋_GB2312"/>
                <w:b/>
                <w:szCs w:val="21"/>
              </w:rPr>
              <w:t>毕业生数（人）</w:t>
            </w:r>
          </w:p>
        </w:tc>
        <w:tc>
          <w:tcPr>
            <w:tcW w:w="1266" w:type="dxa"/>
            <w:tcBorders>
              <w:top w:val="single" w:color="000000" w:sz="4" w:space="0"/>
              <w:left w:val="nil"/>
              <w:bottom w:val="single" w:color="000000" w:sz="4" w:space="0"/>
              <w:right w:val="single" w:color="000000" w:sz="4" w:space="0"/>
            </w:tcBorders>
            <w:vAlign w:val="center"/>
          </w:tcPr>
          <w:p>
            <w:pPr>
              <w:rPr>
                <w:b/>
                <w:szCs w:val="21"/>
              </w:rPr>
            </w:pPr>
            <w:r>
              <w:rPr>
                <w:rFonts w:hint="eastAsia" w:cs="仿宋_GB2312"/>
                <w:b/>
                <w:szCs w:val="21"/>
              </w:rPr>
              <w:t>分专业毕业去向落实率</w:t>
            </w:r>
          </w:p>
        </w:tc>
        <w:tc>
          <w:tcPr>
            <w:tcW w:w="1266" w:type="dxa"/>
            <w:tcBorders>
              <w:top w:val="single" w:color="000000" w:sz="4" w:space="0"/>
              <w:left w:val="nil"/>
              <w:bottom w:val="single" w:color="000000" w:sz="4" w:space="0"/>
              <w:right w:val="single" w:color="000000" w:sz="4" w:space="0"/>
            </w:tcBorders>
            <w:vAlign w:val="center"/>
          </w:tcPr>
          <w:p>
            <w:pPr>
              <w:rPr>
                <w:rFonts w:cs="仿宋_GB2312"/>
                <w:b/>
                <w:szCs w:val="21"/>
              </w:rPr>
            </w:pPr>
            <w:r>
              <w:rPr>
                <w:rFonts w:hint="eastAsia" w:cs="仿宋_GB2312"/>
                <w:b/>
                <w:szCs w:val="21"/>
              </w:rPr>
              <w:t>对口毕业去向落实率</w:t>
            </w:r>
          </w:p>
        </w:tc>
        <w:tc>
          <w:tcPr>
            <w:tcW w:w="1266" w:type="dxa"/>
            <w:tcBorders>
              <w:top w:val="single" w:color="000000" w:sz="4" w:space="0"/>
              <w:left w:val="nil"/>
              <w:bottom w:val="single" w:color="000000" w:sz="4" w:space="0"/>
              <w:right w:val="single" w:color="000000" w:sz="4" w:space="0"/>
            </w:tcBorders>
            <w:vAlign w:val="center"/>
          </w:tcPr>
          <w:p>
            <w:pPr>
              <w:rPr>
                <w:rFonts w:cs="仿宋_GB2312"/>
                <w:b/>
                <w:szCs w:val="21"/>
              </w:rPr>
            </w:pPr>
            <w:r>
              <w:rPr>
                <w:rFonts w:hint="eastAsia" w:cs="仿宋_GB2312"/>
                <w:b/>
                <w:szCs w:val="21"/>
              </w:rPr>
              <w:t>初次就业起薪</w:t>
            </w:r>
          </w:p>
        </w:tc>
        <w:tc>
          <w:tcPr>
            <w:tcW w:w="1266" w:type="dxa"/>
            <w:tcBorders>
              <w:top w:val="single" w:color="000000" w:sz="4" w:space="0"/>
              <w:left w:val="nil"/>
              <w:bottom w:val="single" w:color="000000" w:sz="4" w:space="0"/>
              <w:right w:val="single" w:color="000000" w:sz="4" w:space="0"/>
            </w:tcBorders>
            <w:vAlign w:val="center"/>
          </w:tcPr>
          <w:p>
            <w:pPr>
              <w:rPr>
                <w:rFonts w:cs="仿宋_GB2312"/>
                <w:b/>
                <w:szCs w:val="21"/>
              </w:rPr>
            </w:pPr>
            <w:r>
              <w:rPr>
                <w:rFonts w:hint="eastAsia" w:cs="仿宋_GB2312"/>
                <w:b/>
                <w:szCs w:val="21"/>
              </w:rPr>
              <w:t>升学人数</w:t>
            </w:r>
          </w:p>
        </w:tc>
      </w:tr>
      <w:tr>
        <w:tblPrEx>
          <w:tblLayout w:type="fixed"/>
          <w:tblCellMar>
            <w:top w:w="0" w:type="dxa"/>
            <w:left w:w="108" w:type="dxa"/>
            <w:bottom w:w="0" w:type="dxa"/>
            <w:right w:w="108" w:type="dxa"/>
          </w:tblCellMar>
        </w:tblPrEx>
        <w:trPr>
          <w:trHeight w:val="757" w:hRule="atLeast"/>
          <w:jc w:val="center"/>
        </w:trPr>
        <w:tc>
          <w:tcPr>
            <w:tcW w:w="2294" w:type="dxa"/>
            <w:tcBorders>
              <w:top w:val="nil"/>
              <w:left w:val="single" w:color="000000" w:sz="4" w:space="0"/>
              <w:bottom w:val="single" w:color="000000" w:sz="4" w:space="0"/>
              <w:right w:val="single" w:color="000000" w:sz="4" w:space="0"/>
            </w:tcBorders>
            <w:vAlign w:val="center"/>
          </w:tcPr>
          <w:p>
            <w:pPr>
              <w:rPr>
                <w:rFonts w:cs="仿宋_GB2312"/>
                <w:b/>
                <w:szCs w:val="21"/>
              </w:rPr>
            </w:pPr>
            <w:r>
              <w:rPr>
                <w:rFonts w:hint="eastAsia" w:cs="仿宋_GB2312"/>
                <w:b/>
                <w:szCs w:val="21"/>
              </w:rPr>
              <w:t>护理</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757</w:t>
            </w:r>
          </w:p>
        </w:tc>
        <w:tc>
          <w:tcPr>
            <w:tcW w:w="1266" w:type="dxa"/>
            <w:tcBorders>
              <w:top w:val="nil"/>
              <w:left w:val="nil"/>
              <w:bottom w:val="single" w:color="000000" w:sz="4" w:space="0"/>
              <w:right w:val="single" w:color="000000" w:sz="4" w:space="0"/>
            </w:tcBorders>
            <w:vAlign w:val="center"/>
          </w:tcPr>
          <w:p>
            <w:pPr>
              <w:rPr>
                <w:szCs w:val="21"/>
              </w:rPr>
            </w:pPr>
            <w:r>
              <w:rPr>
                <w:rFonts w:hint="eastAsia" w:cs="仿宋_GB2312"/>
                <w:szCs w:val="21"/>
              </w:rPr>
              <w:t>91.94%</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88.90%</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1800</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656</w:t>
            </w:r>
          </w:p>
        </w:tc>
      </w:tr>
      <w:tr>
        <w:tblPrEx>
          <w:tblLayout w:type="fixed"/>
          <w:tblCellMar>
            <w:top w:w="0" w:type="dxa"/>
            <w:left w:w="108" w:type="dxa"/>
            <w:bottom w:w="0" w:type="dxa"/>
            <w:right w:w="108" w:type="dxa"/>
          </w:tblCellMar>
        </w:tblPrEx>
        <w:trPr>
          <w:trHeight w:val="673" w:hRule="atLeast"/>
          <w:jc w:val="center"/>
        </w:trPr>
        <w:tc>
          <w:tcPr>
            <w:tcW w:w="2294" w:type="dxa"/>
            <w:tcBorders>
              <w:top w:val="nil"/>
              <w:left w:val="single" w:color="000000" w:sz="4" w:space="0"/>
              <w:bottom w:val="single" w:color="000000" w:sz="4" w:space="0"/>
              <w:right w:val="single" w:color="000000" w:sz="4" w:space="0"/>
            </w:tcBorders>
            <w:vAlign w:val="center"/>
          </w:tcPr>
          <w:p>
            <w:pPr>
              <w:rPr>
                <w:rFonts w:cs="仿宋_GB2312"/>
                <w:b/>
                <w:szCs w:val="21"/>
              </w:rPr>
            </w:pPr>
            <w:r>
              <w:rPr>
                <w:rFonts w:hint="eastAsia" w:cs="仿宋_GB2312"/>
                <w:b/>
                <w:szCs w:val="21"/>
              </w:rPr>
              <w:t>助产</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55</w:t>
            </w:r>
          </w:p>
        </w:tc>
        <w:tc>
          <w:tcPr>
            <w:tcW w:w="1266" w:type="dxa"/>
            <w:tcBorders>
              <w:top w:val="nil"/>
              <w:left w:val="nil"/>
              <w:bottom w:val="single" w:color="000000" w:sz="4" w:space="0"/>
              <w:right w:val="single" w:color="000000" w:sz="4" w:space="0"/>
            </w:tcBorders>
            <w:vAlign w:val="center"/>
          </w:tcPr>
          <w:p>
            <w:pPr>
              <w:rPr>
                <w:szCs w:val="21"/>
              </w:rPr>
            </w:pPr>
            <w:r>
              <w:rPr>
                <w:rFonts w:hint="eastAsia" w:cs="仿宋_GB2312"/>
                <w:szCs w:val="21"/>
              </w:rPr>
              <w:t>94.55%</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94.55%</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1800</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50</w:t>
            </w:r>
          </w:p>
        </w:tc>
      </w:tr>
      <w:tr>
        <w:tblPrEx>
          <w:tblLayout w:type="fixed"/>
          <w:tblCellMar>
            <w:top w:w="0" w:type="dxa"/>
            <w:left w:w="108" w:type="dxa"/>
            <w:bottom w:w="0" w:type="dxa"/>
            <w:right w:w="108" w:type="dxa"/>
          </w:tblCellMar>
        </w:tblPrEx>
        <w:trPr>
          <w:trHeight w:val="740" w:hRule="atLeast"/>
          <w:jc w:val="center"/>
        </w:trPr>
        <w:tc>
          <w:tcPr>
            <w:tcW w:w="2294" w:type="dxa"/>
            <w:tcBorders>
              <w:top w:val="nil"/>
              <w:left w:val="single" w:color="000000" w:sz="4" w:space="0"/>
              <w:bottom w:val="single" w:color="000000" w:sz="4" w:space="0"/>
              <w:right w:val="single" w:color="000000" w:sz="4" w:space="0"/>
            </w:tcBorders>
            <w:vAlign w:val="center"/>
          </w:tcPr>
          <w:p>
            <w:pPr>
              <w:rPr>
                <w:rFonts w:cs="仿宋_GB2312"/>
                <w:b/>
                <w:szCs w:val="21"/>
              </w:rPr>
            </w:pPr>
            <w:r>
              <w:rPr>
                <w:rFonts w:hint="eastAsia" w:cs="仿宋_GB2312"/>
                <w:b/>
                <w:szCs w:val="21"/>
              </w:rPr>
              <w:t>中医康复保健</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106</w:t>
            </w:r>
          </w:p>
        </w:tc>
        <w:tc>
          <w:tcPr>
            <w:tcW w:w="1266" w:type="dxa"/>
            <w:tcBorders>
              <w:top w:val="nil"/>
              <w:left w:val="nil"/>
              <w:bottom w:val="single" w:color="000000" w:sz="4" w:space="0"/>
              <w:right w:val="single" w:color="000000" w:sz="4" w:space="0"/>
            </w:tcBorders>
            <w:vAlign w:val="center"/>
          </w:tcPr>
          <w:p>
            <w:pPr>
              <w:rPr>
                <w:szCs w:val="21"/>
              </w:rPr>
            </w:pPr>
            <w:r>
              <w:rPr>
                <w:rFonts w:hint="eastAsia" w:cs="仿宋_GB2312"/>
                <w:szCs w:val="21"/>
              </w:rPr>
              <w:t>91.51%</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85.85%</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2100</w:t>
            </w:r>
          </w:p>
        </w:tc>
        <w:tc>
          <w:tcPr>
            <w:tcW w:w="1266" w:type="dxa"/>
            <w:tcBorders>
              <w:top w:val="nil"/>
              <w:left w:val="nil"/>
              <w:bottom w:val="single" w:color="000000" w:sz="4" w:space="0"/>
              <w:right w:val="single" w:color="000000" w:sz="4" w:space="0"/>
            </w:tcBorders>
            <w:vAlign w:val="center"/>
          </w:tcPr>
          <w:p>
            <w:pPr>
              <w:rPr>
                <w:rFonts w:cs="仿宋_GB2312"/>
                <w:szCs w:val="21"/>
              </w:rPr>
            </w:pPr>
            <w:r>
              <w:rPr>
                <w:rFonts w:hint="eastAsia" w:cs="仿宋_GB2312"/>
                <w:szCs w:val="21"/>
              </w:rPr>
              <w:t>91</w:t>
            </w:r>
          </w:p>
        </w:tc>
      </w:tr>
      <w:tr>
        <w:tblPrEx>
          <w:tblLayout w:type="fixed"/>
          <w:tblCellMar>
            <w:top w:w="0" w:type="dxa"/>
            <w:left w:w="108" w:type="dxa"/>
            <w:bottom w:w="0" w:type="dxa"/>
            <w:right w:w="108" w:type="dxa"/>
          </w:tblCellMar>
        </w:tblPrEx>
        <w:trPr>
          <w:trHeight w:val="890" w:hRule="atLeast"/>
          <w:jc w:val="center"/>
        </w:trPr>
        <w:tc>
          <w:tcPr>
            <w:tcW w:w="2294" w:type="dxa"/>
            <w:tcBorders>
              <w:top w:val="nil"/>
              <w:left w:val="single" w:color="000000" w:sz="4" w:space="0"/>
              <w:bottom w:val="single" w:color="auto" w:sz="4" w:space="0"/>
              <w:right w:val="single" w:color="000000" w:sz="4" w:space="0"/>
            </w:tcBorders>
            <w:vAlign w:val="center"/>
          </w:tcPr>
          <w:p>
            <w:pPr>
              <w:rPr>
                <w:rFonts w:cs="仿宋_GB2312"/>
                <w:b/>
                <w:szCs w:val="21"/>
              </w:rPr>
            </w:pPr>
            <w:r>
              <w:rPr>
                <w:rFonts w:hint="eastAsia" w:cs="仿宋_GB2312"/>
                <w:b/>
                <w:szCs w:val="21"/>
              </w:rPr>
              <w:t>药剂</w:t>
            </w:r>
          </w:p>
        </w:tc>
        <w:tc>
          <w:tcPr>
            <w:tcW w:w="1266" w:type="dxa"/>
            <w:tcBorders>
              <w:top w:val="nil"/>
              <w:left w:val="nil"/>
              <w:bottom w:val="single" w:color="auto" w:sz="4" w:space="0"/>
              <w:right w:val="single" w:color="000000" w:sz="4" w:space="0"/>
            </w:tcBorders>
            <w:vAlign w:val="center"/>
          </w:tcPr>
          <w:p>
            <w:pPr>
              <w:rPr>
                <w:rFonts w:cs="仿宋_GB2312"/>
                <w:szCs w:val="21"/>
              </w:rPr>
            </w:pPr>
            <w:r>
              <w:rPr>
                <w:rFonts w:hint="eastAsia" w:cs="仿宋_GB2312"/>
                <w:szCs w:val="21"/>
              </w:rPr>
              <w:t>132</w:t>
            </w:r>
          </w:p>
        </w:tc>
        <w:tc>
          <w:tcPr>
            <w:tcW w:w="1266" w:type="dxa"/>
            <w:tcBorders>
              <w:top w:val="nil"/>
              <w:left w:val="nil"/>
              <w:bottom w:val="single" w:color="auto" w:sz="4" w:space="0"/>
              <w:right w:val="single" w:color="000000" w:sz="4" w:space="0"/>
            </w:tcBorders>
            <w:vAlign w:val="center"/>
          </w:tcPr>
          <w:p>
            <w:pPr>
              <w:rPr>
                <w:szCs w:val="21"/>
              </w:rPr>
            </w:pPr>
            <w:r>
              <w:rPr>
                <w:rFonts w:hint="eastAsia" w:cs="仿宋_GB2312"/>
                <w:szCs w:val="21"/>
              </w:rPr>
              <w:t>95.45%</w:t>
            </w:r>
          </w:p>
        </w:tc>
        <w:tc>
          <w:tcPr>
            <w:tcW w:w="1266" w:type="dxa"/>
            <w:tcBorders>
              <w:top w:val="nil"/>
              <w:left w:val="nil"/>
              <w:bottom w:val="single" w:color="auto" w:sz="4" w:space="0"/>
              <w:right w:val="single" w:color="000000" w:sz="4" w:space="0"/>
            </w:tcBorders>
            <w:vAlign w:val="center"/>
          </w:tcPr>
          <w:p>
            <w:pPr>
              <w:rPr>
                <w:rFonts w:cs="仿宋_GB2312"/>
                <w:szCs w:val="21"/>
              </w:rPr>
            </w:pPr>
            <w:r>
              <w:rPr>
                <w:rFonts w:hint="eastAsia" w:cs="仿宋_GB2312"/>
                <w:szCs w:val="21"/>
              </w:rPr>
              <w:t>85.61%</w:t>
            </w:r>
          </w:p>
        </w:tc>
        <w:tc>
          <w:tcPr>
            <w:tcW w:w="1266" w:type="dxa"/>
            <w:tcBorders>
              <w:top w:val="nil"/>
              <w:left w:val="nil"/>
              <w:bottom w:val="single" w:color="auto" w:sz="4" w:space="0"/>
              <w:right w:val="single" w:color="000000" w:sz="4" w:space="0"/>
            </w:tcBorders>
            <w:vAlign w:val="center"/>
          </w:tcPr>
          <w:p>
            <w:pPr>
              <w:rPr>
                <w:rFonts w:cs="仿宋_GB2312"/>
                <w:szCs w:val="21"/>
              </w:rPr>
            </w:pPr>
            <w:r>
              <w:rPr>
                <w:rFonts w:hint="eastAsia" w:cs="仿宋_GB2312"/>
                <w:szCs w:val="21"/>
              </w:rPr>
              <w:t>2200</w:t>
            </w:r>
          </w:p>
        </w:tc>
        <w:tc>
          <w:tcPr>
            <w:tcW w:w="1266" w:type="dxa"/>
            <w:tcBorders>
              <w:top w:val="nil"/>
              <w:left w:val="nil"/>
              <w:bottom w:val="single" w:color="auto" w:sz="4" w:space="0"/>
              <w:right w:val="single" w:color="000000" w:sz="4" w:space="0"/>
            </w:tcBorders>
            <w:vAlign w:val="center"/>
          </w:tcPr>
          <w:p>
            <w:pPr>
              <w:rPr>
                <w:rFonts w:cs="仿宋_GB2312"/>
                <w:szCs w:val="21"/>
              </w:rPr>
            </w:pPr>
            <w:r>
              <w:rPr>
                <w:rFonts w:hint="eastAsia" w:cs="仿宋_GB2312"/>
                <w:szCs w:val="21"/>
              </w:rPr>
              <w:t>110</w:t>
            </w:r>
          </w:p>
        </w:tc>
      </w:tr>
      <w:tr>
        <w:tblPrEx>
          <w:tblLayout w:type="fixed"/>
          <w:tblCellMar>
            <w:top w:w="0" w:type="dxa"/>
            <w:left w:w="108" w:type="dxa"/>
            <w:bottom w:w="0" w:type="dxa"/>
            <w:right w:w="108" w:type="dxa"/>
          </w:tblCellMar>
        </w:tblPrEx>
        <w:trPr>
          <w:trHeight w:val="890" w:hRule="atLeast"/>
          <w:jc w:val="center"/>
        </w:trPr>
        <w:tc>
          <w:tcPr>
            <w:tcW w:w="2294" w:type="dxa"/>
            <w:tcBorders>
              <w:top w:val="single" w:color="auto" w:sz="4" w:space="0"/>
              <w:left w:val="single" w:color="auto" w:sz="4" w:space="0"/>
              <w:bottom w:val="single" w:color="auto" w:sz="4" w:space="0"/>
              <w:right w:val="single" w:color="auto" w:sz="4" w:space="0"/>
            </w:tcBorders>
            <w:vAlign w:val="center"/>
          </w:tcPr>
          <w:p>
            <w:pPr>
              <w:rPr>
                <w:rFonts w:cs="仿宋_GB2312"/>
                <w:b/>
                <w:szCs w:val="21"/>
              </w:rPr>
            </w:pPr>
            <w:r>
              <w:rPr>
                <w:rFonts w:hint="eastAsia" w:cs="仿宋_GB2312"/>
                <w:b/>
                <w:szCs w:val="21"/>
              </w:rPr>
              <w:t>合计</w:t>
            </w:r>
          </w:p>
        </w:tc>
        <w:tc>
          <w:tcPr>
            <w:tcW w:w="1266" w:type="dxa"/>
            <w:tcBorders>
              <w:top w:val="single" w:color="auto" w:sz="4" w:space="0"/>
              <w:left w:val="single" w:color="auto" w:sz="4" w:space="0"/>
              <w:bottom w:val="single" w:color="auto" w:sz="4" w:space="0"/>
              <w:right w:val="single" w:color="auto" w:sz="4" w:space="0"/>
            </w:tcBorders>
            <w:vAlign w:val="center"/>
          </w:tcPr>
          <w:p>
            <w:pPr>
              <w:rPr>
                <w:rFonts w:cs="仿宋_GB2312"/>
                <w:szCs w:val="21"/>
              </w:rPr>
            </w:pPr>
            <w:r>
              <w:rPr>
                <w:rFonts w:hint="eastAsia" w:cs="仿宋_GB2312"/>
                <w:szCs w:val="21"/>
              </w:rPr>
              <w:t>1050</w:t>
            </w:r>
          </w:p>
        </w:tc>
        <w:tc>
          <w:tcPr>
            <w:tcW w:w="1266" w:type="dxa"/>
            <w:tcBorders>
              <w:top w:val="single" w:color="auto" w:sz="4" w:space="0"/>
              <w:left w:val="single" w:color="auto" w:sz="4" w:space="0"/>
              <w:bottom w:val="single" w:color="auto" w:sz="4" w:space="0"/>
              <w:right w:val="single" w:color="auto" w:sz="4" w:space="0"/>
            </w:tcBorders>
            <w:vAlign w:val="center"/>
          </w:tcPr>
          <w:p>
            <w:pPr>
              <w:rPr>
                <w:rFonts w:cs="仿宋_GB2312"/>
                <w:szCs w:val="21"/>
              </w:rPr>
            </w:pPr>
            <w:r>
              <w:rPr>
                <w:rFonts w:hint="eastAsia" w:cs="仿宋_GB2312"/>
                <w:szCs w:val="21"/>
              </w:rPr>
              <w:t>92.48%</w:t>
            </w:r>
          </w:p>
        </w:tc>
        <w:tc>
          <w:tcPr>
            <w:tcW w:w="1266" w:type="dxa"/>
            <w:tcBorders>
              <w:top w:val="single" w:color="auto" w:sz="4" w:space="0"/>
              <w:left w:val="single" w:color="auto" w:sz="4" w:space="0"/>
              <w:bottom w:val="single" w:color="auto" w:sz="4" w:space="0"/>
              <w:right w:val="single" w:color="auto" w:sz="4" w:space="0"/>
            </w:tcBorders>
            <w:vAlign w:val="center"/>
          </w:tcPr>
          <w:p>
            <w:pPr>
              <w:rPr>
                <w:rFonts w:cs="仿宋_GB2312"/>
                <w:szCs w:val="21"/>
              </w:rPr>
            </w:pPr>
            <w:r>
              <w:rPr>
                <w:rFonts w:hint="eastAsia" w:cs="仿宋_GB2312"/>
                <w:szCs w:val="21"/>
              </w:rPr>
              <w:t>88.48%</w:t>
            </w:r>
          </w:p>
        </w:tc>
        <w:tc>
          <w:tcPr>
            <w:tcW w:w="1266" w:type="dxa"/>
            <w:tcBorders>
              <w:top w:val="single" w:color="auto" w:sz="4" w:space="0"/>
              <w:left w:val="single" w:color="auto" w:sz="4" w:space="0"/>
              <w:bottom w:val="single" w:color="auto" w:sz="4" w:space="0"/>
              <w:right w:val="single" w:color="auto" w:sz="4" w:space="0"/>
            </w:tcBorders>
            <w:vAlign w:val="center"/>
          </w:tcPr>
          <w:p>
            <w:pPr>
              <w:rPr>
                <w:rFonts w:cs="仿宋_GB2312"/>
                <w:szCs w:val="21"/>
              </w:rPr>
            </w:pPr>
          </w:p>
        </w:tc>
        <w:tc>
          <w:tcPr>
            <w:tcW w:w="1266" w:type="dxa"/>
            <w:tcBorders>
              <w:top w:val="single" w:color="auto" w:sz="4" w:space="0"/>
              <w:left w:val="single" w:color="auto" w:sz="4" w:space="0"/>
              <w:bottom w:val="single" w:color="auto" w:sz="4" w:space="0"/>
              <w:right w:val="single" w:color="auto" w:sz="4" w:space="0"/>
            </w:tcBorders>
            <w:vAlign w:val="center"/>
          </w:tcPr>
          <w:p>
            <w:pPr>
              <w:rPr>
                <w:rFonts w:cs="仿宋_GB2312"/>
                <w:szCs w:val="21"/>
              </w:rPr>
            </w:pPr>
            <w:r>
              <w:rPr>
                <w:rFonts w:hint="eastAsia" w:cs="仿宋_GB2312"/>
                <w:szCs w:val="21"/>
              </w:rPr>
              <w:t>907</w:t>
            </w:r>
          </w:p>
        </w:tc>
      </w:tr>
    </w:tbl>
    <w:p>
      <w:pPr>
        <w:ind w:firstLine="560" w:firstLineChars="200"/>
        <w:jc w:val="left"/>
        <w:rPr>
          <w:sz w:val="28"/>
          <w:szCs w:val="28"/>
        </w:rPr>
      </w:pPr>
      <w:r>
        <w:rPr>
          <w:rFonts w:hint="eastAsia"/>
          <w:sz w:val="28"/>
          <w:szCs w:val="28"/>
        </w:rPr>
        <w:t>通过表中数据以及两个表格的对比可以看出：毕业生人数和2020年基本持平，但略有增加。专业数量维持不变，4个专业稳定发展，毕业去向落实率较2020年略有增加，对口率持续上升。升学人数、比例和2020年基本持平，学生对学历的提升需求加大。毕业生初次就业起薪有所增加，较上年增加100元左右。</w:t>
      </w:r>
    </w:p>
    <w:p>
      <w:pPr>
        <w:pStyle w:val="3"/>
        <w:spacing w:before="156" w:after="156"/>
        <w:ind w:firstLine="562"/>
      </w:pPr>
      <w:bookmarkStart w:id="59" w:name="_Toc88032473"/>
      <w:r>
        <w:rPr>
          <w:rFonts w:hint="eastAsia"/>
        </w:rPr>
        <w:t>2.5 职业发展</w:t>
      </w:r>
      <w:bookmarkEnd w:id="55"/>
      <w:bookmarkEnd w:id="56"/>
      <w:bookmarkEnd w:id="57"/>
      <w:bookmarkEnd w:id="58"/>
      <w:bookmarkEnd w:id="59"/>
    </w:p>
    <w:p>
      <w:pPr>
        <w:pStyle w:val="5"/>
        <w:ind w:firstLine="560"/>
      </w:pPr>
      <w:bookmarkStart w:id="60" w:name="_Toc13703"/>
      <w:bookmarkStart w:id="61" w:name="_Toc15173_WPSOffice_Level1"/>
      <w:bookmarkStart w:id="62" w:name="_Toc8014"/>
      <w:bookmarkStart w:id="63" w:name="_Toc10641"/>
      <w:bookmarkStart w:id="64" w:name="_Toc469648168"/>
      <w:r>
        <w:rPr>
          <w:rFonts w:hint="eastAsia"/>
        </w:rPr>
        <w:t>近年来，学校非常重视职业道德、职业技能、就业创业能力的培养，以此推动学生的职业发展。一是校内体验，激发学生的成就感。通过开展文体活动、文明风采大赛、职业技能大赛等活动锻炼技能，展示自我。二是</w:t>
      </w:r>
      <w:r>
        <w:t>加强专业教育。</w:t>
      </w:r>
      <w:r>
        <w:rPr>
          <w:rFonts w:hint="eastAsia"/>
        </w:rPr>
        <w:t>通过专业概况介绍让学生了解所学专业的培养目标、学习内容、就业领域和发展方向、职业的发展前景等，培养学生的职业兴趣，为学生职业生涯发展打下基础。三是加强心理疏导，做好心理健康教育。学校建立了心理咨询室，开设了心理健康课、礼仪教育课，加强了学生心理、生理健康教育，塑造了学生良好品质。四是做好职业生涯规划。举办职业生涯规划大赛，邀请专家举办就业指导培训会，帮助学生树立正确的就业观、择业观。</w:t>
      </w:r>
    </w:p>
    <w:p>
      <w:pPr>
        <w:pStyle w:val="5"/>
        <w:ind w:firstLine="560"/>
        <w:jc w:val="center"/>
      </w:pPr>
      <w:r>
        <w:rPr>
          <w:rFonts w:hint="eastAsia"/>
        </w:rPr>
        <w:br w:type="page"/>
      </w:r>
      <w:bookmarkStart w:id="65" w:name="_Toc88032474"/>
      <w:r>
        <w:rPr>
          <w:rStyle w:val="31"/>
        </w:rPr>
        <w:t>3</w:t>
      </w:r>
      <w:r>
        <w:rPr>
          <w:rStyle w:val="31"/>
          <w:rFonts w:hint="eastAsia"/>
        </w:rPr>
        <w:t xml:space="preserve"> 质量保障措施</w:t>
      </w:r>
      <w:bookmarkEnd w:id="60"/>
      <w:bookmarkEnd w:id="61"/>
      <w:bookmarkEnd w:id="62"/>
      <w:bookmarkEnd w:id="63"/>
      <w:bookmarkEnd w:id="65"/>
    </w:p>
    <w:p>
      <w:pPr>
        <w:pStyle w:val="3"/>
        <w:spacing w:before="156" w:after="156"/>
        <w:ind w:firstLine="562"/>
      </w:pPr>
      <w:bookmarkStart w:id="66" w:name="_Toc28045"/>
      <w:bookmarkStart w:id="67" w:name="_Toc88032475"/>
      <w:bookmarkStart w:id="68" w:name="_Toc26218_WPSOffice_Level1"/>
      <w:bookmarkStart w:id="69" w:name="_Toc25421"/>
      <w:bookmarkStart w:id="70" w:name="_Toc21098"/>
      <w:r>
        <w:t xml:space="preserve">3.1 </w:t>
      </w:r>
      <w:r>
        <w:rPr>
          <w:rFonts w:hint="eastAsia"/>
        </w:rPr>
        <w:t>专业动态调整</w:t>
      </w:r>
      <w:bookmarkEnd w:id="66"/>
      <w:bookmarkEnd w:id="67"/>
      <w:bookmarkEnd w:id="68"/>
      <w:bookmarkEnd w:id="69"/>
      <w:bookmarkEnd w:id="70"/>
    </w:p>
    <w:p>
      <w:pPr>
        <w:pStyle w:val="5"/>
        <w:spacing w:beforeLines="30" w:afterLines="30"/>
        <w:ind w:firstLine="562"/>
      </w:pPr>
      <w:r>
        <w:rPr>
          <w:b/>
        </w:rPr>
        <w:t xml:space="preserve">3.1.1 </w:t>
      </w:r>
      <w:r>
        <w:rPr>
          <w:rFonts w:hint="eastAsia"/>
          <w:b/>
        </w:rPr>
        <w:t>专业结构调整</w:t>
      </w:r>
    </w:p>
    <w:p>
      <w:pPr>
        <w:adjustRightInd w:val="0"/>
        <w:snapToGrid w:val="0"/>
        <w:ind w:firstLine="560" w:firstLineChars="200"/>
        <w:jc w:val="left"/>
      </w:pPr>
      <w:r>
        <w:rPr>
          <w:rFonts w:hint="eastAsia"/>
          <w:sz w:val="28"/>
          <w:szCs w:val="28"/>
        </w:rPr>
        <w:t>根据学校服务产业面向，服务地方社会经济发展的要求，我校牢固树立专业立校、专业强校思想，确立了以专业建设为引领，注重质量建设和品牌发展，以地方特色专业为依托，打造特色专业的专业建设方向，形成了以服务医疗卫生事业和健康服务业为主线，立足学校优势专业和特色专业，学校对专业作了较大调整，保留护理、药剂、</w:t>
      </w:r>
      <w:r>
        <w:rPr>
          <w:sz w:val="28"/>
          <w:szCs w:val="28"/>
        </w:rPr>
        <w:t>中医养生保健、中医康复技术</w:t>
      </w:r>
      <w:r>
        <w:rPr>
          <w:rFonts w:hint="eastAsia"/>
          <w:sz w:val="28"/>
          <w:szCs w:val="28"/>
        </w:rPr>
        <w:t>等几个</w:t>
      </w:r>
      <w:r>
        <w:rPr>
          <w:sz w:val="28"/>
          <w:szCs w:val="28"/>
        </w:rPr>
        <w:t>特色和优势</w:t>
      </w:r>
      <w:r>
        <w:rPr>
          <w:rFonts w:hint="eastAsia"/>
          <w:sz w:val="28"/>
          <w:szCs w:val="28"/>
        </w:rPr>
        <w:t>专业</w:t>
      </w:r>
      <w:r>
        <w:rPr>
          <w:sz w:val="28"/>
          <w:szCs w:val="28"/>
        </w:rPr>
        <w:t>，2021年新增运动训练专业，计划招生100人</w:t>
      </w:r>
      <w:r>
        <w:rPr>
          <w:rFonts w:hint="eastAsia"/>
          <w:sz w:val="28"/>
          <w:szCs w:val="28"/>
        </w:rPr>
        <w:t>。</w:t>
      </w:r>
    </w:p>
    <w:p>
      <w:pPr>
        <w:pStyle w:val="5"/>
        <w:spacing w:beforeLines="30" w:afterLines="30"/>
        <w:ind w:firstLine="562"/>
        <w:rPr>
          <w:b/>
        </w:rPr>
      </w:pPr>
      <w:r>
        <w:rPr>
          <w:b/>
        </w:rPr>
        <w:t xml:space="preserve">3.1.2 </w:t>
      </w:r>
      <w:r>
        <w:rPr>
          <w:rFonts w:hint="eastAsia"/>
          <w:b/>
        </w:rPr>
        <w:t>人才培养方案调整</w:t>
      </w:r>
    </w:p>
    <w:p>
      <w:pPr>
        <w:pStyle w:val="5"/>
        <w:ind w:firstLine="560"/>
        <w:rPr>
          <w:szCs w:val="30"/>
          <w:shd w:val="clear" w:color="auto" w:fill="FFFFFF"/>
        </w:rPr>
      </w:pPr>
      <w:bookmarkStart w:id="71" w:name="_Toc22937"/>
      <w:bookmarkStart w:id="72" w:name="_Toc12751_WPSOffice_Level1"/>
      <w:bookmarkStart w:id="73" w:name="_Toc32237"/>
      <w:bookmarkStart w:id="74" w:name="_Toc13285"/>
      <w:r>
        <w:rPr>
          <w:rFonts w:hint="eastAsia"/>
          <w:szCs w:val="30"/>
          <w:shd w:val="clear" w:color="auto" w:fill="FFFFFF"/>
        </w:rPr>
        <w:t>按照教育部《大中小学国家安全教育指导纲要》（教材【</w:t>
      </w:r>
      <w:r>
        <w:rPr>
          <w:szCs w:val="30"/>
          <w:shd w:val="clear" w:color="auto" w:fill="FFFFFF"/>
        </w:rPr>
        <w:t>2020】5号）和中共河南省委高校、河南省教育厅“教思政【2021】9号”通知精神，我校各专业对人才培养方案（2019修订版）适度调整，从2021秋期开设《国家安全教育》课程。</w:t>
      </w:r>
    </w:p>
    <w:p>
      <w:pPr>
        <w:pStyle w:val="5"/>
        <w:ind w:firstLine="560"/>
        <w:rPr>
          <w:szCs w:val="30"/>
          <w:shd w:val="clear" w:color="auto" w:fill="FFFFFF"/>
        </w:rPr>
      </w:pPr>
      <w:r>
        <w:rPr>
          <w:rFonts w:hint="eastAsia"/>
          <w:szCs w:val="30"/>
          <w:shd w:val="clear" w:color="auto" w:fill="FFFFFF"/>
        </w:rPr>
        <w:t>国家安全教育课程作为公共必修课，开设在第</w:t>
      </w:r>
      <w:r>
        <w:rPr>
          <w:szCs w:val="30"/>
          <w:shd w:val="clear" w:color="auto" w:fill="FFFFFF"/>
        </w:rPr>
        <w:t>1学期，18学时，1学分。国家安全教育课程作为公共基础课，开设在第1学期，32学时，2学分。修订后的人才培养方案自2020-2021学年第2学期开始实施。</w:t>
      </w:r>
    </w:p>
    <w:p>
      <w:pPr>
        <w:pStyle w:val="5"/>
        <w:ind w:firstLine="560"/>
        <w:rPr>
          <w:szCs w:val="30"/>
          <w:shd w:val="clear" w:color="auto" w:fill="FFFFFF"/>
        </w:rPr>
      </w:pPr>
      <w:r>
        <w:rPr>
          <w:rFonts w:hint="eastAsia"/>
          <w:szCs w:val="30"/>
          <w:shd w:val="clear" w:color="auto" w:fill="FFFFFF"/>
        </w:rPr>
        <w:t>通过国家安全教育，使学生能够深入理解和准确把握总体国家安全观，牢固树立国家利益至上的观念，增强自觉维护国家安全意识，具备维护国家安全的能力。</w:t>
      </w:r>
    </w:p>
    <w:p>
      <w:pPr>
        <w:pStyle w:val="5"/>
        <w:ind w:firstLine="560"/>
        <w:rPr>
          <w:szCs w:val="30"/>
          <w:shd w:val="clear" w:color="auto" w:fill="FFFFFF"/>
        </w:rPr>
      </w:pPr>
      <w:r>
        <w:rPr>
          <w:rFonts w:hint="eastAsia"/>
          <w:szCs w:val="30"/>
          <w:shd w:val="clear" w:color="auto" w:fill="FFFFFF"/>
        </w:rPr>
        <w:t>重点围绕理解中华民族命运与国家关系，践行总体国家安全观。学生系统掌握总体国家安全观的内涵和精神实质，理解中国特色国家安全体系，树立国家安全底线思维，将国家安全意识转化为自觉行动，强化责任担当。</w:t>
      </w:r>
    </w:p>
    <w:p>
      <w:pPr>
        <w:pStyle w:val="3"/>
        <w:spacing w:before="156" w:after="156"/>
        <w:ind w:firstLine="562"/>
      </w:pPr>
      <w:bookmarkStart w:id="75" w:name="_Toc88032476"/>
      <w:r>
        <w:t xml:space="preserve">3.2 </w:t>
      </w:r>
      <w:r>
        <w:rPr>
          <w:rFonts w:hint="eastAsia"/>
        </w:rPr>
        <w:t>教育教学改革</w:t>
      </w:r>
      <w:bookmarkEnd w:id="71"/>
      <w:bookmarkEnd w:id="72"/>
      <w:bookmarkEnd w:id="73"/>
      <w:bookmarkEnd w:id="74"/>
      <w:bookmarkEnd w:id="75"/>
      <w:r>
        <w:t xml:space="preserve"> </w:t>
      </w:r>
    </w:p>
    <w:p>
      <w:pPr>
        <w:pStyle w:val="5"/>
        <w:spacing w:beforeLines="30" w:afterLines="30"/>
        <w:ind w:firstLine="562"/>
        <w:rPr>
          <w:b/>
        </w:rPr>
      </w:pPr>
      <w:r>
        <w:rPr>
          <w:b/>
        </w:rPr>
        <w:t xml:space="preserve">3.2.1 </w:t>
      </w:r>
      <w:r>
        <w:rPr>
          <w:rFonts w:hint="eastAsia"/>
          <w:b/>
        </w:rPr>
        <w:t>公共基础课情况</w:t>
      </w:r>
    </w:p>
    <w:p>
      <w:pPr>
        <w:adjustRightInd w:val="0"/>
        <w:snapToGrid w:val="0"/>
        <w:ind w:firstLine="560" w:firstLineChars="200"/>
        <w:jc w:val="left"/>
      </w:pPr>
      <w:r>
        <w:rPr>
          <w:rFonts w:hint="eastAsia"/>
          <w:sz w:val="28"/>
          <w:szCs w:val="28"/>
        </w:rPr>
        <w:t>开设有职业生涯规划、职业道德法律、经济政治与社会、哲学与人生、语文应用基础、数学基础、英语、计算机应用基础、体育与健康、医用化学基础等。</w:t>
      </w:r>
    </w:p>
    <w:p>
      <w:pPr>
        <w:pStyle w:val="5"/>
        <w:spacing w:beforeLines="30" w:afterLines="30"/>
        <w:ind w:firstLine="562"/>
        <w:rPr>
          <w:b/>
        </w:rPr>
      </w:pPr>
      <w:r>
        <w:rPr>
          <w:b/>
        </w:rPr>
        <w:t xml:space="preserve">3.2.2 </w:t>
      </w:r>
      <w:r>
        <w:rPr>
          <w:rFonts w:hint="eastAsia"/>
          <w:b/>
        </w:rPr>
        <w:t>专业及课程设置</w:t>
      </w:r>
    </w:p>
    <w:p>
      <w:pPr>
        <w:pStyle w:val="5"/>
        <w:ind w:firstLine="560"/>
      </w:pPr>
      <w:r>
        <w:rPr>
          <w:rFonts w:hint="eastAsia"/>
        </w:rPr>
        <w:t>学校目前</w:t>
      </w:r>
      <w:r>
        <w:t>只保留了</w:t>
      </w:r>
      <w:r>
        <w:rPr>
          <w:rFonts w:hint="eastAsia"/>
        </w:rPr>
        <w:t>护理、药剂、中医养生保健、中医康复技术4个专业。20</w:t>
      </w:r>
      <w:r>
        <w:t>20</w:t>
      </w:r>
      <w:r>
        <w:rPr>
          <w:rFonts w:hint="eastAsia"/>
        </w:rPr>
        <w:t>-202</w:t>
      </w:r>
      <w:r>
        <w:t>1</w:t>
      </w:r>
      <w:r>
        <w:rPr>
          <w:rFonts w:hint="eastAsia"/>
        </w:rPr>
        <w:t>学年，学校共开设课程63门，其中，“纯理论课”（A 类）课程数17门、“理论＋实践课”（B类）课程数46门。</w:t>
      </w:r>
    </w:p>
    <w:p>
      <w:pPr>
        <w:pStyle w:val="5"/>
        <w:spacing w:beforeLines="30" w:afterLines="30"/>
        <w:ind w:firstLine="562"/>
        <w:rPr>
          <w:b/>
        </w:rPr>
      </w:pPr>
      <w:r>
        <w:rPr>
          <w:b/>
        </w:rPr>
        <w:t xml:space="preserve">3.2.3 </w:t>
      </w:r>
      <w:r>
        <w:rPr>
          <w:rFonts w:hint="eastAsia"/>
          <w:b/>
        </w:rPr>
        <w:t>师资队伍</w:t>
      </w:r>
    </w:p>
    <w:p>
      <w:pPr>
        <w:ind w:firstLine="560" w:firstLineChars="200"/>
        <w:jc w:val="left"/>
        <w:rPr>
          <w:rFonts w:cs="仿宋"/>
          <w:kern w:val="0"/>
          <w:sz w:val="28"/>
          <w:szCs w:val="28"/>
        </w:rPr>
      </w:pPr>
      <w:r>
        <w:rPr>
          <w:rFonts w:hint="eastAsia" w:cs="仿宋"/>
          <w:kern w:val="0"/>
          <w:sz w:val="28"/>
          <w:szCs w:val="28"/>
        </w:rPr>
        <w:t>高水平的教师队伍是培养高素质人才的保障。学校始终把师资队伍建设作为学校教育事业的基础性、关键性和战略性工作来抓。坚持引进、培养与使用并重、重点培养骨干教师与全面提高教师素质并重、校外培养与校内培养相结合、提高学历学位与进修培训锻炼相结合的原则，大力实施人才兴校战略，学校师资队伍的职称、年龄、学历、学缘结构日趋合理。</w:t>
      </w:r>
    </w:p>
    <w:p>
      <w:pPr>
        <w:pStyle w:val="5"/>
        <w:spacing w:beforeLines="30" w:afterLines="30"/>
        <w:ind w:firstLine="562"/>
        <w:rPr>
          <w:b/>
        </w:rPr>
      </w:pPr>
      <w:r>
        <w:rPr>
          <w:b/>
        </w:rPr>
        <w:t xml:space="preserve">3.2.4 </w:t>
      </w:r>
      <w:r>
        <w:rPr>
          <w:rFonts w:hint="eastAsia"/>
          <w:b/>
        </w:rPr>
        <w:t>课程建设</w:t>
      </w:r>
    </w:p>
    <w:p>
      <w:pPr>
        <w:ind w:firstLine="560" w:firstLineChars="200"/>
        <w:jc w:val="left"/>
        <w:rPr>
          <w:rFonts w:cs="仿宋"/>
          <w:kern w:val="0"/>
          <w:sz w:val="28"/>
          <w:szCs w:val="28"/>
        </w:rPr>
      </w:pPr>
      <w:r>
        <w:rPr>
          <w:rFonts w:hint="eastAsia" w:cs="仿宋"/>
          <w:kern w:val="0"/>
          <w:sz w:val="28"/>
          <w:szCs w:val="28"/>
        </w:rPr>
        <w:t>学校与人民卫生出版社、中国中医药出版社、科学出版社、河南科学技术出版社、郑大出版社出版社等开展合作，编写“十</w:t>
      </w:r>
      <w:r>
        <w:rPr>
          <w:rFonts w:cs="仿宋"/>
          <w:kern w:val="0"/>
          <w:sz w:val="28"/>
          <w:szCs w:val="28"/>
        </w:rPr>
        <w:t>四</w:t>
      </w:r>
      <w:r>
        <w:rPr>
          <w:rFonts w:hint="eastAsia" w:cs="仿宋"/>
          <w:kern w:val="0"/>
          <w:sz w:val="28"/>
          <w:szCs w:val="28"/>
        </w:rPr>
        <w:t>五”规划教材。探索《中药传统技能》活页式工作手册式教材编写。规划建设《中药传统技能》《天然药物学》《药物化学》《药物分析》精品在线开放课程。</w:t>
      </w:r>
    </w:p>
    <w:p>
      <w:pPr>
        <w:ind w:firstLine="560" w:firstLineChars="200"/>
        <w:jc w:val="left"/>
        <w:rPr>
          <w:szCs w:val="30"/>
        </w:rPr>
      </w:pPr>
      <w:r>
        <w:rPr>
          <w:rFonts w:hint="eastAsia" w:cs="仿宋"/>
          <w:kern w:val="0"/>
          <w:sz w:val="28"/>
          <w:szCs w:val="28"/>
        </w:rPr>
        <w:t>学校</w:t>
      </w:r>
      <w:r>
        <w:rPr>
          <w:rFonts w:cs="仿宋"/>
          <w:kern w:val="0"/>
          <w:sz w:val="28"/>
          <w:szCs w:val="28"/>
        </w:rPr>
        <w:t>教师团队开发的活页式教材《医学计算机与信息素养》已由清华大学出版社出版。</w:t>
      </w:r>
      <w:r>
        <w:rPr>
          <w:rFonts w:hint="eastAsia" w:cs="仿宋"/>
          <w:kern w:val="0"/>
          <w:sz w:val="28"/>
          <w:szCs w:val="28"/>
        </w:rPr>
        <w:t>教学资源库初步建成了《中医基础理论》、《中医诊断学》、《中药学》、《中医内科学》、《中医外科学》五门课程，资源包括微课、动画、实训视频、案例视频、音频、题库等素材共计4255个，形成泛在化的可被重构的教学资源素材。已初步开放，供教师、学生在线使用，目前在线注册人数达6303人，点击量达132246人次。下一步学校将以省教育厅提质培优项目建设为依托，进一步完善、优化现有内容，增加《方剂学》《中医妇科学》、《伤寒论》、《金匮要略》等其他主干课程的资源建设。</w:t>
      </w:r>
    </w:p>
    <w:p>
      <w:pPr>
        <w:pStyle w:val="5"/>
        <w:spacing w:beforeLines="30" w:afterLines="30"/>
        <w:ind w:firstLine="562"/>
        <w:rPr>
          <w:b/>
        </w:rPr>
      </w:pPr>
      <w:r>
        <w:rPr>
          <w:b/>
        </w:rPr>
        <w:t xml:space="preserve">3.2.5 </w:t>
      </w:r>
      <w:r>
        <w:rPr>
          <w:rFonts w:hint="eastAsia"/>
          <w:b/>
        </w:rPr>
        <w:t>人才培养模式改革</w:t>
      </w:r>
    </w:p>
    <w:p>
      <w:pPr>
        <w:pStyle w:val="42"/>
        <w:ind w:firstLine="560"/>
        <w:rPr>
          <w:szCs w:val="28"/>
        </w:rPr>
      </w:pPr>
      <w:r>
        <w:rPr>
          <w:rFonts w:hint="eastAsia"/>
          <w:szCs w:val="28"/>
        </w:rPr>
        <w:t>学校坚持以就业为导向，联合行业专家共同修订人才培养方案，不断完善专业课程体系，积极探索人才培养新模式。</w:t>
      </w:r>
    </w:p>
    <w:p>
      <w:pPr>
        <w:ind w:firstLine="420" w:firstLineChars="150"/>
        <w:jc w:val="left"/>
        <w:rPr>
          <w:rFonts w:ascii="仿宋_GB2312" w:hAnsi="宋体"/>
          <w:sz w:val="28"/>
          <w:szCs w:val="28"/>
        </w:rPr>
      </w:pPr>
      <w:r>
        <w:rPr>
          <w:rFonts w:hint="eastAsia" w:ascii="仿宋_GB2312" w:hAnsi="宋体"/>
          <w:sz w:val="28"/>
          <w:szCs w:val="28"/>
        </w:rPr>
        <w:t>中医养生保健坚持“校院一体，医教协同”，调整专业建设委员会，增加医院行业专家比例， 定期召开专业建设委员会会议，由医院、学校和社会共同参与修定专业人才培养方案，按专业职业标准确定专业课程内容，实现课程内容与职业标准的对接，逐步建立校院共建、共管的运行机制，健全校院合作、医教结合的组织体系和管理机制，保障理论实践一体化教学正常进行，使其成为校院合作的纽带和</w:t>
      </w:r>
      <w:r>
        <w:rPr>
          <w:rFonts w:hint="eastAsia"/>
          <w:sz w:val="28"/>
          <w:szCs w:val="28"/>
        </w:rPr>
        <w:t>桥梁。增加医院兼职教师授课时数，鼓励专业课教师到医院参加临床实践，实现了80%以上专业教师参与临床医疗服务。依托中医学高水平专业群建设，优化人才培养模式，建立 “双主体、分段共育立体化”人才培养体系。“双主体”即以学校和医院（企业）为两个实施主体，并实行双向互动。“分段共育”是</w:t>
      </w:r>
      <w:r>
        <w:rPr>
          <w:rFonts w:hint="eastAsia" w:ascii="仿宋_GB2312" w:hAnsi="宋体"/>
          <w:sz w:val="28"/>
          <w:szCs w:val="28"/>
        </w:rPr>
        <w:t>将专业人才培养期分为一、二、三级段，一级段培养学生基本职业能力，二级段依托中医学专业资源库培养学生的专业核心职业能力，三级段培养学生综合职业能力，中医专业依托“仲景传承班”，读经典、用经典，着力提高中医临床能力，养生保健专业依托“中医养生保健生产性实训基地”、“艾草产业学院”等培养中医适宜技术。在人才培养过程中将执业医师、中医美容师、健康管理师等考试对接，使职业能力与职业标准有机结合。教学过程全面实行“导师制”教学，聘请企业的技术人员、能工巧匠与专业教师一起来指导学生进行职业综合能力训练，使职业专项能力得到升华并巩固形成职业的综合能力。</w:t>
      </w:r>
    </w:p>
    <w:p>
      <w:pPr>
        <w:pStyle w:val="42"/>
        <w:ind w:firstLine="560"/>
        <w:rPr>
          <w:szCs w:val="28"/>
        </w:rPr>
      </w:pPr>
      <w:r>
        <w:rPr>
          <w:rFonts w:hint="eastAsia"/>
          <w:szCs w:val="28"/>
        </w:rPr>
        <w:t>护理专业通过构建“三结合、三融入、双导师制”创新创业新模式，创新创业教育与专业技能相结合，融入学生职业发展；将创新创业与思想政治教育相结合，融入学生全面发展；将创新创业教育与互联网+相结合，融入时代发展，同时在“专业教师+辅导员思想导师”的“双导师”指导模式下，培养护理专业人才。</w:t>
      </w:r>
    </w:p>
    <w:p>
      <w:pPr>
        <w:ind w:firstLine="560" w:firstLineChars="200"/>
        <w:jc w:val="left"/>
        <w:rPr>
          <w:rFonts w:ascii="仿宋_GB2312" w:hAnsi="宋体"/>
          <w:sz w:val="28"/>
          <w:szCs w:val="28"/>
        </w:rPr>
      </w:pPr>
      <w:r>
        <w:rPr>
          <w:rFonts w:hint="eastAsia" w:ascii="仿宋_GB2312" w:hAnsi="宋体"/>
          <w:sz w:val="28"/>
          <w:szCs w:val="28"/>
        </w:rPr>
        <w:t>中医康复技术专业坚持走产学结合的发展道路，注重基础，突出应用，以南阳医专中医针灸新疗法研究所和南阳医专二附院针灸研究所为教学临床研究基地，建立起了医教结合的办学模式。积极推进与南石医院、安阳滑县骨科医院、周口楚氏骨科医院等开展校企合作，探索建立“工学交替 三合一体”模式下的专业人才培养体系。针灸推拿实训基地是河南省高等职业教育示范性实训基地建设项目。该专业在国内外具有显著特色和明显优势，依托我校已故名师李世珍的“李氏针灸”安排教学，实现了传统技法和现代医学知识的有机融合。该专业承担着留学生培养任务，李氏针灸已名扬海外。在教学过程中，重视教师素质和能力的培养，不断提高教师的双语教学能力，大力推进教学方法和手段改革，制作相关示教设施，营造形象逼真的教学环境，突出双证教育，提升学生技能，致力于培养具有良好的职业道德、敬业精神、较强专业素质的应用型中医康复技术专门人才。</w:t>
      </w:r>
    </w:p>
    <w:p>
      <w:pPr>
        <w:pStyle w:val="42"/>
        <w:ind w:firstLine="560"/>
        <w:rPr>
          <w:szCs w:val="28"/>
        </w:rPr>
      </w:pPr>
      <w:r>
        <w:rPr>
          <w:rFonts w:hint="eastAsia"/>
          <w:szCs w:val="28"/>
        </w:rPr>
        <w:t>药剂专业自开办以来，坚持走校企一体、工学结合、订单培养之路，依托南阳丰富的中医药资源、学校实验实训基地及合作企业的优势，突出实践教学，为药品生产、经营单位培养</w:t>
      </w:r>
      <w:r>
        <w:rPr>
          <w:szCs w:val="28"/>
        </w:rPr>
        <w:t xml:space="preserve"> “下得去、用得上、留得住”的高素质技能型中药人才。该专业把课堂教学水平的提升，作为基层教学组织的核心任务来建设。通过优秀教师示范、一对一传帮带、岗前培训、课堂听评、随堂学习、教学经验研讨交流、校内求教、校外培训、老教师敬业精神传承等活动，提升教师教学技能，保障教学质量。充分发挥仲景故里的独特优势，主动适应市场需求，学生一入校根据教学专业设置的教学内容</w:t>
      </w:r>
      <w:r>
        <w:rPr>
          <w:rFonts w:hint="eastAsia"/>
          <w:szCs w:val="28"/>
        </w:rPr>
        <w:t>就安排在药企见习或顶岗实习，确保了工学结合零距离；教师到企业兼职、医院挂职，企业或专家到学校授课；学生面向企业需求订单培养，实现学生理论学习与就业岗位的无缝对接。</w:t>
      </w:r>
    </w:p>
    <w:p>
      <w:pPr>
        <w:pStyle w:val="5"/>
        <w:spacing w:beforeLines="30" w:afterLines="30"/>
        <w:ind w:firstLine="562"/>
        <w:rPr>
          <w:b/>
        </w:rPr>
      </w:pPr>
      <w:r>
        <w:rPr>
          <w:b/>
        </w:rPr>
        <w:t xml:space="preserve">3.2.6 </w:t>
      </w:r>
      <w:r>
        <w:rPr>
          <w:rFonts w:hint="eastAsia"/>
          <w:b/>
        </w:rPr>
        <w:t>信息化教学</w:t>
      </w:r>
    </w:p>
    <w:p>
      <w:pPr>
        <w:ind w:firstLine="551" w:firstLineChars="196"/>
        <w:jc w:val="left"/>
        <w:rPr>
          <w:b/>
          <w:sz w:val="28"/>
          <w:szCs w:val="28"/>
        </w:rPr>
      </w:pPr>
      <w:r>
        <w:rPr>
          <w:rFonts w:hint="eastAsia"/>
          <w:b/>
          <w:sz w:val="28"/>
          <w:szCs w:val="28"/>
        </w:rPr>
        <w:t>（</w:t>
      </w:r>
      <w:r>
        <w:rPr>
          <w:b/>
          <w:sz w:val="28"/>
          <w:szCs w:val="28"/>
        </w:rPr>
        <w:t>1</w:t>
      </w:r>
      <w:r>
        <w:rPr>
          <w:rFonts w:hint="eastAsia"/>
          <w:b/>
          <w:sz w:val="28"/>
          <w:szCs w:val="28"/>
        </w:rPr>
        <w:t>）建立引领信息化教学新举措</w:t>
      </w:r>
    </w:p>
    <w:p>
      <w:pPr>
        <w:ind w:firstLine="560" w:firstLineChars="200"/>
        <w:jc w:val="left"/>
        <w:rPr>
          <w:sz w:val="28"/>
          <w:szCs w:val="28"/>
        </w:rPr>
      </w:pPr>
      <w:r>
        <w:rPr>
          <w:rFonts w:hint="eastAsia"/>
          <w:sz w:val="28"/>
          <w:szCs w:val="28"/>
        </w:rPr>
        <w:t>学校重视信息化教学工作，在新一轮的人才培养方案修订和课程标准制订，加大了信息化教学所占的比例，有力促进我校信息化建设的步伐；对教师教学质量评价体系和专业科教学工作考评体系进行了修订，专门设置“运用信息化教学手段”一项；积极开展“混合式教学”培训和竞赛活动，引导和鼓励广大教师在课堂教学中应用信息手段，收到了良好的效果。</w:t>
      </w:r>
    </w:p>
    <w:p>
      <w:pPr>
        <w:ind w:firstLine="551" w:firstLineChars="196"/>
        <w:jc w:val="left"/>
        <w:rPr>
          <w:b/>
          <w:sz w:val="28"/>
          <w:szCs w:val="28"/>
        </w:rPr>
      </w:pPr>
      <w:r>
        <w:rPr>
          <w:rFonts w:hint="eastAsia"/>
          <w:b/>
          <w:sz w:val="28"/>
          <w:szCs w:val="28"/>
        </w:rPr>
        <w:t>（</w:t>
      </w:r>
      <w:r>
        <w:rPr>
          <w:b/>
          <w:sz w:val="28"/>
          <w:szCs w:val="28"/>
        </w:rPr>
        <w:t>2</w:t>
      </w:r>
      <w:r>
        <w:rPr>
          <w:rFonts w:hint="eastAsia"/>
          <w:b/>
          <w:sz w:val="28"/>
          <w:szCs w:val="28"/>
        </w:rPr>
        <w:t>）着力提高教师信息化教学素养</w:t>
      </w:r>
    </w:p>
    <w:p>
      <w:pPr>
        <w:ind w:firstLine="560" w:firstLineChars="200"/>
        <w:jc w:val="left"/>
        <w:rPr>
          <w:sz w:val="28"/>
          <w:szCs w:val="28"/>
        </w:rPr>
      </w:pPr>
      <w:r>
        <w:rPr>
          <w:rFonts w:hint="eastAsia"/>
          <w:sz w:val="28"/>
          <w:szCs w:val="28"/>
        </w:rPr>
        <w:t>近几年来，学校一直注重培养教师的信息化教学应用能力，通过举办了课件、微课、慕课、线上线下“混合式”教学及立体化数字资源库建设等方面的培训和竞赛，同时开展公开课、观摩课、示范课等多形式，组织教师对信息化环境下的教学模式与教学策略的选择、教学设计、教学资源的集成与整合等方面进行研讨。组织参加教育厅第二十五届教育教学信息化交流的20项作品， 10个作品获奖，其中一等奖1项、二等奖5项、三等奖4项。10人参加省卫健委优质课比赛，荣获一等奖3项，二等奖3项，三等奖4个。</w:t>
      </w:r>
    </w:p>
    <w:p>
      <w:pPr>
        <w:ind w:firstLine="551" w:firstLineChars="196"/>
        <w:jc w:val="left"/>
        <w:rPr>
          <w:b/>
          <w:sz w:val="28"/>
          <w:szCs w:val="28"/>
        </w:rPr>
      </w:pPr>
      <w:r>
        <w:rPr>
          <w:rFonts w:hint="eastAsia"/>
          <w:b/>
          <w:sz w:val="28"/>
          <w:szCs w:val="28"/>
        </w:rPr>
        <w:t>（</w:t>
      </w:r>
      <w:r>
        <w:rPr>
          <w:b/>
          <w:sz w:val="28"/>
          <w:szCs w:val="28"/>
        </w:rPr>
        <w:t>3</w:t>
      </w:r>
      <w:r>
        <w:rPr>
          <w:rFonts w:hint="eastAsia"/>
          <w:b/>
          <w:sz w:val="28"/>
          <w:szCs w:val="28"/>
        </w:rPr>
        <w:t>）交互式移动课堂建设</w:t>
      </w:r>
    </w:p>
    <w:p>
      <w:pPr>
        <w:ind w:firstLine="560" w:firstLineChars="200"/>
        <w:jc w:val="left"/>
        <w:rPr>
          <w:sz w:val="28"/>
          <w:szCs w:val="28"/>
        </w:rPr>
      </w:pPr>
      <w:r>
        <w:rPr>
          <w:rFonts w:hint="eastAsia"/>
          <w:sz w:val="28"/>
          <w:szCs w:val="28"/>
        </w:rPr>
        <w:t>与超星公司合作，结合教学需要建设交互式移动课堂。不仅可以大大丰富课堂教学内容，提高课堂教学效果，而且还可缓解手机课堂管理的难题。一经推广，便得到广大教师的肯定，多数教师已经能熟练运用“学习通”软件实现上课签到、随堂提问、即时测试等，并能实现与学生资源共享，初步达到翻转课堂的目标。2020年，学校实现了运用移动互联网平台开展了“期中抽考”和部分专业的“期末考试”，利用信息技术服务教学能力大大提高。。</w:t>
      </w:r>
    </w:p>
    <w:p>
      <w:pPr>
        <w:ind w:firstLine="551" w:firstLineChars="196"/>
        <w:jc w:val="left"/>
        <w:rPr>
          <w:b/>
          <w:sz w:val="28"/>
          <w:szCs w:val="28"/>
        </w:rPr>
      </w:pPr>
      <w:r>
        <w:rPr>
          <w:rFonts w:hint="eastAsia"/>
          <w:b/>
          <w:sz w:val="28"/>
          <w:szCs w:val="28"/>
        </w:rPr>
        <w:t>（</w:t>
      </w:r>
      <w:r>
        <w:rPr>
          <w:b/>
          <w:sz w:val="28"/>
          <w:szCs w:val="28"/>
        </w:rPr>
        <w:t>4</w:t>
      </w:r>
      <w:r>
        <w:rPr>
          <w:rFonts w:hint="eastAsia"/>
          <w:b/>
          <w:sz w:val="28"/>
          <w:szCs w:val="28"/>
        </w:rPr>
        <w:t>）虚拟仿真实验（训）教学</w:t>
      </w:r>
    </w:p>
    <w:p>
      <w:pPr>
        <w:ind w:firstLine="560" w:firstLineChars="200"/>
        <w:jc w:val="left"/>
        <w:rPr>
          <w:sz w:val="28"/>
          <w:szCs w:val="28"/>
        </w:rPr>
      </w:pPr>
      <w:r>
        <w:rPr>
          <w:rFonts w:hint="eastAsia"/>
          <w:sz w:val="28"/>
          <w:szCs w:val="28"/>
        </w:rPr>
        <w:t xml:space="preserve">虚拟仿真实验（训）教学是利用信息化的重要技术，如虚拟现实、多媒体、人机交互、数据库和网络通讯等，根据教学大纲的要求，构建高度仿真的虚拟实验环境和实验对象，学生可以在这个环境中开展实验实训，能有效提高学生的实践动手操作能力。我校护理虚拟实训基地建设项目荣获河南省创新行动计划建设项目、必将促进我校实践教学质量的进一步提高。 </w:t>
      </w:r>
    </w:p>
    <w:p>
      <w:pPr>
        <w:pStyle w:val="5"/>
        <w:spacing w:beforeLines="30" w:afterLines="30"/>
        <w:ind w:firstLine="562"/>
        <w:rPr>
          <w:b/>
        </w:rPr>
      </w:pPr>
      <w:r>
        <w:rPr>
          <w:b/>
        </w:rPr>
        <w:t xml:space="preserve">3.2.7 </w:t>
      </w:r>
      <w:r>
        <w:rPr>
          <w:rFonts w:hint="eastAsia"/>
          <w:b/>
        </w:rPr>
        <w:t>实训基地建设</w:t>
      </w:r>
    </w:p>
    <w:p>
      <w:pPr>
        <w:pStyle w:val="42"/>
        <w:ind w:firstLine="562"/>
        <w:rPr>
          <w:b/>
          <w:szCs w:val="28"/>
        </w:rPr>
      </w:pPr>
      <w:r>
        <w:rPr>
          <w:rFonts w:hint="eastAsia"/>
          <w:b/>
          <w:szCs w:val="28"/>
        </w:rPr>
        <w:t>（</w:t>
      </w:r>
      <w:r>
        <w:rPr>
          <w:b/>
          <w:szCs w:val="28"/>
        </w:rPr>
        <w:t>1</w:t>
      </w:r>
      <w:r>
        <w:rPr>
          <w:rFonts w:hint="eastAsia"/>
          <w:b/>
          <w:szCs w:val="28"/>
        </w:rPr>
        <w:t>）校内实践基地建设</w:t>
      </w:r>
    </w:p>
    <w:p>
      <w:pPr>
        <w:pStyle w:val="42"/>
        <w:ind w:firstLine="560"/>
        <w:rPr>
          <w:rFonts w:ascii="仿宋" w:hAnsi="仿宋"/>
          <w:szCs w:val="28"/>
        </w:rPr>
      </w:pPr>
      <w:r>
        <w:rPr>
          <w:rFonts w:hint="eastAsia" w:ascii="仿宋" w:hAnsi="仿宋"/>
          <w:szCs w:val="28"/>
        </w:rPr>
        <w:t>学校现有中医实训中心、药学实训中心、护理实训中心、医学技术实训中心、计算机实训中心等19个专业实训基地及人体解剖实验室、医学形态实验室、医学机能实验室等4个基础医学实验室。其中市级重点实验室5个。各类功能的教学实验实训室配备齐全。现有教学仪器设备总价值1496万元，生均教学仪器设备值4796元，生均实训实习工位数0.89，可以满足各专业的实验实训教学需要，全面提高了学生的实际动手操作能力，使学生初步掌握各专业基本操作和实践技能，为尽快适应未来的实际工作打下坚实基础。</w:t>
      </w:r>
    </w:p>
    <w:p>
      <w:pPr>
        <w:pStyle w:val="42"/>
        <w:ind w:firstLine="562"/>
        <w:rPr>
          <w:b/>
          <w:szCs w:val="28"/>
        </w:rPr>
      </w:pPr>
      <w:r>
        <w:rPr>
          <w:rFonts w:hint="eastAsia"/>
          <w:b/>
          <w:szCs w:val="28"/>
        </w:rPr>
        <w:t>（</w:t>
      </w:r>
      <w:r>
        <w:rPr>
          <w:b/>
          <w:szCs w:val="28"/>
        </w:rPr>
        <w:t>2</w:t>
      </w:r>
      <w:r>
        <w:rPr>
          <w:rFonts w:hint="eastAsia"/>
          <w:b/>
          <w:szCs w:val="28"/>
        </w:rPr>
        <w:t>）校外实践基地建设</w:t>
      </w:r>
    </w:p>
    <w:bookmarkEnd w:id="64"/>
    <w:p>
      <w:pPr>
        <w:ind w:firstLine="560" w:firstLineChars="200"/>
        <w:jc w:val="left"/>
        <w:rPr>
          <w:sz w:val="28"/>
          <w:szCs w:val="28"/>
        </w:rPr>
      </w:pPr>
      <w:r>
        <w:rPr>
          <w:rFonts w:hint="eastAsia"/>
          <w:sz w:val="28"/>
          <w:szCs w:val="28"/>
        </w:rPr>
        <w:t>学校加强与相关医疗企业的合作，积极拓展校外实训基地。学校建有32个校外实训基地，可接收实习人数近 1700余人，均为二级甲等以上医院，其中三甲医院 8所。</w:t>
      </w:r>
    </w:p>
    <w:p>
      <w:pPr>
        <w:pStyle w:val="44"/>
      </w:pPr>
      <w:r>
        <w:rPr>
          <w:rFonts w:hint="eastAsia"/>
        </w:rPr>
        <w:t>表3-1 南阳中医药学校校外实践基地一览表</w:t>
      </w:r>
    </w:p>
    <w:tbl>
      <w:tblPr>
        <w:tblStyle w:val="16"/>
        <w:tblW w:w="7993" w:type="dxa"/>
        <w:jc w:val="center"/>
        <w:tblInd w:w="0" w:type="dxa"/>
        <w:tblLayout w:type="fixed"/>
        <w:tblCellMar>
          <w:top w:w="0" w:type="dxa"/>
          <w:left w:w="108" w:type="dxa"/>
          <w:bottom w:w="0" w:type="dxa"/>
          <w:right w:w="108" w:type="dxa"/>
        </w:tblCellMar>
      </w:tblPr>
      <w:tblGrid>
        <w:gridCol w:w="736"/>
        <w:gridCol w:w="2369"/>
        <w:gridCol w:w="1559"/>
        <w:gridCol w:w="1276"/>
        <w:gridCol w:w="2053"/>
      </w:tblGrid>
      <w:tr>
        <w:tblPrEx>
          <w:tblLayout w:type="fixed"/>
          <w:tblCellMar>
            <w:top w:w="0" w:type="dxa"/>
            <w:left w:w="108" w:type="dxa"/>
            <w:bottom w:w="0" w:type="dxa"/>
            <w:right w:w="108" w:type="dxa"/>
          </w:tblCellMar>
        </w:tblPrEx>
        <w:trPr>
          <w:trHeight w:val="54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rPr>
                <w:rFonts w:cs="宋体"/>
                <w:b/>
                <w:kern w:val="0"/>
                <w:szCs w:val="21"/>
              </w:rPr>
            </w:pPr>
            <w:r>
              <w:rPr>
                <w:rFonts w:hint="eastAsia" w:cs="宋体"/>
                <w:b/>
                <w:kern w:val="0"/>
                <w:szCs w:val="21"/>
              </w:rPr>
              <w:t>序号</w:t>
            </w:r>
          </w:p>
        </w:tc>
        <w:tc>
          <w:tcPr>
            <w:tcW w:w="2369" w:type="dxa"/>
            <w:tcBorders>
              <w:top w:val="single" w:color="auto" w:sz="4" w:space="0"/>
              <w:left w:val="nil"/>
              <w:bottom w:val="single" w:color="auto" w:sz="4" w:space="0"/>
              <w:right w:val="single" w:color="auto" w:sz="4" w:space="0"/>
            </w:tcBorders>
            <w:vAlign w:val="center"/>
          </w:tcPr>
          <w:p>
            <w:pPr>
              <w:widowControl/>
              <w:rPr>
                <w:rFonts w:cs="宋体"/>
                <w:b/>
                <w:kern w:val="0"/>
                <w:szCs w:val="21"/>
              </w:rPr>
            </w:pPr>
            <w:r>
              <w:rPr>
                <w:rFonts w:hint="eastAsia" w:cs="宋体"/>
                <w:b/>
                <w:kern w:val="0"/>
                <w:szCs w:val="21"/>
              </w:rPr>
              <w:t>医院名称</w:t>
            </w:r>
          </w:p>
        </w:tc>
        <w:tc>
          <w:tcPr>
            <w:tcW w:w="1559" w:type="dxa"/>
            <w:tcBorders>
              <w:top w:val="single" w:color="auto" w:sz="4" w:space="0"/>
              <w:left w:val="nil"/>
              <w:bottom w:val="single" w:color="auto" w:sz="4" w:space="0"/>
              <w:right w:val="single" w:color="auto" w:sz="4" w:space="0"/>
            </w:tcBorders>
            <w:vAlign w:val="center"/>
          </w:tcPr>
          <w:p>
            <w:pPr>
              <w:widowControl/>
              <w:rPr>
                <w:rFonts w:cs="宋体"/>
                <w:b/>
                <w:kern w:val="0"/>
                <w:szCs w:val="21"/>
              </w:rPr>
            </w:pPr>
            <w:r>
              <w:rPr>
                <w:rFonts w:hint="eastAsia" w:cs="宋体"/>
                <w:b/>
                <w:kern w:val="0"/>
                <w:szCs w:val="21"/>
              </w:rPr>
              <w:t>等级</w:t>
            </w:r>
          </w:p>
        </w:tc>
        <w:tc>
          <w:tcPr>
            <w:tcW w:w="1276" w:type="dxa"/>
            <w:tcBorders>
              <w:top w:val="single" w:color="auto" w:sz="4" w:space="0"/>
              <w:left w:val="nil"/>
              <w:bottom w:val="single" w:color="auto" w:sz="4" w:space="0"/>
              <w:right w:val="single" w:color="auto" w:sz="4" w:space="0"/>
            </w:tcBorders>
            <w:vAlign w:val="center"/>
          </w:tcPr>
          <w:p>
            <w:pPr>
              <w:widowControl/>
              <w:rPr>
                <w:rFonts w:cs="宋体"/>
                <w:b/>
                <w:kern w:val="0"/>
                <w:szCs w:val="21"/>
              </w:rPr>
            </w:pPr>
            <w:r>
              <w:rPr>
                <w:rFonts w:hint="eastAsia" w:cs="宋体"/>
                <w:b/>
                <w:kern w:val="0"/>
                <w:szCs w:val="21"/>
              </w:rPr>
              <w:t>床位数</w:t>
            </w:r>
          </w:p>
        </w:tc>
        <w:tc>
          <w:tcPr>
            <w:tcW w:w="2053" w:type="dxa"/>
            <w:tcBorders>
              <w:top w:val="single" w:color="auto" w:sz="4" w:space="0"/>
              <w:left w:val="nil"/>
              <w:bottom w:val="single" w:color="auto" w:sz="4" w:space="0"/>
              <w:right w:val="single" w:color="auto" w:sz="4" w:space="0"/>
            </w:tcBorders>
            <w:vAlign w:val="center"/>
          </w:tcPr>
          <w:p>
            <w:pPr>
              <w:widowControl/>
              <w:rPr>
                <w:rFonts w:cs="宋体"/>
                <w:b/>
                <w:kern w:val="0"/>
                <w:szCs w:val="21"/>
              </w:rPr>
            </w:pPr>
            <w:r>
              <w:rPr>
                <w:rFonts w:hint="eastAsia" w:cs="宋体"/>
                <w:b/>
                <w:kern w:val="0"/>
                <w:szCs w:val="21"/>
              </w:rPr>
              <w:t>所在位置</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南阳市中心医院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2356</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w:t>
            </w:r>
          </w:p>
        </w:tc>
        <w:tc>
          <w:tcPr>
            <w:tcW w:w="2369"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南阳医专一附院</w:t>
            </w:r>
          </w:p>
        </w:tc>
        <w:tc>
          <w:tcPr>
            <w:tcW w:w="1559"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三级甲等</w:t>
            </w:r>
          </w:p>
        </w:tc>
        <w:tc>
          <w:tcPr>
            <w:tcW w:w="1276"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w:t>
            </w:r>
            <w:r>
              <w:rPr>
                <w:rFonts w:hint="eastAsia" w:cs="宋体"/>
                <w:kern w:val="0"/>
                <w:szCs w:val="21"/>
              </w:rPr>
              <w:t>8</w:t>
            </w:r>
            <w:r>
              <w:rPr>
                <w:rFonts w:cs="宋体"/>
                <w:kern w:val="0"/>
                <w:szCs w:val="21"/>
              </w:rPr>
              <w:t>00</w:t>
            </w:r>
            <w:r>
              <w:rPr>
                <w:rFonts w:hint="eastAsia" w:cs="宋体"/>
                <w:kern w:val="0"/>
                <w:szCs w:val="21"/>
              </w:rPr>
              <w:t>张</w:t>
            </w:r>
          </w:p>
        </w:tc>
        <w:tc>
          <w:tcPr>
            <w:tcW w:w="2053"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3</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南阳市第一人民医院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1500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4</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南阳市第二人民医院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1500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5</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南阳南石医院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1100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6</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南阳市中医院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800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7</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河南油田职工总医院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710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南阳市宛城区</w:t>
            </w:r>
          </w:p>
        </w:tc>
      </w:tr>
      <w:tr>
        <w:tblPrEx>
          <w:tblLayout w:type="fixed"/>
          <w:tblCellMar>
            <w:top w:w="0" w:type="dxa"/>
            <w:left w:w="108" w:type="dxa"/>
            <w:bottom w:w="0" w:type="dxa"/>
            <w:right w:w="108" w:type="dxa"/>
          </w:tblCellMar>
        </w:tblPrEx>
        <w:trPr>
          <w:trHeight w:val="43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8</w:t>
            </w:r>
          </w:p>
        </w:tc>
        <w:tc>
          <w:tcPr>
            <w:tcW w:w="2369" w:type="dxa"/>
            <w:tcBorders>
              <w:top w:val="single" w:color="auto" w:sz="4" w:space="0"/>
              <w:left w:val="single" w:color="auto" w:sz="4" w:space="0"/>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南阳医专第二附属医院</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三级甲等</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1000张</w:t>
            </w:r>
          </w:p>
        </w:tc>
        <w:tc>
          <w:tcPr>
            <w:tcW w:w="2053" w:type="dxa"/>
            <w:tcBorders>
              <w:top w:val="single" w:color="auto" w:sz="4" w:space="0"/>
              <w:left w:val="single" w:color="auto" w:sz="4" w:space="0"/>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9</w:t>
            </w:r>
          </w:p>
        </w:tc>
        <w:tc>
          <w:tcPr>
            <w:tcW w:w="2369"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南阳市张仲景医院</w:t>
            </w:r>
          </w:p>
        </w:tc>
        <w:tc>
          <w:tcPr>
            <w:tcW w:w="1559"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三级甲等</w:t>
            </w:r>
          </w:p>
        </w:tc>
        <w:tc>
          <w:tcPr>
            <w:tcW w:w="1276"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150</w:t>
            </w:r>
            <w:r>
              <w:rPr>
                <w:rFonts w:hint="eastAsia" w:cs="宋体"/>
                <w:kern w:val="0"/>
                <w:szCs w:val="21"/>
              </w:rPr>
              <w:t>张</w:t>
            </w:r>
          </w:p>
        </w:tc>
        <w:tc>
          <w:tcPr>
            <w:tcW w:w="2053"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10</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西峡县人民医院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750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南阳市西峡县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11</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内乡县人民医院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300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南阳市内乡县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12</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镇平县人民医院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560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南阳市镇平县</w:t>
            </w:r>
          </w:p>
        </w:tc>
      </w:tr>
      <w:tr>
        <w:tblPrEx>
          <w:tblLayout w:type="fixed"/>
          <w:tblCellMar>
            <w:top w:w="0" w:type="dxa"/>
            <w:left w:w="108" w:type="dxa"/>
            <w:bottom w:w="0" w:type="dxa"/>
            <w:right w:w="108" w:type="dxa"/>
          </w:tblCellMar>
        </w:tblPrEx>
        <w:trPr>
          <w:trHeight w:val="43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13</w:t>
            </w:r>
          </w:p>
        </w:tc>
        <w:tc>
          <w:tcPr>
            <w:tcW w:w="2369"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镇平县中医院</w:t>
            </w:r>
          </w:p>
        </w:tc>
        <w:tc>
          <w:tcPr>
            <w:tcW w:w="1559"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300</w:t>
            </w:r>
            <w:r>
              <w:rPr>
                <w:rFonts w:hint="eastAsia" w:cs="宋体"/>
                <w:kern w:val="0"/>
                <w:szCs w:val="21"/>
              </w:rPr>
              <w:t>张</w:t>
            </w:r>
          </w:p>
        </w:tc>
        <w:tc>
          <w:tcPr>
            <w:tcW w:w="2053"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南阳市镇平县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14</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邓州市中心医院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448</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邓州市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15</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新野县中医院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200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南阳市新野县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16</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唐河县人民医院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1200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南阳市唐河县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17</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唐河县中医院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600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南阳市唐河县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18</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方城县中医院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500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南阳市方城县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19</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方城县人民医院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950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南阳市方城县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20</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南召县人民医院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500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南阳市南召县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21</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淅川县第二人民医院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400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南阳市淅川县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22</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南阳市骨科医院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500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23</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社旗县人民医院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500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南阳市社旗县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24</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新野县人民医院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500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南阳市新野县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25</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邓州市人民医院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1000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邓州市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26</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桐柏县人民医院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400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南阳市桐柏县</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27</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淅川县人民医院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252</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南阳市淅川县</w:t>
            </w:r>
          </w:p>
        </w:tc>
      </w:tr>
      <w:tr>
        <w:tblPrEx>
          <w:tblLayout w:type="fixed"/>
          <w:tblCellMar>
            <w:top w:w="0" w:type="dxa"/>
            <w:left w:w="108" w:type="dxa"/>
            <w:bottom w:w="0" w:type="dxa"/>
            <w:right w:w="108" w:type="dxa"/>
          </w:tblCellMar>
        </w:tblPrEx>
        <w:trPr>
          <w:trHeight w:val="43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28</w:t>
            </w:r>
          </w:p>
        </w:tc>
        <w:tc>
          <w:tcPr>
            <w:tcW w:w="2369"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南阳医专第三附属医院</w:t>
            </w:r>
          </w:p>
        </w:tc>
        <w:tc>
          <w:tcPr>
            <w:tcW w:w="1559"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180</w:t>
            </w:r>
            <w:r>
              <w:rPr>
                <w:rFonts w:hint="eastAsia" w:cs="宋体"/>
                <w:kern w:val="0"/>
                <w:szCs w:val="21"/>
              </w:rPr>
              <w:t>张</w:t>
            </w:r>
          </w:p>
        </w:tc>
        <w:tc>
          <w:tcPr>
            <w:tcW w:w="2053" w:type="dxa"/>
            <w:tcBorders>
              <w:top w:val="single" w:color="auto" w:sz="4" w:space="0"/>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hint="eastAsia" w:cs="宋体"/>
                <w:kern w:val="0"/>
                <w:szCs w:val="21"/>
              </w:rPr>
              <w:t>29</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南阳市卧龙医院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360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hint="eastAsia" w:cs="宋体"/>
                <w:kern w:val="0"/>
                <w:szCs w:val="21"/>
              </w:rPr>
              <w:t>30</w:t>
            </w:r>
          </w:p>
        </w:tc>
        <w:tc>
          <w:tcPr>
            <w:tcW w:w="2369" w:type="dxa"/>
            <w:tcBorders>
              <w:top w:val="nil"/>
              <w:left w:val="nil"/>
              <w:bottom w:val="single" w:color="auto" w:sz="4" w:space="0"/>
              <w:right w:val="single" w:color="auto" w:sz="4" w:space="0"/>
            </w:tcBorders>
            <w:vAlign w:val="center"/>
          </w:tcPr>
          <w:p>
            <w:pPr>
              <w:widowControl/>
              <w:snapToGrid w:val="0"/>
              <w:jc w:val="left"/>
              <w:rPr>
                <w:rFonts w:cs="宋体"/>
                <w:kern w:val="0"/>
                <w:szCs w:val="21"/>
              </w:rPr>
            </w:pPr>
            <w:r>
              <w:rPr>
                <w:rFonts w:hint="eastAsia" w:cs="宋体"/>
                <w:kern w:val="0"/>
                <w:szCs w:val="21"/>
              </w:rPr>
              <w:t>南阳市卧龙区第一人民医院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160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cs="宋体"/>
                <w:kern w:val="0"/>
                <w:szCs w:val="21"/>
              </w:rPr>
              <w:t>3</w:t>
            </w:r>
            <w:r>
              <w:rPr>
                <w:rFonts w:hint="eastAsia" w:cs="宋体"/>
                <w:kern w:val="0"/>
                <w:szCs w:val="21"/>
              </w:rPr>
              <w:t>1</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南阳市第九人民医院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二级综合</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300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南阳市</w:t>
            </w:r>
          </w:p>
        </w:tc>
      </w:tr>
      <w:tr>
        <w:tblPrEx>
          <w:tblLayout w:type="fixed"/>
          <w:tblCellMar>
            <w:top w:w="0" w:type="dxa"/>
            <w:left w:w="108" w:type="dxa"/>
            <w:bottom w:w="0" w:type="dxa"/>
            <w:right w:w="108" w:type="dxa"/>
          </w:tblCellMar>
        </w:tblPrEx>
        <w:trPr>
          <w:trHeight w:val="435" w:hRule="atLeast"/>
          <w:jc w:val="center"/>
        </w:trPr>
        <w:tc>
          <w:tcPr>
            <w:tcW w:w="736" w:type="dxa"/>
            <w:tcBorders>
              <w:top w:val="nil"/>
              <w:left w:val="single" w:color="auto" w:sz="4" w:space="0"/>
              <w:bottom w:val="single" w:color="auto" w:sz="4" w:space="0"/>
              <w:right w:val="single" w:color="auto" w:sz="4" w:space="0"/>
            </w:tcBorders>
            <w:vAlign w:val="center"/>
          </w:tcPr>
          <w:p>
            <w:pPr>
              <w:widowControl/>
              <w:rPr>
                <w:rFonts w:cs="宋体"/>
                <w:kern w:val="0"/>
                <w:szCs w:val="21"/>
              </w:rPr>
            </w:pPr>
            <w:r>
              <w:rPr>
                <w:rFonts w:hint="eastAsia" w:cs="宋体"/>
                <w:kern w:val="0"/>
                <w:szCs w:val="21"/>
              </w:rPr>
              <w:t>32</w:t>
            </w:r>
          </w:p>
        </w:tc>
        <w:tc>
          <w:tcPr>
            <w:tcW w:w="236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平顶山市第一人民医院</w:t>
            </w:r>
          </w:p>
        </w:tc>
        <w:tc>
          <w:tcPr>
            <w:tcW w:w="1559"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三级甲等</w:t>
            </w:r>
          </w:p>
        </w:tc>
        <w:tc>
          <w:tcPr>
            <w:tcW w:w="1276" w:type="dxa"/>
            <w:tcBorders>
              <w:top w:val="nil"/>
              <w:left w:val="nil"/>
              <w:bottom w:val="single" w:color="auto" w:sz="4" w:space="0"/>
              <w:right w:val="single" w:color="auto" w:sz="4" w:space="0"/>
            </w:tcBorders>
            <w:vAlign w:val="center"/>
          </w:tcPr>
          <w:p>
            <w:pPr>
              <w:widowControl/>
              <w:jc w:val="left"/>
              <w:rPr>
                <w:rFonts w:cs="宋体"/>
                <w:kern w:val="0"/>
                <w:szCs w:val="21"/>
              </w:rPr>
            </w:pPr>
            <w:r>
              <w:rPr>
                <w:rFonts w:cs="宋体"/>
                <w:kern w:val="0"/>
                <w:szCs w:val="21"/>
              </w:rPr>
              <w:t>1000</w:t>
            </w:r>
            <w:r>
              <w:rPr>
                <w:rFonts w:hint="eastAsia" w:cs="宋体"/>
                <w:kern w:val="0"/>
                <w:szCs w:val="21"/>
              </w:rPr>
              <w:t>张</w:t>
            </w:r>
          </w:p>
        </w:tc>
        <w:tc>
          <w:tcPr>
            <w:tcW w:w="2053" w:type="dxa"/>
            <w:tcBorders>
              <w:top w:val="nil"/>
              <w:left w:val="nil"/>
              <w:bottom w:val="single" w:color="auto" w:sz="4" w:space="0"/>
              <w:right w:val="single" w:color="auto" w:sz="4" w:space="0"/>
            </w:tcBorders>
            <w:vAlign w:val="center"/>
          </w:tcPr>
          <w:p>
            <w:pPr>
              <w:widowControl/>
              <w:jc w:val="left"/>
              <w:rPr>
                <w:rFonts w:cs="宋体"/>
                <w:kern w:val="0"/>
                <w:szCs w:val="21"/>
              </w:rPr>
            </w:pPr>
            <w:r>
              <w:rPr>
                <w:rFonts w:hint="eastAsia" w:cs="宋体"/>
                <w:kern w:val="0"/>
                <w:szCs w:val="21"/>
              </w:rPr>
              <w:t>平顶山市</w:t>
            </w:r>
          </w:p>
        </w:tc>
      </w:tr>
    </w:tbl>
    <w:p>
      <w:pPr>
        <w:pStyle w:val="44"/>
      </w:pPr>
    </w:p>
    <w:p>
      <w:pPr>
        <w:pStyle w:val="42"/>
        <w:ind w:firstLine="562"/>
        <w:rPr>
          <w:b/>
          <w:szCs w:val="28"/>
        </w:rPr>
      </w:pPr>
      <w:r>
        <w:rPr>
          <w:b/>
          <w:szCs w:val="28"/>
        </w:rPr>
        <w:t xml:space="preserve">3.2.8 </w:t>
      </w:r>
      <w:r>
        <w:rPr>
          <w:rFonts w:hint="eastAsia"/>
          <w:b/>
          <w:szCs w:val="28"/>
        </w:rPr>
        <w:t>信息化教学资源建设</w:t>
      </w:r>
    </w:p>
    <w:p>
      <w:pPr>
        <w:pStyle w:val="42"/>
        <w:ind w:firstLine="562"/>
        <w:rPr>
          <w:rFonts w:cs="仿宋"/>
          <w:b/>
          <w:bCs/>
        </w:rPr>
      </w:pPr>
      <w:r>
        <w:rPr>
          <w:rFonts w:hint="eastAsia" w:cs="仿宋"/>
          <w:b/>
          <w:bCs/>
        </w:rPr>
        <w:t>（1）</w:t>
      </w:r>
      <w:r>
        <w:rPr>
          <w:rFonts w:hint="eastAsia" w:ascii="仿宋" w:hAnsi="仿宋" w:cs="仿宋"/>
          <w:b/>
          <w:bCs/>
          <w:szCs w:val="28"/>
        </w:rPr>
        <w:t>微课、慕课及在线开放课程建设</w:t>
      </w:r>
    </w:p>
    <w:p>
      <w:pPr>
        <w:ind w:firstLine="560" w:firstLineChars="200"/>
        <w:jc w:val="left"/>
        <w:rPr>
          <w:rFonts w:cs="仿宋"/>
        </w:rPr>
      </w:pPr>
      <w:r>
        <w:rPr>
          <w:rFonts w:hint="eastAsia" w:cs="仿宋"/>
          <w:sz w:val="28"/>
          <w:szCs w:val="28"/>
        </w:rPr>
        <w:t>教师信息技术能力提高，目的在于服务于教学。目前，全校所有教室均有多媒体设备，多媒体教学基本达到100%。广大教师已不再满足PPT课件的制作和应用，而着眼于当前新兴的微课、慕课。有一定比例的教师已经能熟练录制微课并应用于教学，同时带动团队开展慕课建设。我校护理专业《健康评估》已被认定为国家级精品在线开放课程，校内已广泛使用，得到学生的一直好评。《传染病护理》和《医学计算机信息素养》被认定为河南省精品在线开放课程，丰富、完善、优质的网络教学资源不仅展现了我校教师投身教学、锐意改革、不断攀登的良好精神风貌，也为学生提供了更多的学习内容、途径和机会，受到学生的普遍欢迎。</w:t>
      </w:r>
    </w:p>
    <w:p>
      <w:pPr>
        <w:ind w:firstLine="420" w:firstLineChars="200"/>
        <w:jc w:val="left"/>
        <w:rPr>
          <w:rFonts w:cs="仿宋"/>
        </w:rPr>
      </w:pPr>
    </w:p>
    <w:p>
      <w:pPr>
        <w:pStyle w:val="42"/>
        <w:ind w:firstLine="562"/>
        <w:rPr>
          <w:rFonts w:cs="仿宋"/>
        </w:rPr>
      </w:pPr>
      <w:r>
        <w:rPr>
          <w:rFonts w:hint="eastAsia" w:cs="仿宋"/>
          <w:b/>
          <w:bCs/>
        </w:rPr>
        <w:t>（2）</w:t>
      </w:r>
      <w:r>
        <w:rPr>
          <w:rFonts w:hint="eastAsia" w:ascii="仿宋" w:hAnsi="仿宋" w:cs="仿宋"/>
          <w:b/>
          <w:bCs/>
          <w:szCs w:val="28"/>
        </w:rPr>
        <w:t>专业资源库建设</w:t>
      </w:r>
    </w:p>
    <w:p>
      <w:pPr>
        <w:ind w:firstLine="560" w:firstLineChars="200"/>
        <w:jc w:val="left"/>
        <w:rPr>
          <w:rFonts w:ascii="仿宋_GB2312" w:hAnsi="宋体" w:cs="仿宋"/>
          <w:sz w:val="28"/>
          <w:szCs w:val="20"/>
        </w:rPr>
      </w:pPr>
      <w:r>
        <w:rPr>
          <w:rFonts w:hint="eastAsia" w:cs="仿宋"/>
          <w:sz w:val="28"/>
          <w:szCs w:val="28"/>
        </w:rPr>
        <w:t>2020年我校和湖南中医药高等专科学校合作，承担了国家级职业教育助产专业教学资源库《SP培训课程》，正式立项。临床医学系的《诊断学》和《全科医学概论》及护理系《健康评估》立体化教材建设项目已顺利验收结项，在校内应用效果良好。针灸骨伤系承担的“河南省职业教育康复治疗技术专业教学资源库项目”建设接近尾声；中医专业教学资源库项目已经顺利通过教育厅认定。学校专业教学资源库建设欣欣向荣，顺利有序向前推进。</w:t>
      </w:r>
    </w:p>
    <w:p>
      <w:pPr>
        <w:pStyle w:val="42"/>
        <w:ind w:firstLine="562"/>
        <w:rPr>
          <w:b/>
          <w:szCs w:val="28"/>
        </w:rPr>
      </w:pPr>
      <w:r>
        <w:rPr>
          <w:b/>
          <w:szCs w:val="28"/>
        </w:rPr>
        <w:t xml:space="preserve">3.2.9 </w:t>
      </w:r>
      <w:r>
        <w:rPr>
          <w:rFonts w:hint="eastAsia"/>
          <w:b/>
          <w:szCs w:val="28"/>
        </w:rPr>
        <w:t>教材选用</w:t>
      </w:r>
    </w:p>
    <w:p>
      <w:pPr>
        <w:ind w:firstLine="548" w:firstLineChars="196"/>
        <w:jc w:val="left"/>
      </w:pPr>
      <w:r>
        <w:rPr>
          <w:rFonts w:hint="eastAsia" w:ascii="仿宋_GB2312" w:hAnsi="宋体" w:cs="仿宋"/>
          <w:sz w:val="28"/>
          <w:szCs w:val="20"/>
        </w:rPr>
        <w:t>遵</w:t>
      </w:r>
      <w:r>
        <w:rPr>
          <w:rFonts w:hint="eastAsia" w:cs="仿宋"/>
          <w:sz w:val="28"/>
          <w:szCs w:val="28"/>
        </w:rPr>
        <w:t>照《河南省教育厅办公室转发教育部办公厅关于做好中等职业学校公共基础课程教材使用的通知》（教职成函〔2021〕499号）</w:t>
      </w:r>
      <w:r>
        <w:rPr>
          <w:rFonts w:cs="仿宋"/>
          <w:sz w:val="28"/>
          <w:szCs w:val="28"/>
        </w:rPr>
        <w:t>要求，我校</w:t>
      </w:r>
      <w:r>
        <w:rPr>
          <w:rFonts w:hint="eastAsia" w:cs="仿宋"/>
          <w:sz w:val="28"/>
          <w:szCs w:val="28"/>
        </w:rPr>
        <w:t>自2</w:t>
      </w:r>
      <w:r>
        <w:rPr>
          <w:rFonts w:cs="仿宋"/>
          <w:sz w:val="28"/>
          <w:szCs w:val="28"/>
        </w:rPr>
        <w:t>021</w:t>
      </w:r>
      <w:r>
        <w:rPr>
          <w:rFonts w:hint="eastAsia" w:cs="仿宋"/>
          <w:sz w:val="28"/>
          <w:szCs w:val="28"/>
        </w:rPr>
        <w:t>年秋开始选用教育部推荐的部分公共基础课程教材，</w:t>
      </w:r>
      <w:r>
        <w:rPr>
          <w:rFonts w:cs="仿宋"/>
          <w:sz w:val="28"/>
          <w:szCs w:val="28"/>
        </w:rPr>
        <w:t>截止2022年秋期</w:t>
      </w:r>
      <w:r>
        <w:rPr>
          <w:rFonts w:hint="eastAsia" w:cs="仿宋"/>
          <w:sz w:val="28"/>
          <w:szCs w:val="28"/>
        </w:rPr>
        <w:t>将</w:t>
      </w:r>
      <w:r>
        <w:rPr>
          <w:rFonts w:cs="仿宋"/>
          <w:sz w:val="28"/>
          <w:szCs w:val="28"/>
        </w:rPr>
        <w:t>全部选用新教材；积极配合上级完成了法学、外语类教材的统计和排查工作，我校使用的教材中无任何问题；圆满完成了</w:t>
      </w:r>
      <w:r>
        <w:rPr>
          <w:rFonts w:hint="eastAsia" w:cs="仿宋"/>
          <w:sz w:val="28"/>
          <w:szCs w:val="28"/>
        </w:rPr>
        <w:t>“教材建设</w:t>
      </w:r>
      <w:r>
        <w:rPr>
          <w:rFonts w:cs="仿宋"/>
          <w:sz w:val="28"/>
          <w:szCs w:val="28"/>
        </w:rPr>
        <w:t>规划和教材管理办法落实情况</w:t>
      </w:r>
      <w:r>
        <w:rPr>
          <w:rFonts w:ascii="仿宋_GB2312" w:hAnsi="宋体" w:cs="仿宋"/>
          <w:sz w:val="28"/>
          <w:szCs w:val="20"/>
        </w:rPr>
        <w:t>中期评估系统填报</w:t>
      </w:r>
      <w:r>
        <w:rPr>
          <w:rFonts w:hint="eastAsia" w:ascii="仿宋_GB2312" w:hAnsi="宋体" w:cs="仿宋"/>
          <w:sz w:val="28"/>
          <w:szCs w:val="20"/>
        </w:rPr>
        <w:t>”</w:t>
      </w:r>
      <w:r>
        <w:rPr>
          <w:rFonts w:ascii="仿宋_GB2312" w:hAnsi="宋体" w:cs="仿宋"/>
          <w:sz w:val="28"/>
          <w:szCs w:val="20"/>
        </w:rPr>
        <w:t>工作。</w:t>
      </w:r>
    </w:p>
    <w:p>
      <w:pPr>
        <w:pStyle w:val="42"/>
        <w:ind w:firstLine="562"/>
        <w:rPr>
          <w:b/>
          <w:szCs w:val="28"/>
        </w:rPr>
      </w:pPr>
      <w:r>
        <w:rPr>
          <w:b/>
          <w:szCs w:val="28"/>
        </w:rPr>
        <w:t xml:space="preserve">3.2.10 </w:t>
      </w:r>
      <w:r>
        <w:rPr>
          <w:rFonts w:hint="eastAsia"/>
          <w:b/>
          <w:szCs w:val="28"/>
        </w:rPr>
        <w:t>国际合作</w:t>
      </w:r>
    </w:p>
    <w:p>
      <w:pPr>
        <w:pStyle w:val="14"/>
        <w:widowControl/>
        <w:ind w:firstLine="560"/>
        <w:jc w:val="both"/>
        <w:rPr>
          <w:rFonts w:ascii="仿宋_GB2312" w:hAnsi="宋体"/>
          <w:kern w:val="0"/>
          <w:sz w:val="28"/>
          <w:szCs w:val="20"/>
        </w:rPr>
      </w:pPr>
      <w:bookmarkStart w:id="76" w:name="_Toc22674_WPSOffice_Level1"/>
      <w:bookmarkStart w:id="77" w:name="_Toc8999"/>
      <w:bookmarkStart w:id="78" w:name="_Toc8585"/>
      <w:bookmarkStart w:id="79" w:name="_Toc31372"/>
      <w:r>
        <w:rPr>
          <w:rFonts w:hint="eastAsia" w:ascii="仿宋_GB2312" w:hAnsi="宋体"/>
          <w:kern w:val="0"/>
          <w:sz w:val="28"/>
          <w:szCs w:val="20"/>
        </w:rPr>
        <w:t>我校第五届国际文化交流周“云开幕”仪式在图书馆五楼报告厅隆重举行。美国哈森大学、马来西亚林肯大学学院、菲律宾伊密里欧学院有关领导分别为本届国际文化交流周致辞并和师生通过互联网同步参与。自我校实施开放化办学战略以来，与菲律宾伊密里欧学院、美国哈森大学、日本大阪滋庆学园、马来西亚林肯大学学院等国外高校在人才培养方案制定、教师互派、学生交流等方面取得了丰硕的成果，为学生出国深造、高端就业打造了绿色通道。</w:t>
      </w:r>
    </w:p>
    <w:p>
      <w:pPr>
        <w:pStyle w:val="3"/>
        <w:spacing w:before="156" w:after="156"/>
        <w:ind w:firstLine="562"/>
      </w:pPr>
      <w:bookmarkStart w:id="80" w:name="_Toc88032477"/>
      <w:r>
        <w:rPr>
          <w:rFonts w:hint="eastAsia"/>
        </w:rPr>
        <w:t>3.3 教师培养培训</w:t>
      </w:r>
      <w:bookmarkEnd w:id="76"/>
      <w:bookmarkEnd w:id="77"/>
      <w:bookmarkEnd w:id="78"/>
      <w:bookmarkEnd w:id="79"/>
      <w:bookmarkEnd w:id="80"/>
    </w:p>
    <w:p>
      <w:pPr>
        <w:ind w:firstLine="560" w:firstLineChars="200"/>
        <w:jc w:val="left"/>
        <w:rPr>
          <w:rFonts w:cs="仿宋"/>
          <w:sz w:val="28"/>
          <w:szCs w:val="28"/>
        </w:rPr>
      </w:pPr>
      <w:bookmarkStart w:id="81" w:name="_Toc25329"/>
      <w:bookmarkStart w:id="82" w:name="_Toc24101"/>
      <w:bookmarkStart w:id="83" w:name="_Toc3119"/>
      <w:bookmarkStart w:id="84" w:name="_Toc15141_WPSOffice_Level1"/>
      <w:r>
        <w:rPr>
          <w:rFonts w:hint="eastAsia" w:cs="仿宋"/>
          <w:sz w:val="28"/>
          <w:szCs w:val="28"/>
        </w:rPr>
        <w:t>学校教师培训中心更名为教师发展中心，致力于教师队伍整体素质的提高。有计划、有目标、有步骤地培训教师，帮助教师职业发展。2021年学校共选派230余人次外出参加各类专业学术会议，培训进修学习200余人次，其中参与网络培训150余人次。在全校教师中开展了“网上重走长征路”暨推动“四史”学习教育活动。组织了全校教学管理部门领导20人，参与了岗课赛证融通人才培养模式线上研讨会。全校专兼职教师通过会场+网络直播的方式，分多期参与了“教学信息化应用”培训，为教学中应用移动课堂互动系统打下了坚实的基础。先后组织了部分骨干教师，参与了全国职业院校教学能力比赛培训。组织了全校公共课教师参加了中等职业学校公共基础课课程标准培训。</w:t>
      </w:r>
    </w:p>
    <w:p>
      <w:pPr>
        <w:pStyle w:val="3"/>
        <w:spacing w:before="156" w:after="156"/>
        <w:ind w:firstLine="562"/>
      </w:pPr>
      <w:bookmarkStart w:id="85" w:name="_Toc88032478"/>
      <w:r>
        <w:rPr>
          <w:rFonts w:hint="eastAsia"/>
        </w:rPr>
        <w:t>3.4 规范管理情况</w:t>
      </w:r>
      <w:bookmarkEnd w:id="81"/>
      <w:bookmarkEnd w:id="82"/>
      <w:bookmarkEnd w:id="83"/>
      <w:bookmarkEnd w:id="84"/>
      <w:bookmarkEnd w:id="85"/>
    </w:p>
    <w:p>
      <w:pPr>
        <w:pStyle w:val="42"/>
        <w:ind w:firstLine="562"/>
        <w:rPr>
          <w:b/>
          <w:szCs w:val="28"/>
        </w:rPr>
      </w:pPr>
      <w:r>
        <w:rPr>
          <w:b/>
          <w:szCs w:val="28"/>
        </w:rPr>
        <w:t xml:space="preserve">3.4.1 </w:t>
      </w:r>
      <w:r>
        <w:rPr>
          <w:rFonts w:hint="eastAsia"/>
          <w:b/>
          <w:szCs w:val="28"/>
        </w:rPr>
        <w:t>教学管理</w:t>
      </w:r>
      <w:r>
        <w:rPr>
          <w:b/>
          <w:szCs w:val="28"/>
        </w:rPr>
        <w:t xml:space="preserve">  </w:t>
      </w:r>
    </w:p>
    <w:p>
      <w:pPr>
        <w:ind w:firstLine="560" w:firstLineChars="200"/>
        <w:jc w:val="left"/>
        <w:rPr>
          <w:sz w:val="28"/>
          <w:szCs w:val="28"/>
        </w:rPr>
      </w:pPr>
      <w:r>
        <w:rPr>
          <w:rFonts w:hint="eastAsia"/>
          <w:sz w:val="28"/>
          <w:szCs w:val="28"/>
        </w:rPr>
        <w:t>学校牢固树立质量意识，实施教学质量“一把手工程”。学校党委及行政领导带头学习、宣讲教育部等文件精神，身体力行贯彻执行；党委会和校长办公会，定期专题研究教学工作，把提高教学质量作为学校工作的生命线；充分发挥二级单位的积极性，以适应专业的动态调整和科学配置资源的需要，增强办学活力，提高办学质量；为加强教学管理，提高教学质量，学校每年都召开学校教学工作会，传达国家、省市教育工作会议精神；每两周由教务科牵头召开一次工作例会，安排布署相关教学任务；持续开展校内专业评估，促进教学体系更新、课程建设、师资队伍建设、教材建设和教学条件建设，规范日常教学行为，切实有效地保障学校教学质量和水平持续提升。</w:t>
      </w:r>
    </w:p>
    <w:p>
      <w:pPr>
        <w:ind w:firstLine="560" w:firstLineChars="200"/>
        <w:jc w:val="left"/>
        <w:rPr>
          <w:sz w:val="28"/>
          <w:szCs w:val="28"/>
        </w:rPr>
      </w:pPr>
      <w:r>
        <w:rPr>
          <w:rFonts w:hint="eastAsia"/>
          <w:sz w:val="28"/>
          <w:szCs w:val="28"/>
        </w:rPr>
        <w:t>学校逐步建立和完善了以学生发展为指向的质量保证体系，形成计划、执行、检查、处理的循环式教学质量管理系统，形成由教学检查（开学前、期中和期末）、课堂教学督导、听课（领导和教师）、学生评教、教师评学、学生信息反馈组成的信息反馈体系，为实施教学质量控制提供信息支撑。采用“督”、“导”、“评”等方式保障教学过程质量，通过问卷调查、访谈、学生信息中心、信息平台、信息反馈等方式，广泛收集质量信息，有效监控培养过程质量，形成了包括：随堂学生评教、网上评教、教学检查、教学督导、领导干部听课、教学信息采集与反馈、年度状态信息、年度调研分析报告等多维度质量监控体系，为提高教学水平，提升教学质量起到监督保障作用。选聘一批学术造诣深厚、德高望重、工作敬业、办事公道的老教授和业务骨干教师，组成校级教学工作督导组，开展督教、督学活动。</w:t>
      </w:r>
    </w:p>
    <w:p>
      <w:pPr>
        <w:ind w:firstLine="560" w:firstLineChars="200"/>
        <w:jc w:val="left"/>
        <w:rPr>
          <w:sz w:val="28"/>
          <w:szCs w:val="28"/>
        </w:rPr>
      </w:pPr>
      <w:r>
        <w:rPr>
          <w:rFonts w:hint="eastAsia"/>
          <w:sz w:val="28"/>
          <w:szCs w:val="28"/>
        </w:rPr>
        <w:t>为客观公正地评价每一位任课教师的教学质量，按照学校《教学督导工作实施办法》和《超工作量津贴实施方案》，每学年对所有任课教师进行综合评价。每学期教师教学质量评价标准为：教师教学质量评价综合得分=督导测评得分×25%+专业科测评得分×10%+教案评比测评得分×15%+课堂学生评教测评得分×15%+期末学生网上评教测评得分×35%，两学期综合测评得分平均为学年总评得分。按照学年得分高低，分别评出40%、40%、20%比例的优秀课教师、良好课教师、一般课教师，并进行奖励。连续两学期被评为该专业组最后1名的为差等课教师，不享受奖励，并停课一学期，每天到所在部门签到，跟班听课，限期提高，不发补贴。将教师课堂教学的评价结果作为教师年度考核、评优评先、省市拔尖人才及专业技术带头人选拔、主讲教师评选、学科带头人选拔、名医名师选拔、晋职、晋级、聘任重要依据。</w:t>
      </w:r>
    </w:p>
    <w:p>
      <w:pPr>
        <w:ind w:firstLine="560" w:firstLineChars="200"/>
        <w:jc w:val="left"/>
        <w:rPr>
          <w:sz w:val="28"/>
          <w:szCs w:val="28"/>
        </w:rPr>
      </w:pPr>
      <w:r>
        <w:rPr>
          <w:rFonts w:hint="eastAsia"/>
          <w:sz w:val="28"/>
          <w:szCs w:val="28"/>
        </w:rPr>
        <w:t>为强化学生的创新精神和实践能力，进而提高学生创新能力的培养，加强我校实验室建设和管理，提高实验室和实验设备的使用效率和效果，学校初步形成了实验教学管理规程、实验教学管理细则等相关制度，规范了实验教学过程；加大实验教学改革力度，注重整合调整实验内容、更新实验项目，减少验证型实验。根据中专学生的认知规律，合理安排课程顺序，对实验教学课程实行模块化改革；推行实验考试方法的改革，突出学生实际操作能力的考核；注重实验实训教师队伍建设，让新进研究生、轮岗理论教师充实实验实训教学队伍，加强实验实训教学，对新进其他青年教师实行帮、传、带的方式，使其尽快熟悉实验教学工作。鼓励实验教师开展实验教学研究，提高实验教师的教学与科研水平。</w:t>
      </w:r>
    </w:p>
    <w:p>
      <w:pPr>
        <w:ind w:firstLine="560" w:firstLineChars="200"/>
        <w:jc w:val="left"/>
      </w:pPr>
      <w:r>
        <w:rPr>
          <w:rFonts w:hint="eastAsia"/>
          <w:sz w:val="28"/>
          <w:szCs w:val="28"/>
        </w:rPr>
        <w:t>制定《实习教学管理规定》，对实习实训内容、指导教师配备、过程管理及总结考核等予以明确规定。结合专业人才培养目标，制订实习大纲，编制实习计划，选派指导教师与企业、医院等实习单位指导人员共同负责实习过程的指导与管理。加强实习实训的质量监控，定期对实习实训工作进行专项督查。</w:t>
      </w:r>
    </w:p>
    <w:p>
      <w:pPr>
        <w:pStyle w:val="42"/>
        <w:ind w:firstLine="562"/>
        <w:rPr>
          <w:b/>
          <w:szCs w:val="28"/>
        </w:rPr>
      </w:pPr>
      <w:r>
        <w:rPr>
          <w:b/>
          <w:szCs w:val="28"/>
        </w:rPr>
        <w:t>3.4.2</w:t>
      </w:r>
      <w:r>
        <w:rPr>
          <w:rFonts w:hint="eastAsia"/>
          <w:b/>
          <w:szCs w:val="28"/>
        </w:rPr>
        <w:t>实践教学基地管理</w:t>
      </w:r>
    </w:p>
    <w:p>
      <w:pPr>
        <w:pStyle w:val="42"/>
        <w:ind w:firstLine="562"/>
        <w:rPr>
          <w:rFonts w:cs="仿宋"/>
          <w:b/>
          <w:bCs/>
        </w:rPr>
      </w:pPr>
      <w:r>
        <w:rPr>
          <w:rFonts w:hint="eastAsia" w:cs="仿宋"/>
          <w:b/>
          <w:bCs/>
        </w:rPr>
        <w:t>（1）实践基地教学管理体系和机构</w:t>
      </w:r>
    </w:p>
    <w:p>
      <w:pPr>
        <w:pStyle w:val="42"/>
        <w:ind w:firstLine="560"/>
        <w:rPr>
          <w:szCs w:val="28"/>
        </w:rPr>
      </w:pPr>
      <w:r>
        <w:rPr>
          <w:rFonts w:hint="eastAsia"/>
          <w:szCs w:val="28"/>
        </w:rPr>
        <w:t>根据学校实际情况，实验实训室按照学校统一规划进行建设，全校实验实训教学、专用仪器设备和工作人员由学校统一负责管理。教学仪器设备由设备处统一管理调配，实现教学资源共享，形成齐抓共管的局面。</w:t>
      </w:r>
    </w:p>
    <w:p>
      <w:pPr>
        <w:pStyle w:val="42"/>
        <w:ind w:firstLine="562"/>
        <w:rPr>
          <w:rFonts w:cs="仿宋"/>
          <w:b/>
          <w:bCs/>
        </w:rPr>
      </w:pPr>
      <w:r>
        <w:rPr>
          <w:rFonts w:hint="eastAsia" w:cs="仿宋"/>
          <w:b/>
          <w:bCs/>
        </w:rPr>
        <w:t>（2）实践教学基地日常管理</w:t>
      </w:r>
    </w:p>
    <w:p>
      <w:pPr>
        <w:pStyle w:val="42"/>
        <w:ind w:firstLine="560"/>
        <w:rPr>
          <w:szCs w:val="28"/>
        </w:rPr>
      </w:pPr>
      <w:r>
        <w:rPr>
          <w:rFonts w:hint="eastAsia"/>
          <w:szCs w:val="28"/>
        </w:rPr>
        <w:t>学校制定了比较完备的实践基地管理的各项规章制度，各专业科依章管理，负责各实验（实训）室工作人员的人事管理工作，负责实验仪器设备购置计划的编制和申报工作，负责实验仪器设备的日常使用和保管，确保设备的完好率、利用率达到学校规定标准，不断提高管理水平，并做好实践基地安全防范、环境保护工作。</w:t>
      </w:r>
    </w:p>
    <w:p>
      <w:pPr>
        <w:pStyle w:val="42"/>
        <w:ind w:firstLine="562"/>
        <w:rPr>
          <w:rFonts w:cs="仿宋"/>
          <w:b/>
          <w:bCs/>
        </w:rPr>
      </w:pPr>
      <w:r>
        <w:rPr>
          <w:rFonts w:hint="eastAsia" w:cs="仿宋"/>
          <w:b/>
          <w:bCs/>
        </w:rPr>
        <w:t>（3）教学仪器设备管理</w:t>
      </w:r>
    </w:p>
    <w:p>
      <w:pPr>
        <w:pStyle w:val="42"/>
        <w:ind w:firstLine="560"/>
      </w:pPr>
      <w:r>
        <w:rPr>
          <w:rFonts w:hint="eastAsia"/>
          <w:szCs w:val="28"/>
        </w:rPr>
        <w:t>实验设备处负责全校教学仪器设备的管理、维修、调配等工作。在仪器设备管理中，新购仪器设备必须经过充分论证后才能购置，购置的设备必须经过严格的验收后才能予以入库；根据校内各专业科、各实践基地的实际教学需求，按程序办理相应的调配、调拨手续；不断完善健全教学仪器设备使用和管理的岗位责任制，协助各专业科制订设备操作使用规程和维护保养制度；对于使用中出现故障的仪器设备做到及时维修，确保正常开机使用；对于大型仪器设备的使用和管理，实行“依托学科、相对集中、专管共用、开放共享”的原则，最大限度地发挥仪器设备使用效益。</w:t>
      </w:r>
    </w:p>
    <w:p>
      <w:pPr>
        <w:pStyle w:val="42"/>
        <w:ind w:firstLine="562"/>
        <w:rPr>
          <w:b/>
          <w:szCs w:val="28"/>
        </w:rPr>
      </w:pPr>
      <w:r>
        <w:rPr>
          <w:b/>
          <w:szCs w:val="28"/>
        </w:rPr>
        <w:t xml:space="preserve">3.4.3 </w:t>
      </w:r>
      <w:r>
        <w:rPr>
          <w:rFonts w:hint="eastAsia"/>
          <w:b/>
          <w:szCs w:val="28"/>
        </w:rPr>
        <w:t>学生管理情况</w:t>
      </w:r>
    </w:p>
    <w:p>
      <w:pPr>
        <w:pStyle w:val="5"/>
        <w:ind w:firstLine="560"/>
        <w:rPr>
          <w:szCs w:val="32"/>
        </w:rPr>
      </w:pPr>
      <w:r>
        <w:rPr>
          <w:rFonts w:hint="eastAsia"/>
          <w:szCs w:val="32"/>
        </w:rPr>
        <w:t>学校不断强化管理责任意识，形成党总支、分管领导、班主任队伍、学团干部多层次全方位立体学生管理网络；深入贯彻实施特色德育，不断完善学生管理制度，以制度规范管理；加强常规检查，强化规范养成教育；加强德育活动的组织开展，以活动规范习惯；加强管理队伍培训，提升规范管理能力。通过持之以恒地把学生管理、学生教育、学生服务、学生安全结合起来，坚持抓常规、抓细节、抓养成，保证学生学习生活秩序安全稳定。</w:t>
      </w:r>
    </w:p>
    <w:p>
      <w:pPr>
        <w:pStyle w:val="5"/>
        <w:ind w:firstLine="562"/>
        <w:rPr>
          <w:szCs w:val="32"/>
        </w:rPr>
      </w:pPr>
      <w:r>
        <w:rPr>
          <w:rFonts w:hint="eastAsia"/>
          <w:b/>
          <w:szCs w:val="32"/>
        </w:rPr>
        <w:t>制度引领，加大学生日常管理力度。</w:t>
      </w:r>
      <w:r>
        <w:rPr>
          <w:rFonts w:hint="eastAsia"/>
          <w:szCs w:val="32"/>
        </w:rPr>
        <w:t>以教师课堂点名制度、学生请销假制度、实训课督察制度等为依托，持之以恒的抓学生课堂考勤及旷课、早退等违纪行为的管理，切实保障正常的教学秩序。以校园半封闭制度、学生胸卡佩戴制度等特色管理制度为依托，持之以恒的加大学生日常管理。实行“教育为主、惩罚为辅”问题学生转化制度，对违纪学生坚持思想引领原则，对问题学生建立个人档案，分类进行教育、承诺纠错等方式促进转化。坚实行量化考核动态监管制度，对学生管理工作实行周检查、月通报、年考核，每周通过班主任例会及时通报常规检查情况，检查结果排名并作为评先评优、年终考核依据。严格落实二十四小时值班制度、突发事件紧急处理程序等制度，重点加强夜间值班和夜不归寝情况的排查，杜绝了各类突发事件的发生。</w:t>
      </w:r>
    </w:p>
    <w:p>
      <w:pPr>
        <w:pStyle w:val="5"/>
        <w:ind w:firstLine="562"/>
        <w:rPr>
          <w:szCs w:val="32"/>
        </w:rPr>
      </w:pPr>
      <w:r>
        <w:rPr>
          <w:rFonts w:hint="eastAsia"/>
          <w:b/>
          <w:szCs w:val="32"/>
        </w:rPr>
        <w:t>学习引领，营造浓厚校风学风。</w:t>
      </w:r>
      <w:r>
        <w:rPr>
          <w:rFonts w:hint="eastAsia"/>
          <w:szCs w:val="32"/>
        </w:rPr>
        <w:t>开展学习经验交流会，邀请往年技能竞赛获奖选手回校为</w:t>
      </w:r>
      <w:r>
        <w:rPr>
          <w:szCs w:val="32"/>
        </w:rPr>
        <w:t>21</w:t>
      </w:r>
      <w:r>
        <w:rPr>
          <w:rFonts w:hint="eastAsia"/>
          <w:szCs w:val="32"/>
        </w:rPr>
        <w:t>级学生作报告，以先进典型激发学生学习热情；开展“我的人生规划”</w:t>
      </w:r>
      <w:r>
        <w:rPr>
          <w:szCs w:val="32"/>
        </w:rPr>
        <w:t xml:space="preserve"> </w:t>
      </w:r>
      <w:r>
        <w:rPr>
          <w:rFonts w:hint="eastAsia"/>
          <w:color w:val="FF0000"/>
          <w:szCs w:val="32"/>
        </w:rPr>
        <w:t>、</w:t>
      </w:r>
      <w:r>
        <w:rPr>
          <w:rFonts w:hint="eastAsia"/>
          <w:szCs w:val="32"/>
        </w:rPr>
        <w:t>“中国梦、我的梦”学习大讨论等主题活动，引导学生树立正确的人生目标，激发学习原动力。</w:t>
      </w:r>
    </w:p>
    <w:p>
      <w:pPr>
        <w:pStyle w:val="48"/>
        <w:ind w:firstLine="562" w:firstLineChars="200"/>
        <w:rPr>
          <w:rFonts w:ascii="仿宋" w:hAnsi="仿宋" w:eastAsia="仿宋" w:cs="仿宋"/>
          <w:kern w:val="0"/>
          <w:sz w:val="28"/>
          <w:szCs w:val="32"/>
        </w:rPr>
      </w:pPr>
      <w:r>
        <w:rPr>
          <w:rFonts w:hint="eastAsia" w:ascii="仿宋" w:hAnsi="仿宋" w:eastAsia="仿宋" w:cs="仿宋"/>
          <w:b/>
          <w:kern w:val="0"/>
          <w:sz w:val="28"/>
          <w:szCs w:val="32"/>
        </w:rPr>
        <w:t>道德引领，开展文明修身提升工程</w:t>
      </w:r>
      <w:r>
        <w:rPr>
          <w:rFonts w:hint="eastAsia" w:ascii="仿宋" w:hAnsi="仿宋" w:eastAsia="仿宋" w:cs="仿宋"/>
          <w:kern w:val="0"/>
          <w:sz w:val="28"/>
          <w:szCs w:val="32"/>
        </w:rPr>
        <w:t>。开展“文明始于心，修身践于行”基础文明月活动，评出文明班级、文明之星、文明宿舍，先进引领，模范带头，校园面貌焕然一新。开展“文明课堂”专项整治活动，通过试点开展“手机袋”制度、文明课堂倡议等活动，集中整治学生上课玩手机、随意走动等行为，课堂秩序大有好转。举办公寓文化文化节“珍惜生命，防患未然”访谈直播活动增强学生安全意识，普及安全知识，提高防范能力，创建平安和谐校园。广泛开展文明风采大赛活动，通过认真选拔，积极训练。在第七届南阳市中等职业学校学生素质能力大赛职业礼仪比赛中，我校选手发挥出色，以</w:t>
      </w:r>
      <w:r>
        <w:rPr>
          <w:rFonts w:ascii="仿宋" w:hAnsi="仿宋" w:eastAsia="仿宋" w:cs="仿宋"/>
          <w:kern w:val="0"/>
          <w:sz w:val="28"/>
          <w:szCs w:val="32"/>
        </w:rPr>
        <w:t>94.5</w:t>
      </w:r>
      <w:r>
        <w:rPr>
          <w:rFonts w:hint="eastAsia" w:ascii="仿宋" w:hAnsi="仿宋" w:eastAsia="仿宋" w:cs="仿宋"/>
          <w:kern w:val="0"/>
          <w:sz w:val="28"/>
          <w:szCs w:val="32"/>
        </w:rPr>
        <w:t>分荣获第二名的好成绩。</w:t>
      </w:r>
    </w:p>
    <w:p>
      <w:pPr>
        <w:pStyle w:val="5"/>
        <w:ind w:firstLine="562"/>
        <w:rPr>
          <w:szCs w:val="32"/>
        </w:rPr>
      </w:pPr>
      <w:r>
        <w:rPr>
          <w:rFonts w:hint="eastAsia"/>
          <w:b/>
          <w:szCs w:val="32"/>
        </w:rPr>
        <w:t>活动引领，丰富校园文化建设内涵。</w:t>
      </w:r>
      <w:r>
        <w:rPr>
          <w:rFonts w:hint="eastAsia"/>
          <w:szCs w:val="32"/>
        </w:rPr>
        <w:t>紧密围绕社会主义核心价值观加强思想道德教育，通过宣传栏、网站专栏等营造强有力的舆论声势，通过主题班会、团日活动、专题报告会活动等正面引导，使学生通过活动受到教育，得到启迪。开展社会实践活动，志愿者周末义诊服务队定期在校门口开展服务，为附近街区的居民和过往群众进行义诊，宣传普及卫生保健常识及供常见疾病的预防措施，组织学生到敬老院做志愿服务，去烈士陵园扫墓等。</w:t>
      </w:r>
    </w:p>
    <w:p>
      <w:pPr>
        <w:pStyle w:val="5"/>
        <w:ind w:firstLine="562"/>
        <w:rPr>
          <w:szCs w:val="32"/>
        </w:rPr>
      </w:pPr>
      <w:r>
        <w:rPr>
          <w:rFonts w:hint="eastAsia"/>
          <w:b/>
          <w:szCs w:val="32"/>
        </w:rPr>
        <w:t>为人师表，重视班主任队伍的建设。</w:t>
      </w:r>
      <w:r>
        <w:rPr>
          <w:rFonts w:hint="eastAsia"/>
          <w:szCs w:val="32"/>
        </w:rPr>
        <w:t>坚持选拔德才兼备的优秀人才担任班主任，为学生管理工作奠定良好队伍基础。坚持班主任周例会制度，班级管理中存在的问题通过例会及时上报处理；参加河南省全国高校辅导员网络培训，并定期召开班主任经验交流会，注重班主任队伍能力的再培训、再提升，做到与时俱进。</w:t>
      </w:r>
    </w:p>
    <w:p>
      <w:pPr>
        <w:pStyle w:val="5"/>
        <w:ind w:firstLine="562"/>
        <w:rPr>
          <w:szCs w:val="32"/>
        </w:rPr>
      </w:pPr>
      <w:r>
        <w:rPr>
          <w:rFonts w:hint="eastAsia"/>
          <w:b/>
          <w:szCs w:val="32"/>
        </w:rPr>
        <w:t>严防死守，狠抓学生校园安全工作。</w:t>
      </w:r>
      <w:r>
        <w:rPr>
          <w:rFonts w:hint="eastAsia"/>
          <w:szCs w:val="32"/>
        </w:rPr>
        <w:t>疫情期间</w:t>
      </w:r>
      <w:r>
        <w:rPr>
          <w:szCs w:val="32"/>
        </w:rPr>
        <w:t>,</w:t>
      </w:r>
      <w:r>
        <w:rPr>
          <w:rFonts w:hint="eastAsia"/>
          <w:szCs w:val="32"/>
        </w:rPr>
        <w:t>严把校园门口关坚持校园封闭管理，各级各类师生员工入校园必须测温。注重排查校园安全隐患，针对路灯不亮、门窗损坏、设施老化等问题及时统计并上报维修。组织开展安全知识讲座、女生心理问题讲座等针对性强的教育活动，不断提高学生自身的安全防范意识。落实值班零报告制度，确保突发事件及时处理上报。</w:t>
      </w:r>
    </w:p>
    <w:p>
      <w:pPr>
        <w:pStyle w:val="42"/>
        <w:ind w:firstLine="562"/>
        <w:rPr>
          <w:b/>
          <w:szCs w:val="28"/>
        </w:rPr>
      </w:pPr>
      <w:r>
        <w:rPr>
          <w:b/>
          <w:szCs w:val="28"/>
        </w:rPr>
        <w:t xml:space="preserve">3.4.4 </w:t>
      </w:r>
      <w:r>
        <w:rPr>
          <w:rFonts w:hint="eastAsia"/>
          <w:b/>
          <w:szCs w:val="28"/>
        </w:rPr>
        <w:t>财务管理情况</w:t>
      </w:r>
      <w:r>
        <w:rPr>
          <w:b/>
          <w:szCs w:val="28"/>
        </w:rPr>
        <w:t xml:space="preserve">  </w:t>
      </w:r>
    </w:p>
    <w:p>
      <w:pPr>
        <w:pStyle w:val="42"/>
        <w:ind w:firstLine="560"/>
      </w:pPr>
      <w:r>
        <w:rPr>
          <w:rFonts w:hint="eastAsia"/>
        </w:rPr>
        <w:t>南阳中医药学校进一步规范财务行为，建立健全财务管理制度，及时修订完善财务岗位制度、财务审批制度、财务内部控制制度、固定资产管理制度等；严格执行财经纪律，各项经费统一管理，统一核算，配备专职财务人员，财务日常工作分工明细，职责清晰，做到全面统筹，重点突出；加强资产管理，保证资产安全完整；严格执行教育收费公示制度，依法收费，公开透明；加强学习，提升素质，确保服务质量提升。</w:t>
      </w:r>
    </w:p>
    <w:p>
      <w:pPr>
        <w:pStyle w:val="42"/>
        <w:ind w:firstLine="562"/>
        <w:rPr>
          <w:b/>
          <w:szCs w:val="28"/>
        </w:rPr>
      </w:pPr>
      <w:r>
        <w:rPr>
          <w:b/>
          <w:szCs w:val="28"/>
        </w:rPr>
        <w:t xml:space="preserve">3.4.5 </w:t>
      </w:r>
      <w:r>
        <w:rPr>
          <w:rFonts w:hint="eastAsia"/>
          <w:b/>
          <w:szCs w:val="28"/>
        </w:rPr>
        <w:t>后勤管理情况</w:t>
      </w:r>
    </w:p>
    <w:p>
      <w:pPr>
        <w:pStyle w:val="5"/>
        <w:ind w:firstLine="560"/>
      </w:pPr>
      <w:r>
        <w:rPr>
          <w:rFonts w:hint="eastAsia"/>
        </w:rPr>
        <w:t>学校高度重视后勤管理工作，牢固树立“师生至上、服务育人”的宗旨，建立健全了水电、校园绿化、食堂管理、日常维修、校内自行采购实施办法等制度，确定各个服务岗位职责，分工明确，团结协作。做到水电、教室、宿舍、食堂等设施维修迅速到位；教学、办公设备供应及时；绿化美化校园，提高品味；食堂严管食品的采购、加工、销售等环节，建立了规范的学生食堂管理体系，确保食品卫生安全，保障学校各项工作的有序开展。</w:t>
      </w:r>
    </w:p>
    <w:p>
      <w:pPr>
        <w:pStyle w:val="42"/>
        <w:ind w:firstLine="562"/>
        <w:rPr>
          <w:b/>
          <w:szCs w:val="28"/>
        </w:rPr>
      </w:pPr>
      <w:r>
        <w:rPr>
          <w:b/>
          <w:szCs w:val="28"/>
        </w:rPr>
        <w:t xml:space="preserve">3.4.6 </w:t>
      </w:r>
      <w:r>
        <w:rPr>
          <w:rFonts w:hint="eastAsia"/>
          <w:b/>
          <w:szCs w:val="28"/>
        </w:rPr>
        <w:t>安全管理情况</w:t>
      </w:r>
      <w:r>
        <w:rPr>
          <w:b/>
          <w:szCs w:val="28"/>
        </w:rPr>
        <w:t xml:space="preserve">  </w:t>
      </w:r>
    </w:p>
    <w:p>
      <w:pPr>
        <w:pStyle w:val="42"/>
        <w:ind w:firstLine="560"/>
        <w:rPr>
          <w:rFonts w:ascii="仿宋" w:hAnsi="仿宋" w:cs="仿宋"/>
          <w:kern w:val="0"/>
          <w:szCs w:val="32"/>
        </w:rPr>
      </w:pPr>
      <w:r>
        <w:rPr>
          <w:rFonts w:hint="eastAsia" w:ascii="仿宋" w:hAnsi="仿宋" w:cs="仿宋"/>
          <w:kern w:val="0"/>
          <w:szCs w:val="32"/>
        </w:rPr>
        <w:t>建立健全了安全管理体系，使保卫工作做到有章可循，违章必究。实行消防安全责任制，师生消防“四个能力建设”得到提升。强化安全生产主体责任，建立事故隐患排查治理长效工作机制，落实安全生产条例，明确责任到位。重视综治及平安建设工作，校综治办与各部门签订目标责任书。重视人防、物防建设，突出技防。发挥校园“110”应急保障作用，坚持24小时值班，及时响应戒备指令，治安防范到位。建立有毒有害实验用品购买、领用、登记制度健全，做到易燃、易爆、剧毒等物品监管到位。开展法制宣传教育活动，提升学生防范意识和法律意识。积极稳妥处置突发事件，加强校园网的监控管理，及时跟踪掌握师生关注的热点及网上舆情，荣获“河南省高校维稳工作先进单位”、“南阳市平安建设工作先进单位”。与市公安局国保支队、辖区综治部门密切配合，积极做好反恐、反邪教工作。协调市综治、公安、城管、文化、卫生防疫等部门净化学校周边环境，师生安全感指数明显提升。</w:t>
      </w:r>
    </w:p>
    <w:p>
      <w:pPr>
        <w:pStyle w:val="42"/>
        <w:ind w:firstLine="562"/>
        <w:rPr>
          <w:b/>
          <w:szCs w:val="28"/>
        </w:rPr>
      </w:pPr>
      <w:r>
        <w:rPr>
          <w:b/>
          <w:szCs w:val="28"/>
        </w:rPr>
        <w:t xml:space="preserve">3.4.7 </w:t>
      </w:r>
      <w:r>
        <w:rPr>
          <w:rFonts w:hint="eastAsia"/>
          <w:b/>
          <w:szCs w:val="28"/>
        </w:rPr>
        <w:t>科研管理和管理队伍建设情况</w:t>
      </w:r>
    </w:p>
    <w:p>
      <w:pPr>
        <w:pStyle w:val="42"/>
        <w:ind w:firstLine="562"/>
      </w:pPr>
      <w:r>
        <w:rPr>
          <w:rFonts w:hint="eastAsia"/>
          <w:b/>
          <w:szCs w:val="32"/>
        </w:rPr>
        <w:t>积极组织科研项目申报及多信息渠道管理</w:t>
      </w:r>
      <w:r>
        <w:rPr>
          <w:rFonts w:hint="eastAsia"/>
          <w:b/>
        </w:rPr>
        <w:t>。</w:t>
      </w:r>
      <w:r>
        <w:rPr>
          <w:rFonts w:hint="eastAsia"/>
        </w:rPr>
        <w:t>利用校园网及钉钉、微信</w:t>
      </w:r>
      <w:r>
        <w:rPr>
          <w:rFonts w:hint="eastAsia" w:ascii="仿宋" w:hAnsi="仿宋"/>
        </w:rPr>
        <w:t>、</w:t>
      </w:r>
      <w:r>
        <w:rPr>
          <w:rFonts w:ascii="仿宋" w:hAnsi="仿宋"/>
        </w:rPr>
        <w:t>qq工作群等及时转发各级项目申报及更改通知，信息传达到教师个人手机端，并做好教师申报咨询服务，收集、整理、发布各级各类科研项目信息42次，会审项目申报材料，规范推荐程序并予以公示，项目申报数及立项数85项。积极配合教育厅</w:t>
      </w:r>
      <w:r>
        <w:t>社语处、科技信息处完成相关在研项目全面检查。圆满完成市科技局及社科规划办委托科研项目的检测及会审验收工作。检验项目的研究进展情况，落实项目验收结项制度，监督项目经费的使用等管理工作。克服疫情困难，积极同上级主管部门、业务相关部门及兄弟院校、科研院所的联系、交流等工作，</w:t>
      </w:r>
      <w:r>
        <w:rPr>
          <w:rFonts w:hint="eastAsia"/>
        </w:rPr>
        <w:t>广开科研项目申请的渠道。降低了疫情对各类项目命中率的影响。</w:t>
      </w:r>
    </w:p>
    <w:p>
      <w:pPr>
        <w:pStyle w:val="42"/>
        <w:ind w:firstLine="562"/>
        <w:rPr>
          <w:rFonts w:ascii="仿宋" w:hAnsi="仿宋"/>
        </w:rPr>
      </w:pPr>
      <w:r>
        <w:rPr>
          <w:rFonts w:hint="eastAsia"/>
          <w:b/>
          <w:szCs w:val="32"/>
        </w:rPr>
        <w:t>鼓励科研成果申报及规范管理</w:t>
      </w:r>
      <w:r>
        <w:rPr>
          <w:rFonts w:hint="eastAsia"/>
          <w:b/>
        </w:rPr>
        <w:t>。</w:t>
      </w:r>
      <w:r>
        <w:rPr>
          <w:rFonts w:hint="eastAsia"/>
        </w:rPr>
        <w:t>科学防疫同时组织学校科研成果的鉴定、验收、评审、申报奖励、推广应用、专利申请等工作。获得各级各类科</w:t>
      </w:r>
      <w:r>
        <w:rPr>
          <w:rFonts w:hint="eastAsia" w:ascii="仿宋" w:hAnsi="仿宋"/>
        </w:rPr>
        <w:t>研成果</w:t>
      </w:r>
      <w:r>
        <w:rPr>
          <w:rFonts w:ascii="仿宋" w:hAnsi="仿宋"/>
        </w:rPr>
        <w:t>42项，其中厅级一等奖13项，二等奖26项。持续规范论文、著作、教材、专利管理，做好知识产权保护，搞好科技服务及产、学、研结合。</w:t>
      </w:r>
    </w:p>
    <w:p>
      <w:pPr>
        <w:pStyle w:val="42"/>
        <w:ind w:firstLine="562"/>
        <w:rPr>
          <w:b/>
        </w:rPr>
      </w:pPr>
      <w:r>
        <w:rPr>
          <w:rFonts w:hint="eastAsia"/>
          <w:b/>
        </w:rPr>
        <w:t>组织多部门专家组团科技服务。</w:t>
      </w:r>
      <w:r>
        <w:rPr>
          <w:rFonts w:ascii="仿宋" w:hAnsi="仿宋"/>
        </w:rPr>
        <w:t>2021年6月，由袁国卿教授及医专二附院中医、中药、护理、针灸康复专家服务团队进行系列科技服务。到唐河县桐寨铺镇等开展“学党史、办实事”庆“七一”康养培训活动，对有康养需求的村镇老人、服务人员总计40人进行了中医保健、艾灸、刮痧等技术指导与培训，现场培训、教学、指导活</w:t>
      </w:r>
      <w:r>
        <w:t>动热烈，老人及服务人员悉心学习，并对技术团队专家、老师的帮助表示感谢和敬意，收到媒体和社会广泛赞誉。</w:t>
      </w:r>
    </w:p>
    <w:p>
      <w:pPr>
        <w:pStyle w:val="42"/>
        <w:ind w:firstLine="562"/>
        <w:rPr>
          <w:b/>
        </w:rPr>
      </w:pPr>
      <w:r>
        <w:rPr>
          <w:rFonts w:hint="eastAsia"/>
          <w:b/>
          <w:szCs w:val="32"/>
        </w:rPr>
        <w:t>科研管理队伍迎变生新</w:t>
      </w:r>
      <w:r>
        <w:rPr>
          <w:rFonts w:hint="eastAsia"/>
          <w:b/>
        </w:rPr>
        <w:t>。</w:t>
      </w:r>
      <w:r>
        <w:rPr>
          <w:rFonts w:hint="eastAsia"/>
        </w:rPr>
        <w:t>科研管理人员与广大科研人员（包括学校及附院教师、医生、药师、护士、技师）一起积极响应国家疫情及灾情，纷纷捐款、多渠道上报提议、提案，表现出医药学校科研技术人员的责任担当及国难兴邦的团结与凝聚力，受到省、市级相关部门及社会、媒体的表彰与称赞。学</w:t>
      </w:r>
      <w:r>
        <w:rPr>
          <w:rFonts w:hint="eastAsia" w:ascii="仿宋" w:hAnsi="仿宋"/>
        </w:rPr>
        <w:t>校设有科研管理科、成果科，建有科研实验中心，管理队伍配备合理，人员团结协作，疫情中科研管理科学、井然有序。本年度完成教育部项目结项</w:t>
      </w:r>
      <w:r>
        <w:rPr>
          <w:rFonts w:ascii="仿宋" w:hAnsi="仿宋"/>
        </w:rPr>
        <w:t>1项，获准省级项目5项，为下一阶段申报国家级、省级重大项目奠定基础</w:t>
      </w:r>
      <w:r>
        <w:t>。</w:t>
      </w:r>
      <w:r>
        <w:rPr>
          <w:b/>
        </w:rPr>
        <w:t xml:space="preserve"> </w:t>
      </w:r>
    </w:p>
    <w:p>
      <w:pPr>
        <w:pStyle w:val="42"/>
        <w:ind w:firstLine="562"/>
        <w:rPr>
          <w:b/>
          <w:szCs w:val="28"/>
        </w:rPr>
      </w:pPr>
      <w:r>
        <w:rPr>
          <w:b/>
          <w:szCs w:val="28"/>
        </w:rPr>
        <w:t xml:space="preserve">3.4.8 </w:t>
      </w:r>
      <w:r>
        <w:rPr>
          <w:rFonts w:hint="eastAsia"/>
          <w:b/>
          <w:szCs w:val="28"/>
        </w:rPr>
        <w:t>管理信息化水平</w:t>
      </w:r>
      <w:r>
        <w:rPr>
          <w:b/>
          <w:szCs w:val="28"/>
        </w:rPr>
        <w:t xml:space="preserve">  </w:t>
      </w:r>
    </w:p>
    <w:p>
      <w:pPr>
        <w:pStyle w:val="42"/>
        <w:ind w:firstLine="560"/>
        <w:rPr>
          <w:b/>
          <w:bCs/>
        </w:rPr>
      </w:pPr>
      <w:bookmarkStart w:id="86" w:name="_Toc15761"/>
      <w:bookmarkStart w:id="87" w:name="_Toc31171_WPSOffice_Level1"/>
      <w:bookmarkStart w:id="88" w:name="_Toc31759"/>
      <w:bookmarkStart w:id="89" w:name="_Toc25132"/>
      <w:r>
        <w:rPr>
          <w:rFonts w:hint="eastAsia"/>
        </w:rPr>
        <w:t>学校已经完</w:t>
      </w:r>
      <w:r>
        <w:rPr>
          <w:rFonts w:hint="eastAsia" w:ascii="仿宋" w:hAnsi="仿宋"/>
        </w:rPr>
        <w:t>成有线网络、一卡通、</w:t>
      </w:r>
      <w:r>
        <w:rPr>
          <w:rFonts w:ascii="仿宋" w:hAnsi="仿宋"/>
        </w:rPr>
        <w:t>VPN等基础设施建设，完成了数字化校园二期工程建设，实现教务、学生、图书管理、财务管理系统与统一数据库的数据对接，2021年秋季实现数字迎新。部署了数字化校园统一信息门户，数字化校园公共数据平台，数据交换平台以及统一身份认证平台，依托该平台，将现有迎新系统、教</w:t>
      </w:r>
      <w:r>
        <w:t xml:space="preserve">务题库系统、实习管理系统、教学管理系统、学生网上评教系统等系统数据进行汇总整合，数字化校园框架基本成型，有力地促进了学校的信息资源整合和信息化管理应用水平提升。 </w:t>
      </w:r>
    </w:p>
    <w:p>
      <w:pPr>
        <w:pStyle w:val="3"/>
        <w:spacing w:before="156" w:after="156"/>
        <w:ind w:firstLine="562"/>
      </w:pPr>
      <w:bookmarkStart w:id="90" w:name="_Toc88032479"/>
      <w:r>
        <w:t xml:space="preserve">3.5 </w:t>
      </w:r>
      <w:r>
        <w:rPr>
          <w:rFonts w:hint="eastAsia"/>
        </w:rPr>
        <w:t>德育工作情况</w:t>
      </w:r>
      <w:bookmarkEnd w:id="86"/>
      <w:bookmarkEnd w:id="87"/>
      <w:bookmarkEnd w:id="88"/>
      <w:bookmarkEnd w:id="89"/>
      <w:bookmarkEnd w:id="90"/>
    </w:p>
    <w:p>
      <w:pPr>
        <w:pStyle w:val="42"/>
        <w:ind w:firstLine="562"/>
        <w:rPr>
          <w:b/>
          <w:szCs w:val="28"/>
        </w:rPr>
      </w:pPr>
      <w:r>
        <w:rPr>
          <w:b/>
          <w:szCs w:val="28"/>
        </w:rPr>
        <w:t xml:space="preserve">3.5.1 </w:t>
      </w:r>
      <w:r>
        <w:rPr>
          <w:rFonts w:hint="eastAsia"/>
          <w:b/>
          <w:szCs w:val="28"/>
        </w:rPr>
        <w:t>德育课实施情况</w:t>
      </w:r>
      <w:r>
        <w:rPr>
          <w:b/>
          <w:szCs w:val="28"/>
        </w:rPr>
        <w:t xml:space="preserve"> </w:t>
      </w:r>
    </w:p>
    <w:p>
      <w:pPr>
        <w:ind w:firstLine="560" w:firstLineChars="200"/>
        <w:jc w:val="left"/>
        <w:rPr>
          <w:sz w:val="28"/>
          <w:szCs w:val="28"/>
        </w:rPr>
      </w:pPr>
      <w:r>
        <w:rPr>
          <w:rFonts w:hint="eastAsia"/>
          <w:sz w:val="28"/>
          <w:szCs w:val="28"/>
        </w:rPr>
        <w:t>学校高度重视德育课课程设置和教学实施工作，按照以“教学为中心，就业为导向，德育为首位，服务为保障”的办学思路，进一步增强德育课教学的针对性、实效性和时代感，将德育课程作为学校的公共必修课程进行建设，纳入学校课程建设总体规划，贯穿中专学生从入学到毕业的整个培养过程。现有德育课专职教师8人，校内兼职教师5人。严格按照《教育部关于中等职业学校德育课课程设置与教学安排的意见》开设德育课程课程，先后在一年级开设《职业生涯规划》、《职业道德与法律》课，二年级开设《经济政治与社会》、《哲学与人生》一共四门德育课程，每门课程36学时，每周为2学时，总学时144学时。开设的四门德育课程均严格按照教育部要求统一使用高等教育出版社出版的全国中等职业学校课程改革国家规划新教材。</w:t>
      </w:r>
    </w:p>
    <w:p>
      <w:pPr>
        <w:ind w:firstLine="560" w:firstLineChars="200"/>
        <w:jc w:val="left"/>
        <w:rPr>
          <w:sz w:val="28"/>
          <w:szCs w:val="28"/>
        </w:rPr>
      </w:pPr>
      <w:r>
        <w:rPr>
          <w:rFonts w:hint="eastAsia"/>
          <w:sz w:val="28"/>
          <w:szCs w:val="28"/>
        </w:rPr>
        <w:t>学校开设的德育课程既有知识的传授，也有技能的培养，更有态度、观念的转变，是集理论和实训为一体的综合性课程，采用理论与实践相结合、讲授与训练相结合的方式进行。授课教师采取灵活多样的教育教学方式，创新教学方法，课程采用互动参与式教学方法，形成了“大课堂+小课堂”的组合模式。采用启发式、谈论式、答疑式、案例式等，把辩论、演讲法引入课堂，合理运用现代教育技术手段进行教学，丰富了教学手段，提高了教学效果，取得了显著成效。把专题讲授、课堂讨论、演讲互动、课堂案例分析等灵活多样的教学方式紧密结合起来。提倡学生上讲台，采取双向式、启发式的教学方法，培养他们分析问题的能力。既发挥主讲教师的主导作用，又充分调动学生学习的积极性和主动性。实践教学紧紧围绕课程教学内容和教育教学目标，主要采取与校党团组织结合，利用寒暑假进行社会实践。采用与社会调查、志愿服务、公益活动、专业课见习等结合起来，引导学生走出校门，到实习基地去，到基层去，努力使学生在丰富多彩的实践教学活动中，提高职业素养和职业能力，增强德育课教育教学效果。建设了“南水北调精神教育实践教学基地”、在桐柏县革命纪念馆、新县鄂豫皖苏区首府博物馆设立“思想政治教育基地”。</w:t>
      </w:r>
    </w:p>
    <w:p>
      <w:pPr>
        <w:ind w:firstLine="560" w:firstLineChars="200"/>
        <w:jc w:val="left"/>
        <w:rPr>
          <w:sz w:val="28"/>
          <w:szCs w:val="28"/>
        </w:rPr>
      </w:pPr>
      <w:r>
        <w:rPr>
          <w:rFonts w:hint="eastAsia"/>
          <w:sz w:val="28"/>
          <w:szCs w:val="28"/>
        </w:rPr>
        <w:t>建立德育课考试考核评价体系，通过期末考试与日常考查相结合的方法进行，加大对学生实践和现实课堂中表现的考核，任课老师对学生平时的上课出勤、参与课堂讨论、辩论、自主学习等情况做出综合评价，形成平时考核成绩，期终考试采用理论考试与实践环节相结合、开卷考试与闭卷考试相结合、知识水平与日常能力素质相结合，既对学生必须掌握的基本知识、基本理论掌握有个基本考核，又大力促进学生的实践能力和综合素质的全面提升。学生最终成绩中平时综合考核成绩占40%，期终理论考核成绩占60%。</w:t>
      </w:r>
    </w:p>
    <w:p>
      <w:pPr>
        <w:pStyle w:val="42"/>
        <w:ind w:firstLine="562"/>
        <w:rPr>
          <w:b/>
          <w:szCs w:val="28"/>
        </w:rPr>
      </w:pPr>
      <w:r>
        <w:rPr>
          <w:b/>
          <w:szCs w:val="28"/>
        </w:rPr>
        <w:t xml:space="preserve">3.5.2 </w:t>
      </w:r>
      <w:r>
        <w:rPr>
          <w:rFonts w:hint="eastAsia"/>
          <w:b/>
          <w:szCs w:val="28"/>
        </w:rPr>
        <w:t>校园文化建设</w:t>
      </w:r>
      <w:r>
        <w:rPr>
          <w:b/>
          <w:szCs w:val="28"/>
        </w:rPr>
        <w:t xml:space="preserve"> </w:t>
      </w:r>
    </w:p>
    <w:p>
      <w:pPr>
        <w:pStyle w:val="42"/>
        <w:ind w:firstLine="560"/>
        <w:rPr>
          <w:szCs w:val="32"/>
        </w:rPr>
      </w:pPr>
      <w:r>
        <w:rPr>
          <w:rFonts w:hint="eastAsia"/>
          <w:szCs w:val="32"/>
        </w:rPr>
        <w:t>学校高度重视校园文化建设，将仲景精神、现代医学和校园文化有机融合，凝练成厚德、恒志、精术、济世的校训，在长期的教育教学过程中，培养学生仁爱情怀、道德品行、志向追求、技能本领，着力打造仲景品牌，培养仲景学子。校园建筑、道路命名、经典石刻、医家名言、山石草木都赋予了文化元素，彰显着文化魅力，达到了春风化雨、润物无声的效果。图书馆、校史馆、中药标本馆、仲景文化特藏馆、人体生命科学馆等，成为育人的重要载体，使学生在学习专业知识的同时，也受到生动的文化浸润。阅报栏、宣传栏、橱窗、板报、党课、团课、主题班会、报告会等意识形态阵地，使社会主义核心价值观融入学生的头脑和心灵。仲景文化艺术节、护士节年年举办，“清明祭英烈”、品味端午、传统文化、赏月谈人生、重阳敬老人及“五一”、“五四”、“七一”、“十一”等重大纪念日和传统节日，丰富多彩的文化活动，锻造着学生的文化气质。经典诵读、道德讲座、基础文明月及演讲、辩论、征文、书法、摄影、绘画、文艺晚会、体育竞技等充分展示了青年学生蓬勃向上的精神风貌。在仲景文化的滋养中不断升华的仲景精神已内化为学生的自觉精神追求，校园文化在学生成长成才中发挥了不可估量的作用。</w:t>
      </w:r>
    </w:p>
    <w:p>
      <w:pPr>
        <w:pStyle w:val="42"/>
        <w:ind w:firstLine="562"/>
        <w:rPr>
          <w:b/>
          <w:szCs w:val="28"/>
        </w:rPr>
      </w:pPr>
      <w:r>
        <w:rPr>
          <w:b/>
          <w:szCs w:val="28"/>
        </w:rPr>
        <w:t xml:space="preserve">3.5.3 </w:t>
      </w:r>
      <w:r>
        <w:rPr>
          <w:rFonts w:hint="eastAsia"/>
          <w:b/>
          <w:szCs w:val="28"/>
        </w:rPr>
        <w:t>文明风采活动开展情况</w:t>
      </w:r>
      <w:r>
        <w:rPr>
          <w:b/>
          <w:szCs w:val="28"/>
        </w:rPr>
        <w:t xml:space="preserve"> </w:t>
      </w:r>
    </w:p>
    <w:p>
      <w:pPr>
        <w:pStyle w:val="42"/>
        <w:ind w:firstLine="560"/>
        <w:rPr>
          <w:szCs w:val="32"/>
        </w:rPr>
      </w:pPr>
      <w:r>
        <w:rPr>
          <w:rFonts w:hint="eastAsia"/>
          <w:szCs w:val="32"/>
        </w:rPr>
        <w:t>我校把精神文明建设工作纳入学校事业长期发展规划，年初召开精神文明建设专题会议，定期研究精神文明建设工作，统一安排部署精神文明创建活动，制定年度精神文明建设工作要点，确立创建重点，建立工作台账，加强宣传发动，开展系列活动。深入开展习近平新时代中国特色社会主义思想和党的十九大精神宣传教育活动，积极开展中国特色社会主义和中国梦学习教育活动，紧紧围绕坚持和发展中国特色社会主义这一主题，紧紧围绕实现中华民族伟大复兴这一目标，注重宣传教育、示范引领、实践养成相统一，通过板报、橱窗、宣传栏、专题讲座、班会、座谈会等形式开展主题宣讲活动。利用清明节、端午节、中秋节、重阳节，举办“我们的节日”主题活动，开展爱国主义教育，提高了师生的文化素质。加强学习型校园建设，举办“阅读活动月”系列活动、经典诵读比赛，广泛开展“六文明”系列活动。通过举办交通安全教育报告会，开展文明餐桌、光盘行动主题活动，增强培育和践行社会主义核心价值观的自觉性、坚定性。积极参加文明风采活动，在第七届南阳市中等职业学校学生素质能力大赛职业礼仪比赛中，我校选手发挥出色，</w:t>
      </w:r>
      <w:r>
        <w:rPr>
          <w:rFonts w:hint="eastAsia" w:ascii="仿宋" w:hAnsi="仿宋" w:cs="仿宋"/>
          <w:szCs w:val="32"/>
        </w:rPr>
        <w:t>荣获第二名的好成绩。</w:t>
      </w:r>
      <w:r>
        <w:rPr>
          <w:rFonts w:hint="eastAsia"/>
          <w:szCs w:val="32"/>
        </w:rPr>
        <w:t>在职工中开展创建文明处室、争做文明标兵活动。在社区开展创建文明家庭、文明楼院活动。在广大学生中开展文明班级、文明宿舍、文明学生、优秀学生干部、优秀共青团员、优秀毕业生、三好学生等系列评选活动，营造了“比、学、赶、帮、超”的工作和学习氛围，促进了文明校风和优良学风的行成。加强师德建设，认真开展身边好人选树推荐活动，举办道德讲座、文明礼仪讲座，开展法治宣传月、平安建设宣传月、安全教育月等活动，开展诚信建设宣传教育活动。通过举办教师说课活动、教学技能竞赛、学生专业技能竞赛、“护理专业小导师”等系列创建活动，提升创建工作水平。做好志愿者注册管理工作，积极开展义诊、送温暖、植树植绿、清洁卫生、维护公共秩序、交通秩序、文明上网等志愿服务活动，开展文明上网宣传教育，加强学校网络信息管理工作。举办职工踏青春游活动、田径运动会、仲景文化艺术节、“五·一二”护士节晚会等系列文体活动，丰富师生文化生活。充分发挥医疗、教育资源优势，积极参与文化、科技、卫生“三下乡”活动和精准扶贫工作，与方城县官坡岭村结对帮扶。学校被河南省委、省政府授予河南省文明校园荣誉称号。</w:t>
      </w:r>
    </w:p>
    <w:p>
      <w:pPr>
        <w:pStyle w:val="42"/>
        <w:ind w:firstLine="562"/>
        <w:rPr>
          <w:b/>
          <w:szCs w:val="28"/>
        </w:rPr>
      </w:pPr>
      <w:r>
        <w:rPr>
          <w:b/>
          <w:szCs w:val="28"/>
        </w:rPr>
        <w:t xml:space="preserve">3.5.4 </w:t>
      </w:r>
      <w:r>
        <w:rPr>
          <w:rFonts w:hint="eastAsia"/>
          <w:b/>
          <w:szCs w:val="28"/>
        </w:rPr>
        <w:t>社团活动</w:t>
      </w:r>
      <w:r>
        <w:rPr>
          <w:b/>
          <w:szCs w:val="28"/>
        </w:rPr>
        <w:t xml:space="preserve"> </w:t>
      </w:r>
    </w:p>
    <w:p>
      <w:pPr>
        <w:ind w:firstLine="560" w:firstLineChars="200"/>
        <w:jc w:val="left"/>
        <w:rPr>
          <w:rFonts w:ascii="仿宋_GB2312" w:hAnsi="宋体"/>
          <w:sz w:val="28"/>
          <w:szCs w:val="32"/>
        </w:rPr>
      </w:pPr>
      <w:r>
        <w:rPr>
          <w:rFonts w:hint="eastAsia" w:ascii="仿宋_GB2312" w:hAnsi="宋体"/>
          <w:sz w:val="28"/>
          <w:szCs w:val="32"/>
        </w:rPr>
        <w:t>我校学生社团由校</w:t>
      </w:r>
      <w:r>
        <w:rPr>
          <w:rFonts w:hint="eastAsia"/>
          <w:sz w:val="28"/>
          <w:szCs w:val="32"/>
        </w:rPr>
        <w:t>社团建设管理委员会直接管理，在校团委的指导下开展活动。现有学生社团共10个，参与学生社团学生达2000多人次。秉承着“繁荣校园文化”的宗旨，校团委和校学生会进一步完善组织制度建设，加强各学生社团的管理，促</w:t>
      </w:r>
      <w:r>
        <w:rPr>
          <w:rFonts w:hint="eastAsia" w:ascii="仿宋_GB2312" w:hAnsi="宋体"/>
          <w:sz w:val="28"/>
          <w:szCs w:val="32"/>
        </w:rPr>
        <w:t>进各社团的自我完善和自我发展，同时，组织和引导各学生社团积极开展丰富多彩的社团活动，为我校繁荣学生第二课堂做出了贡献。</w:t>
      </w:r>
    </w:p>
    <w:p>
      <w:pPr>
        <w:ind w:firstLine="560" w:firstLineChars="200"/>
        <w:jc w:val="left"/>
        <w:rPr>
          <w:sz w:val="28"/>
          <w:szCs w:val="32"/>
        </w:rPr>
      </w:pPr>
      <w:r>
        <w:rPr>
          <w:rFonts w:hint="eastAsia" w:ascii="仿宋_GB2312" w:hAnsi="宋体"/>
          <w:sz w:val="28"/>
          <w:szCs w:val="32"/>
        </w:rPr>
        <w:t>我校各学生社团结合时代要求、自身社团特色，推出了有特色、有影响、有创新、有实效的精品社团活动，实现了内容的创新、形式的创新、手段的创新、机制的创新。今年举办了我校第七届社团文化月活动。社团文化月不仅为加强我校精神文明建设和丰富学生课余生活作出了突出贡献，更加充分展示了我校繁荣的校园文化和我校学子的青春风采。在学校这</w:t>
      </w:r>
      <w:r>
        <w:rPr>
          <w:rFonts w:hint="eastAsia"/>
          <w:sz w:val="28"/>
          <w:szCs w:val="32"/>
        </w:rPr>
        <w:t>个大舞台上，各类社团各展所长、各取所需，多样化多元化的社团活动，丰富了课余生活，繁荣了校园文化，更让社团成员有了展示自己风采、培养自己的能力的机会。</w:t>
      </w:r>
    </w:p>
    <w:p>
      <w:pPr>
        <w:ind w:firstLine="560" w:firstLineChars="200"/>
        <w:jc w:val="left"/>
        <w:rPr>
          <w:rFonts w:ascii="仿宋_GB2312" w:hAnsi="宋体"/>
          <w:sz w:val="28"/>
          <w:szCs w:val="32"/>
        </w:rPr>
      </w:pPr>
      <w:r>
        <w:rPr>
          <w:rFonts w:hint="eastAsia"/>
          <w:sz w:val="28"/>
          <w:szCs w:val="32"/>
        </w:rPr>
        <w:t>2021年，我校学生社团正在良性健</w:t>
      </w:r>
      <w:r>
        <w:rPr>
          <w:rFonts w:hint="eastAsia" w:ascii="仿宋_GB2312" w:hAnsi="宋体"/>
          <w:sz w:val="28"/>
          <w:szCs w:val="32"/>
        </w:rPr>
        <w:t>康的发展，大大丰富了我校文化和同学们的课余生活。我们的目的是精益求精，是无止境的前进，我们将更加严格的要求自己，用更诚肯的工作态度，更饱满的工作热情，更大胆的创新精神，开展下一步社团工作新局面。</w:t>
      </w:r>
    </w:p>
    <w:p>
      <w:pPr>
        <w:pStyle w:val="42"/>
        <w:ind w:firstLine="562"/>
        <w:rPr>
          <w:b/>
          <w:szCs w:val="28"/>
        </w:rPr>
      </w:pPr>
      <w:r>
        <w:rPr>
          <w:b/>
          <w:szCs w:val="28"/>
        </w:rPr>
        <w:t xml:space="preserve">3.5.5 </w:t>
      </w:r>
      <w:r>
        <w:rPr>
          <w:rFonts w:hint="eastAsia"/>
          <w:b/>
          <w:szCs w:val="28"/>
        </w:rPr>
        <w:t>团组织学生会建设及活动情况</w:t>
      </w:r>
      <w:r>
        <w:rPr>
          <w:b/>
          <w:szCs w:val="28"/>
        </w:rPr>
        <w:t xml:space="preserve"> </w:t>
      </w:r>
    </w:p>
    <w:p>
      <w:pPr>
        <w:ind w:firstLine="560" w:firstLineChars="200"/>
        <w:jc w:val="left"/>
        <w:rPr>
          <w:rFonts w:ascii="仿宋_GB2312" w:hAnsi="宋体"/>
          <w:sz w:val="28"/>
          <w:szCs w:val="32"/>
        </w:rPr>
      </w:pPr>
      <w:bookmarkStart w:id="91" w:name="_Toc2583_WPSOffice_Level1"/>
      <w:bookmarkStart w:id="92" w:name="_Toc22547"/>
      <w:bookmarkStart w:id="93" w:name="_Toc22440"/>
      <w:bookmarkStart w:id="94" w:name="_Toc30565"/>
      <w:r>
        <w:rPr>
          <w:rFonts w:hint="eastAsia" w:ascii="仿宋_GB2312" w:hAnsi="宋体"/>
          <w:sz w:val="28"/>
          <w:szCs w:val="32"/>
        </w:rPr>
        <w:t>我校团委、学生会在学校党委的领导下，结合学校的实际情况，本着踏实的作风，立意创新，要求有新突破，树立创新意识，营造良好的育人氛围，组织，教育，引导团员青年，更好的为学生的成长服务，不断促进日常管理的现代化，系统化，民主化，取得的成绩如下：</w:t>
      </w:r>
    </w:p>
    <w:p>
      <w:pPr>
        <w:ind w:firstLine="562" w:firstLineChars="200"/>
        <w:jc w:val="left"/>
        <w:rPr>
          <w:rFonts w:ascii="仿宋_GB2312" w:hAnsi="宋体"/>
          <w:sz w:val="28"/>
          <w:szCs w:val="32"/>
        </w:rPr>
      </w:pPr>
      <w:r>
        <w:rPr>
          <w:rFonts w:ascii="仿宋_GB2312" w:hAnsi="宋体"/>
          <w:b/>
          <w:sz w:val="28"/>
          <w:szCs w:val="32"/>
        </w:rPr>
        <w:t>加强学习教育、提高团员青年的思想政治素质。</w:t>
      </w:r>
      <w:r>
        <w:rPr>
          <w:rFonts w:hint="eastAsia" w:ascii="仿宋_GB2312" w:hAnsi="宋体"/>
          <w:sz w:val="28"/>
          <w:szCs w:val="32"/>
        </w:rPr>
        <w:t>校团委、学生会始终把提高团员青年的思想素质摆在首位，认真组织落实各团支部学习理论知识，同时在学习中将理论知识与具体实践相结合，帮助广大团员青年加深对重点理论知识的理解的理解，达到了用先进的理论和思想教育团员，武装团员的目的。</w:t>
      </w:r>
    </w:p>
    <w:p>
      <w:pPr>
        <w:ind w:firstLine="562" w:firstLineChars="200"/>
        <w:jc w:val="left"/>
        <w:rPr>
          <w:rFonts w:ascii="仿宋_GB2312" w:hAnsi="宋体"/>
          <w:sz w:val="28"/>
          <w:szCs w:val="32"/>
        </w:rPr>
      </w:pPr>
      <w:r>
        <w:rPr>
          <w:rFonts w:ascii="仿宋_GB2312" w:hAnsi="宋体"/>
          <w:b/>
          <w:sz w:val="28"/>
          <w:szCs w:val="32"/>
        </w:rPr>
        <w:t>加强组织建设、完善管理体制。</w:t>
      </w:r>
      <w:r>
        <w:rPr>
          <w:rFonts w:hint="eastAsia" w:ascii="仿宋_GB2312" w:hAnsi="宋体"/>
          <w:sz w:val="28"/>
          <w:szCs w:val="32"/>
        </w:rPr>
        <w:t>学校团委根据本校的实际，在全校范围内继续深入推动各基层团组织实施团支部“活力提升工程”，以提升团支部活力为重点，把工作资源向团支部倾斜，把工作载体向团支部转移，加强学习型、服务型、创新型团支部创建。明确了团支部主要职能，理顺了团支部、班委会的工作关系，规范了团支部的工作内容和活动开展的流程与基本形式。深入推进实施共青团基层组织“三会两制一课”</w:t>
      </w:r>
      <w:r>
        <w:rPr>
          <w:rFonts w:hint="eastAsia"/>
          <w:sz w:val="28"/>
          <w:szCs w:val="32"/>
        </w:rPr>
        <w:t>制度，完成了全校330余名共青团员的教育评议工作，在全校范围内开展“团组织评星定级、团员评星创先、团干部评星争优”活动，全面落实从严治团要求，从严</w:t>
      </w:r>
      <w:r>
        <w:rPr>
          <w:rFonts w:hint="eastAsia" w:ascii="仿宋_GB2312" w:hAnsi="宋体"/>
          <w:sz w:val="28"/>
          <w:szCs w:val="32"/>
        </w:rPr>
        <w:t>管好团组织、团员、团干部，团的基层组织更加充满活力。</w:t>
      </w:r>
    </w:p>
    <w:p>
      <w:pPr>
        <w:ind w:firstLine="562" w:firstLineChars="200"/>
        <w:jc w:val="left"/>
        <w:rPr>
          <w:rFonts w:ascii="仿宋_GB2312" w:hAnsi="宋体"/>
          <w:sz w:val="28"/>
          <w:szCs w:val="32"/>
        </w:rPr>
      </w:pPr>
      <w:r>
        <w:rPr>
          <w:rFonts w:ascii="仿宋_GB2312" w:hAnsi="宋体"/>
          <w:b/>
          <w:sz w:val="28"/>
          <w:szCs w:val="32"/>
        </w:rPr>
        <w:t>学生会建设。</w:t>
      </w:r>
      <w:r>
        <w:rPr>
          <w:rFonts w:hint="eastAsia" w:ascii="仿宋_GB2312" w:hAnsi="宋体"/>
          <w:sz w:val="28"/>
          <w:szCs w:val="32"/>
        </w:rPr>
        <w:t>我校学生会在校党委领导、校团委具体指导下开展工作。下设组织部</w:t>
      </w:r>
      <w:r>
        <w:rPr>
          <w:rFonts w:hint="eastAsia"/>
          <w:sz w:val="28"/>
          <w:szCs w:val="32"/>
        </w:rPr>
        <w:t>、宣传部、文体部、纪律部、学习部、宿管部、心理部、劳卫部、安保部9个部门。2021年11月本着公正、公开、公平的原则，进行了第十三届学生会换届选举工作，选举产生了160名新一届学生会成员，为我校学生会的发展注入</w:t>
      </w:r>
      <w:r>
        <w:rPr>
          <w:rFonts w:hint="eastAsia" w:ascii="仿宋_GB2312" w:hAnsi="宋体"/>
          <w:sz w:val="28"/>
          <w:szCs w:val="32"/>
        </w:rPr>
        <w:t>新的力量。</w:t>
      </w:r>
    </w:p>
    <w:p>
      <w:pPr>
        <w:ind w:firstLine="562" w:firstLineChars="200"/>
        <w:jc w:val="left"/>
        <w:rPr>
          <w:rFonts w:ascii="仿宋_GB2312" w:hAnsi="宋体"/>
          <w:sz w:val="28"/>
          <w:szCs w:val="32"/>
        </w:rPr>
      </w:pPr>
      <w:r>
        <w:rPr>
          <w:rFonts w:ascii="仿宋_GB2312" w:hAnsi="宋体"/>
          <w:b/>
          <w:sz w:val="28"/>
          <w:szCs w:val="32"/>
        </w:rPr>
        <w:t>以活动为载体、充分发挥团员青年的骨干作用。</w:t>
      </w:r>
      <w:r>
        <w:rPr>
          <w:rFonts w:hint="eastAsia" w:ascii="仿宋_GB2312" w:hAnsi="宋体"/>
          <w:sz w:val="28"/>
          <w:szCs w:val="32"/>
        </w:rPr>
        <w:t>开展丰富多彩的活动是团委、学生会开展各项工作的有效载体。根据上级团委的要求，结合我校的实际，开展了学雷锋系列活动、纪念五四运动系列活动、文明礼仪伴我行、 校园之星评选、“告别不文明现象，共建和谐校园”、抗疫防艾知识宣讲等活动，让团员在活动中锻炼了意志，也展示了自己的风采。</w:t>
      </w:r>
    </w:p>
    <w:p>
      <w:pPr>
        <w:ind w:firstLine="560" w:firstLineChars="200"/>
        <w:jc w:val="left"/>
        <w:rPr>
          <w:rFonts w:ascii="仿宋_GB2312" w:hAnsi="宋体"/>
          <w:sz w:val="28"/>
          <w:szCs w:val="32"/>
        </w:rPr>
      </w:pPr>
      <w:r>
        <w:rPr>
          <w:rFonts w:hint="eastAsia" w:ascii="仿宋_GB2312" w:hAnsi="宋体"/>
          <w:sz w:val="28"/>
          <w:szCs w:val="32"/>
        </w:rPr>
        <w:t>在主题团日活动方面，我们紧密结合时政和学校的中心工作开展活动</w:t>
      </w:r>
      <w:r>
        <w:rPr>
          <w:rFonts w:hint="eastAsia"/>
          <w:sz w:val="28"/>
          <w:szCs w:val="32"/>
        </w:rPr>
        <w:t>。3月份开展了“学习雷锋精神，树校园新风”、“保护环境，美化校园”；4月份开展了“清明祭英烈，千秋永留红”；5月开展了“牢记入团誓言”、9月开展了“学习习近平总书记系列</w:t>
      </w:r>
      <w:r>
        <w:rPr>
          <w:rFonts w:hint="eastAsia"/>
          <w:sz w:val="28"/>
          <w:szCs w:val="32"/>
          <w:lang w:val="en-US" w:eastAsia="zh-CN"/>
        </w:rPr>
        <w:t>重要</w:t>
      </w:r>
      <w:bookmarkStart w:id="174" w:name="_GoBack"/>
      <w:bookmarkEnd w:id="174"/>
      <w:r>
        <w:rPr>
          <w:rFonts w:hint="eastAsia"/>
          <w:sz w:val="28"/>
          <w:szCs w:val="32"/>
        </w:rPr>
        <w:t>讲话”、“终结结合流行，自由健康呼吸”；10月份开展了“青春志愿新时代，青春更出彩”、“护航青春成长、礼赞建党百年”等主题团日活动。这些主题团日活动的举办激发了</w:t>
      </w:r>
      <w:r>
        <w:rPr>
          <w:rFonts w:hint="eastAsia" w:ascii="仿宋_GB2312" w:hAnsi="宋体"/>
          <w:sz w:val="28"/>
          <w:szCs w:val="32"/>
        </w:rPr>
        <w:t>团员青年的爱国热情，充分发挥了团员的骨干作用。</w:t>
      </w:r>
    </w:p>
    <w:p>
      <w:pPr>
        <w:pStyle w:val="3"/>
        <w:spacing w:before="156" w:after="156"/>
        <w:ind w:firstLine="562"/>
      </w:pPr>
      <w:bookmarkStart w:id="95" w:name="_Toc88032480"/>
      <w:r>
        <w:t xml:space="preserve">3.6 </w:t>
      </w:r>
      <w:r>
        <w:rPr>
          <w:rFonts w:hint="eastAsia"/>
        </w:rPr>
        <w:t>党建情况</w:t>
      </w:r>
      <w:bookmarkEnd w:id="91"/>
      <w:bookmarkEnd w:id="92"/>
      <w:bookmarkEnd w:id="93"/>
      <w:bookmarkEnd w:id="94"/>
      <w:bookmarkEnd w:id="95"/>
    </w:p>
    <w:p>
      <w:pPr>
        <w:ind w:firstLine="562" w:firstLineChars="200"/>
        <w:jc w:val="left"/>
        <w:rPr>
          <w:rFonts w:ascii="仿宋_GB2312" w:hAnsi="宋体"/>
          <w:sz w:val="28"/>
          <w:szCs w:val="32"/>
        </w:rPr>
      </w:pPr>
      <w:bookmarkStart w:id="96" w:name="_Toc1303"/>
      <w:bookmarkStart w:id="97" w:name="_Toc21814"/>
      <w:bookmarkStart w:id="98" w:name="_Toc25516"/>
      <w:bookmarkStart w:id="99" w:name="_Toc14082_WPSOffice_Level1"/>
      <w:r>
        <w:rPr>
          <w:rFonts w:hint="eastAsia" w:ascii="仿宋_GB2312" w:hAnsi="宋体"/>
          <w:b/>
          <w:sz w:val="28"/>
          <w:szCs w:val="32"/>
        </w:rPr>
        <w:t>健全党建工作管理体制。</w:t>
      </w:r>
      <w:r>
        <w:rPr>
          <w:rFonts w:hint="eastAsia" w:ascii="仿宋_GB2312" w:hAnsi="宋体"/>
          <w:sz w:val="28"/>
          <w:szCs w:val="32"/>
        </w:rPr>
        <w:t>深入贯彻习近平新时代中国特色社会主义思想。严格执行《关于新形势下党内政治生活的若干准则》，继续抓好《关于推进新时代党的建设高质量的若干意见》。修订完善了《坚持和完善党委领导下的校长负责制实施细则》《党委会议事规则》。坚持“三重一大”集体决策机制，健全领导班子议事和决策程序。把党建工作纳入年度工作计划和</w:t>
      </w:r>
      <w:r>
        <w:rPr>
          <w:rFonts w:hint="eastAsia"/>
          <w:sz w:val="28"/>
          <w:szCs w:val="32"/>
        </w:rPr>
        <w:t>年终目标考核，每年进行年中、年终监督检查。印发了全面从严治党、统一战线、宣传思想等工作要点。启动了党建数据平台。开展了党建创新项目研究。坚持党员领导干部讲党课制度。牢牢把握正确舆论导向。积极推进精神文明建设工作。把法治思维和法治方式贯穿办学治校全过程。扎实开展党史学习教育。邀请专家、教授来校作党史专题报告；校宣讲团开展宣讲6次；推出微课100期、推送简报70期。获省大学生讲党史大赛二等奖、市青</w:t>
      </w:r>
      <w:r>
        <w:rPr>
          <w:rFonts w:hint="eastAsia" w:ascii="仿宋_GB2312" w:hAnsi="宋体"/>
          <w:sz w:val="28"/>
          <w:szCs w:val="32"/>
        </w:rPr>
        <w:t>年理论宣讲大赛一等奖、市党史学习教育知识竞赛优秀组织奖。</w:t>
      </w:r>
    </w:p>
    <w:p>
      <w:pPr>
        <w:pStyle w:val="5"/>
        <w:ind w:firstLine="562"/>
        <w:rPr>
          <w:rFonts w:ascii="仿宋_GB2312" w:hAnsi="宋体" w:cs="Times New Roman"/>
          <w:kern w:val="2"/>
          <w:szCs w:val="32"/>
        </w:rPr>
      </w:pPr>
      <w:r>
        <w:rPr>
          <w:rFonts w:hint="eastAsia" w:ascii="仿宋_GB2312" w:hAnsi="宋体" w:cs="Times New Roman"/>
          <w:b/>
          <w:kern w:val="2"/>
          <w:szCs w:val="32"/>
        </w:rPr>
        <w:t>推动德育和思想政治工作。</w:t>
      </w:r>
      <w:r>
        <w:rPr>
          <w:rFonts w:hint="eastAsia" w:ascii="仿宋_GB2312" w:hAnsi="宋体" w:cs="Times New Roman"/>
          <w:kern w:val="2"/>
          <w:szCs w:val="32"/>
        </w:rPr>
        <w:t>校党委牢固树立和认真贯彻“育人为本、德育为先”的工作理念，仅仅围绕立德树人根本任务，把思想价值引领贯穿教育教学全过程，本着人人都是思想政治工作者的思路，建立和完善了党委统一领导、党政齐抓共管、专兼职队伍相结合、教师积极参与、全校紧密配合、学生自我教育的学生思想政治工作领导体制和工作机制，不断强化思想政治理论课建设管理与改革，发挥党校、政教部、网络主阵地作用，开辟了学习专栏，为学生思想政治工作搭建了平台，加强第二课堂，全方位培养学生综合能力素质。</w:t>
      </w:r>
    </w:p>
    <w:p>
      <w:pPr>
        <w:ind w:firstLine="562" w:firstLineChars="200"/>
        <w:jc w:val="left"/>
        <w:rPr>
          <w:sz w:val="28"/>
          <w:szCs w:val="32"/>
        </w:rPr>
      </w:pPr>
      <w:r>
        <w:rPr>
          <w:rFonts w:hint="eastAsia" w:ascii="仿宋_GB2312" w:hAnsi="宋体"/>
          <w:b/>
          <w:sz w:val="28"/>
          <w:szCs w:val="32"/>
        </w:rPr>
        <w:t>加强党组织建设和发挥基层党组织的政治核心作用。</w:t>
      </w:r>
      <w:r>
        <w:rPr>
          <w:rFonts w:hint="eastAsia" w:ascii="仿宋_GB2312" w:hAnsi="宋体"/>
          <w:sz w:val="28"/>
          <w:szCs w:val="32"/>
        </w:rPr>
        <w:t>组织开展了基层党组织书记抓党建逐级述职评议考核工作和党内表彰评比工作，充分发挥基层党组织的政治核心作用，突出政治功能，提升组织力，着力促进全校基层党组织全面过硬、全面进步。组织开展了 “中共南阳医专委员会礼</w:t>
      </w:r>
      <w:r>
        <w:rPr>
          <w:rFonts w:hint="eastAsia"/>
          <w:sz w:val="28"/>
          <w:szCs w:val="32"/>
        </w:rPr>
        <w:t xml:space="preserve">敬建党百年党建优秀成果展”。在“我为群众办实事”开展过程中，广大党员干部在消费助农、参与创卫巩固提升等工作中同样争做表率。按照“双高双带双强”的工作思路，扎实开展“两化一创”强基引领活动，全力推进党支部标准化规范化建设。完成了全校27个基层党组织和33个党支部换届选举。七一前夕，共有5名个人、3个基层党组织获得省、市级以上荣誉表彰，其中，全市优秀党员张莹莹先进事迹被南阳日报报道。临床系教师党支部被授予首批河南省高校“省级样板党支部”，离退休职工第二党支部被评为河南省首批“省级示范离退休干部党支部”。走访慰问党员 68人次。 </w:t>
      </w:r>
    </w:p>
    <w:p>
      <w:pPr>
        <w:widowControl/>
        <w:spacing w:line="240" w:lineRule="auto"/>
        <w:jc w:val="left"/>
        <w:rPr>
          <w:rFonts w:cs="仿宋"/>
          <w:kern w:val="0"/>
          <w:sz w:val="28"/>
          <w:szCs w:val="28"/>
        </w:rPr>
      </w:pPr>
      <w:r>
        <w:br w:type="page"/>
      </w:r>
    </w:p>
    <w:p>
      <w:pPr>
        <w:pStyle w:val="2"/>
        <w:rPr>
          <w:szCs w:val="32"/>
        </w:rPr>
      </w:pPr>
      <w:bookmarkStart w:id="100" w:name="_Toc88032481"/>
      <w:r>
        <w:rPr>
          <w:rFonts w:hint="eastAsia"/>
          <w:szCs w:val="32"/>
        </w:rPr>
        <w:t>4 校企合作</w:t>
      </w:r>
      <w:bookmarkEnd w:id="96"/>
      <w:bookmarkEnd w:id="97"/>
      <w:bookmarkEnd w:id="98"/>
      <w:bookmarkEnd w:id="99"/>
      <w:bookmarkEnd w:id="100"/>
    </w:p>
    <w:p>
      <w:pPr>
        <w:pStyle w:val="3"/>
        <w:spacing w:before="156" w:after="156"/>
        <w:ind w:firstLine="562"/>
      </w:pPr>
      <w:bookmarkStart w:id="101" w:name="_Toc31291"/>
      <w:bookmarkStart w:id="102" w:name="_Toc21459"/>
      <w:bookmarkStart w:id="103" w:name="_Toc3900_WPSOffice_Level1"/>
      <w:bookmarkStart w:id="104" w:name="_Toc88032482"/>
      <w:bookmarkStart w:id="105" w:name="_Toc26682"/>
      <w:bookmarkStart w:id="106" w:name="_Toc30026"/>
      <w:bookmarkStart w:id="107" w:name="_Toc21125"/>
      <w:bookmarkStart w:id="108" w:name="_Toc28241"/>
      <w:r>
        <w:rPr>
          <w:rFonts w:hint="eastAsia"/>
        </w:rPr>
        <w:t>4.1 校企合作开展情况及效果</w:t>
      </w:r>
      <w:bookmarkEnd w:id="101"/>
      <w:bookmarkEnd w:id="102"/>
      <w:bookmarkEnd w:id="103"/>
      <w:bookmarkEnd w:id="104"/>
      <w:bookmarkEnd w:id="105"/>
    </w:p>
    <w:p>
      <w:pPr>
        <w:pStyle w:val="42"/>
        <w:ind w:firstLine="562"/>
        <w:rPr>
          <w:b/>
        </w:rPr>
      </w:pPr>
      <w:bookmarkStart w:id="109" w:name="_Toc61167985"/>
      <w:bookmarkStart w:id="110" w:name="_Toc22303"/>
      <w:bookmarkStart w:id="111" w:name="_Toc16868_WPSOffice_Level1"/>
      <w:bookmarkStart w:id="112" w:name="_Toc4065"/>
      <w:bookmarkStart w:id="113" w:name="_Toc8573"/>
      <w:r>
        <w:rPr>
          <w:rFonts w:hint="eastAsia"/>
          <w:b/>
        </w:rPr>
        <w:t>（1）产教融合，构建人才培养新模式</w:t>
      </w:r>
      <w:bookmarkEnd w:id="109"/>
    </w:p>
    <w:p>
      <w:pPr>
        <w:pStyle w:val="42"/>
        <w:ind w:firstLine="560"/>
      </w:pPr>
      <w:r>
        <w:rPr>
          <w:rFonts w:hint="eastAsia"/>
        </w:rPr>
        <w:t>学校各个专业通过产教融合，校企合作构建了“工学结合、校院一体、医教协同”的人才培养模式，形成了融“教、学、做”为一体的课程体系，由此各个专业都具有了特色鲜明的校企合作特点。护理系以深化校企合作，创新产教融合形式为依托开发护理虚拟仿真实训软件，为提高学生的实践动手能力创造了良好的条件。</w:t>
      </w:r>
    </w:p>
    <w:p>
      <w:pPr>
        <w:pStyle w:val="42"/>
        <w:ind w:firstLine="562"/>
      </w:pPr>
      <w:bookmarkStart w:id="114" w:name="_Toc61167987"/>
      <w:r>
        <w:rPr>
          <w:rFonts w:hint="eastAsia"/>
          <w:b/>
        </w:rPr>
        <w:t>（2）共建共享，打造校企命运共同体</w:t>
      </w:r>
      <w:bookmarkEnd w:id="114"/>
    </w:p>
    <w:p>
      <w:pPr>
        <w:pStyle w:val="42"/>
        <w:ind w:firstLine="560"/>
        <w:rPr>
          <w:szCs w:val="30"/>
        </w:rPr>
      </w:pPr>
      <w:r>
        <w:rPr>
          <w:rFonts w:hint="eastAsia"/>
        </w:rPr>
        <w:t>学校牵头组建具有仲景文化特色的产教融合专业联盟</w:t>
      </w:r>
      <w:r>
        <w:rPr>
          <w:rFonts w:hint="eastAsia"/>
          <w:szCs w:val="30"/>
        </w:rPr>
        <w:t>，引领各专业、各企业集团化、联盟式发展，实现资源共建共享，</w:t>
      </w:r>
      <w:r>
        <w:rPr>
          <w:rFonts w:hint="eastAsia"/>
        </w:rPr>
        <w:t>打造校企命运共同体</w:t>
      </w:r>
      <w:r>
        <w:rPr>
          <w:rFonts w:hint="eastAsia"/>
          <w:szCs w:val="30"/>
        </w:rPr>
        <w:t>。从医药企业实际岗位需求出发，结合企业真实生产的项目、技术、工艺、规范、标准等，重构人才培养的课程体系和实训实践体系等，真正培养企业所急需的人才。</w:t>
      </w:r>
    </w:p>
    <w:p>
      <w:pPr>
        <w:pStyle w:val="42"/>
        <w:ind w:firstLine="562"/>
      </w:pPr>
      <w:bookmarkStart w:id="115" w:name="_Toc61167989"/>
      <w:r>
        <w:rPr>
          <w:rFonts w:hint="eastAsia"/>
          <w:b/>
        </w:rPr>
        <w:t>（3）服务地方，促进行业经济发展</w:t>
      </w:r>
      <w:bookmarkEnd w:id="115"/>
    </w:p>
    <w:p>
      <w:pPr>
        <w:pStyle w:val="42"/>
        <w:ind w:firstLine="560"/>
        <w:rPr>
          <w:szCs w:val="30"/>
        </w:rPr>
      </w:pPr>
      <w:r>
        <w:rPr>
          <w:rFonts w:hint="eastAsia"/>
          <w:szCs w:val="30"/>
        </w:rPr>
        <w:t>以科研中心及校内科研机构为平台，积极参与地方产业科技研发与服务，通过校企的合作，促进本地经济发展。联合中国艾草产业协会、中国中药协会等单位进行艾叶及艾绒制品质量标准化研究，并打造“宛艾”品牌，对南阳艾草的品质、化学成分、有效物质含量等做了系统的研究，明确宛艾品牌化的诸多技术问题，验证了宛艾不仅化学成分种类丰富且药典要求的主要有效成分含量较高，同时具有较高的安全性，为宛艾地理标志产品申报和道地药材基地建设提供了科学依据，促进了行业和本地经济发展。</w:t>
      </w:r>
    </w:p>
    <w:p>
      <w:pPr>
        <w:pStyle w:val="3"/>
        <w:spacing w:before="156" w:after="156"/>
        <w:ind w:firstLine="562"/>
      </w:pPr>
      <w:bookmarkStart w:id="116" w:name="_Toc88032483"/>
      <w:r>
        <w:rPr>
          <w:rFonts w:hint="eastAsia"/>
        </w:rPr>
        <w:t>4.2 学生实习情况</w:t>
      </w:r>
      <w:bookmarkEnd w:id="116"/>
    </w:p>
    <w:p>
      <w:pPr>
        <w:snapToGrid w:val="0"/>
        <w:ind w:firstLine="560" w:firstLineChars="200"/>
        <w:jc w:val="left"/>
        <w:rPr>
          <w:szCs w:val="28"/>
        </w:rPr>
      </w:pPr>
      <w:r>
        <w:rPr>
          <w:rFonts w:hint="eastAsia" w:cs="仿宋"/>
          <w:sz w:val="28"/>
          <w:szCs w:val="28"/>
        </w:rPr>
        <w:t>南阳中医药学校2019级实习人数约1100余人；专业有</w:t>
      </w:r>
      <w:r>
        <w:rPr>
          <w:rFonts w:hint="eastAsia"/>
          <w:sz w:val="28"/>
          <w:szCs w:val="28"/>
        </w:rPr>
        <w:t>护理、药剂、中医康复与保健技术、助产4个专业</w:t>
      </w:r>
      <w:r>
        <w:rPr>
          <w:rFonts w:hint="eastAsia" w:cs="仿宋"/>
          <w:sz w:val="28"/>
          <w:szCs w:val="28"/>
        </w:rPr>
        <w:t>；实习基地32个，约提供实习岗位1636个，确保了2021年实习工作的正常开展。</w:t>
      </w:r>
    </w:p>
    <w:p>
      <w:pPr>
        <w:pStyle w:val="42"/>
        <w:ind w:firstLine="562"/>
        <w:rPr>
          <w:b/>
          <w:szCs w:val="28"/>
        </w:rPr>
      </w:pPr>
      <w:r>
        <w:rPr>
          <w:rFonts w:hint="eastAsia"/>
          <w:b/>
          <w:szCs w:val="28"/>
        </w:rPr>
        <w:t>4.2.1实习基地情况</w:t>
      </w:r>
    </w:p>
    <w:p>
      <w:pPr>
        <w:ind w:firstLine="560" w:firstLineChars="200"/>
        <w:jc w:val="left"/>
        <w:rPr>
          <w:rFonts w:cs="仿宋"/>
          <w:sz w:val="28"/>
          <w:szCs w:val="28"/>
        </w:rPr>
      </w:pPr>
      <w:r>
        <w:rPr>
          <w:rFonts w:hint="eastAsia" w:cs="仿宋"/>
          <w:sz w:val="28"/>
          <w:szCs w:val="28"/>
        </w:rPr>
        <w:t>2021年供南阳中医药学校学生选择的实习基地32个，分部在南阳地区的十三个县市的人民医院和中医院、南阳市城区医院，确保生源地最少有一所实习基地为实习生选择，为学生们的实习工作提供最大的方便。这32个实习基地涵盖了2021年的所有专业，并且提供的岗位也大于实习生总人数，这样对学生多以个选择的机会。各实习基地相关部门负责学生日常实习管理工作。根据实习大纲的安排分配实习科室，确保实习生按照规定完成实习科室的轮转，各实习基地根据各自的工作安排，每周进行不定时的查岗，确保实习生在岗，并提供充分的学习时间。对实习学生的日常培训和考核，也是比较严格，各实习基地根据各自的工作安排，定期给实习学生组织培训，对实习情况进行评比和讲评。对成绩差的或是不认真实习的学生，各实习基地及时与实习科联系，进行批评教育。</w:t>
      </w:r>
    </w:p>
    <w:p>
      <w:pPr>
        <w:pStyle w:val="42"/>
        <w:ind w:firstLine="562"/>
        <w:rPr>
          <w:b/>
          <w:szCs w:val="28"/>
        </w:rPr>
      </w:pPr>
      <w:r>
        <w:rPr>
          <w:rFonts w:hint="eastAsia"/>
          <w:b/>
          <w:szCs w:val="28"/>
        </w:rPr>
        <w:t>4.2.2实习管理</w:t>
      </w:r>
    </w:p>
    <w:p>
      <w:pPr>
        <w:ind w:firstLine="560" w:firstLineChars="200"/>
        <w:rPr>
          <w:szCs w:val="28"/>
        </w:rPr>
      </w:pPr>
      <w:r>
        <w:rPr>
          <w:rFonts w:hint="eastAsia"/>
          <w:sz w:val="28"/>
          <w:szCs w:val="28"/>
        </w:rPr>
        <w:t>实习科对接实习基地的工作，及时处理实习基地学生管理方面的棘手问题。督促实习基地更有效的完成实习任务。学校试行“实习科—实习基地—专业科—学生”为循环的管理体系，实习科按照实习管理规定和实习大纲，要求各实习基地严格执行，每年组织两次集中检查，抽排各专业科的老师，根据工作要求到实习基地进行实地检查和调研，了解学生的生活、工作情况。发现有问题的学生，联合相关系部落实解决。在日常的工作中，各专业科根据各自的工作安排，也不定时的电话查岗。同时个专业科也根据自己的出差地点，到就近的实习基地进行查岗和关心学生的生活。实习基地按照学校的实习大纲分配实习工作，并根据各实习基地的管理规定，对实习生出勤情况进行有效的管理，确保实习生安心在岗实习，确保实习工作圆满落实。</w:t>
      </w:r>
    </w:p>
    <w:p>
      <w:pPr>
        <w:pStyle w:val="3"/>
        <w:spacing w:before="156" w:after="156"/>
        <w:ind w:firstLine="562"/>
      </w:pPr>
      <w:bookmarkStart w:id="117" w:name="_Toc88032484"/>
      <w:r>
        <w:rPr>
          <w:rFonts w:hint="eastAsia"/>
        </w:rPr>
        <w:t>4.3 集团化办学情况</w:t>
      </w:r>
      <w:bookmarkEnd w:id="110"/>
      <w:bookmarkEnd w:id="111"/>
      <w:bookmarkEnd w:id="112"/>
      <w:bookmarkEnd w:id="113"/>
      <w:bookmarkEnd w:id="117"/>
    </w:p>
    <w:p>
      <w:pPr>
        <w:pStyle w:val="5"/>
        <w:ind w:firstLine="560"/>
      </w:pPr>
      <w:bookmarkStart w:id="118" w:name="_Toc1660_WPSOffice_Level1"/>
      <w:r>
        <w:rPr>
          <w:rFonts w:hint="eastAsia"/>
        </w:rPr>
        <w:t>南阳中医药学校依托南阳医专代管的优势，在教育理念、学校管理、教育科研、信息技术、教育评价、校产管理等方面统一管理，实现管理、师资、设备等优质教育资源的共享，进一步提升了学校的教学质量和社会声誉。</w:t>
      </w:r>
    </w:p>
    <w:p>
      <w:pPr>
        <w:pStyle w:val="5"/>
        <w:ind w:firstLine="560"/>
        <w:jc w:val="center"/>
        <w:rPr>
          <w:b/>
        </w:rPr>
      </w:pPr>
      <w:r>
        <w:rPr>
          <w:rFonts w:hint="eastAsia"/>
        </w:rPr>
        <w:br w:type="page"/>
      </w:r>
      <w:bookmarkStart w:id="119" w:name="_Toc88032485"/>
      <w:r>
        <w:rPr>
          <w:rStyle w:val="31"/>
          <w:rFonts w:hint="eastAsia"/>
        </w:rPr>
        <w:t>5 社会贡献</w:t>
      </w:r>
      <w:bookmarkEnd w:id="106"/>
      <w:bookmarkEnd w:id="107"/>
      <w:bookmarkEnd w:id="108"/>
      <w:bookmarkEnd w:id="118"/>
      <w:bookmarkEnd w:id="119"/>
    </w:p>
    <w:p>
      <w:pPr>
        <w:pStyle w:val="3"/>
        <w:spacing w:before="156" w:after="156"/>
        <w:ind w:firstLine="562"/>
      </w:pPr>
      <w:bookmarkStart w:id="120" w:name="_Toc88032486"/>
      <w:bookmarkStart w:id="121" w:name="_Toc11115"/>
      <w:bookmarkStart w:id="122" w:name="_Toc4650"/>
      <w:bookmarkStart w:id="123" w:name="_Toc29249"/>
      <w:bookmarkStart w:id="124" w:name="_Toc1386_WPSOffice_Level1"/>
      <w:r>
        <w:rPr>
          <w:rFonts w:hint="eastAsia"/>
        </w:rPr>
        <w:t>5.1 技术技能人才培养</w:t>
      </w:r>
      <w:bookmarkEnd w:id="120"/>
      <w:bookmarkEnd w:id="121"/>
      <w:bookmarkEnd w:id="122"/>
      <w:bookmarkEnd w:id="123"/>
      <w:bookmarkEnd w:id="124"/>
    </w:p>
    <w:p>
      <w:pPr>
        <w:pStyle w:val="42"/>
        <w:ind w:firstLine="560"/>
        <w:rPr>
          <w:rFonts w:ascii="仿宋" w:hAnsi="仿宋" w:cs="仿宋_GB2312"/>
          <w:kern w:val="0"/>
          <w:szCs w:val="28"/>
        </w:rPr>
      </w:pPr>
      <w:r>
        <w:rPr>
          <w:rFonts w:hint="eastAsia" w:ascii="仿宋" w:hAnsi="仿宋" w:cs="仿宋_GB2312"/>
          <w:kern w:val="0"/>
          <w:szCs w:val="28"/>
        </w:rPr>
        <w:t>南阳中医药学校</w:t>
      </w:r>
      <w:r>
        <w:rPr>
          <w:rFonts w:ascii="仿宋" w:hAnsi="仿宋" w:cs="仿宋_GB2312"/>
          <w:kern w:val="0"/>
          <w:szCs w:val="28"/>
        </w:rPr>
        <w:t>20</w:t>
      </w:r>
      <w:r>
        <w:rPr>
          <w:rFonts w:hint="eastAsia" w:ascii="仿宋" w:hAnsi="仿宋" w:cs="仿宋_GB2312"/>
          <w:kern w:val="0"/>
          <w:szCs w:val="28"/>
        </w:rPr>
        <w:t>21年毕业生总数为1090人，通过升学实现就业902人，占比82.75%，实际就业人数126人，总体就业率达94.31%。通过对32家用人单位进行满意度问卷调查，共回收有效问卷26份，对调查结果进行统计显示，用人单位对我校2021年毕业生的总体满意度为88.47</w:t>
      </w:r>
      <w:r>
        <w:rPr>
          <w:rFonts w:ascii="仿宋" w:hAnsi="仿宋" w:cs="仿宋_GB2312"/>
          <w:kern w:val="0"/>
          <w:szCs w:val="28"/>
        </w:rPr>
        <w:t>%</w:t>
      </w:r>
      <w:r>
        <w:rPr>
          <w:rFonts w:hint="eastAsia" w:ascii="仿宋" w:hAnsi="仿宋" w:cs="仿宋_GB2312"/>
          <w:kern w:val="0"/>
          <w:szCs w:val="28"/>
        </w:rPr>
        <w:t>，其中14家单位表示对我校学生很满意，占比53.85%，9家单位表示对我校学生满意，占比34.62</w:t>
      </w:r>
      <w:r>
        <w:rPr>
          <w:rFonts w:ascii="仿宋" w:hAnsi="仿宋" w:cs="仿宋_GB2312"/>
          <w:kern w:val="0"/>
          <w:szCs w:val="28"/>
        </w:rPr>
        <w:t xml:space="preserve">% </w:t>
      </w:r>
      <w:r>
        <w:rPr>
          <w:rFonts w:hint="eastAsia" w:ascii="仿宋" w:hAnsi="仿宋" w:cs="仿宋_GB2312"/>
          <w:kern w:val="0"/>
          <w:szCs w:val="28"/>
        </w:rPr>
        <w:t>。</w:t>
      </w:r>
    </w:p>
    <w:p>
      <w:pPr>
        <w:spacing w:line="240" w:lineRule="auto"/>
      </w:pPr>
      <w:r>
        <w:drawing>
          <wp:inline distT="0" distB="0" distL="0" distR="0">
            <wp:extent cx="4572000" cy="2743200"/>
            <wp:effectExtent l="4445" t="4445" r="14605" b="14605"/>
            <wp:docPr id="4" name="图片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33"/>
      </w:pPr>
      <w:r>
        <w:rPr>
          <w:rFonts w:hint="eastAsia"/>
        </w:rPr>
        <w:t>图5-1</w:t>
      </w:r>
      <w:r>
        <w:t xml:space="preserve"> </w:t>
      </w:r>
      <w:r>
        <w:rPr>
          <w:rFonts w:hint="eastAsia"/>
        </w:rPr>
        <w:t>用人单位对我校</w:t>
      </w:r>
      <w:r>
        <w:t xml:space="preserve">2020 </w:t>
      </w:r>
      <w:r>
        <w:rPr>
          <w:rFonts w:hint="eastAsia"/>
        </w:rPr>
        <w:t>届毕业生的总体满意度</w:t>
      </w:r>
    </w:p>
    <w:p>
      <w:pPr>
        <w:pStyle w:val="3"/>
        <w:spacing w:before="156" w:after="156"/>
        <w:ind w:firstLine="562"/>
      </w:pPr>
      <w:bookmarkStart w:id="125" w:name="_Toc88032487"/>
      <w:r>
        <w:rPr>
          <w:rFonts w:hint="eastAsia"/>
        </w:rPr>
        <w:t>5.2 社会服务</w:t>
      </w:r>
      <w:bookmarkEnd w:id="125"/>
    </w:p>
    <w:p>
      <w:pPr>
        <w:pStyle w:val="42"/>
        <w:ind w:firstLine="562"/>
        <w:rPr>
          <w:b/>
          <w:szCs w:val="28"/>
        </w:rPr>
      </w:pPr>
      <w:bookmarkStart w:id="126" w:name="_Toc502927377"/>
      <w:bookmarkStart w:id="127" w:name="_Toc25785"/>
      <w:bookmarkStart w:id="128" w:name="_Toc19337"/>
      <w:bookmarkStart w:id="129" w:name="_Toc502927177"/>
      <w:bookmarkStart w:id="130" w:name="_Toc469648198"/>
      <w:bookmarkStart w:id="131" w:name="_Toc21354_WPSOffice_Level1"/>
      <w:bookmarkStart w:id="132" w:name="_Toc23520"/>
      <w:bookmarkStart w:id="133" w:name="_Toc326"/>
      <w:bookmarkStart w:id="134" w:name="_Toc3260"/>
      <w:r>
        <w:rPr>
          <w:rFonts w:hint="eastAsia"/>
          <w:b/>
          <w:szCs w:val="28"/>
        </w:rPr>
        <w:t>5.2.1技术服务</w:t>
      </w:r>
    </w:p>
    <w:bookmarkEnd w:id="126"/>
    <w:bookmarkEnd w:id="127"/>
    <w:bookmarkEnd w:id="128"/>
    <w:bookmarkEnd w:id="129"/>
    <w:bookmarkEnd w:id="130"/>
    <w:p>
      <w:pPr>
        <w:ind w:firstLine="480"/>
        <w:jc w:val="left"/>
        <w:rPr>
          <w:rFonts w:cs="仿宋_GB2312"/>
          <w:snapToGrid w:val="0"/>
          <w:sz w:val="28"/>
          <w:szCs w:val="28"/>
        </w:rPr>
      </w:pPr>
      <w:r>
        <w:rPr>
          <w:rFonts w:hint="eastAsia" w:cs="仿宋_GB2312"/>
          <w:snapToGrid w:val="0"/>
          <w:sz w:val="28"/>
          <w:szCs w:val="28"/>
        </w:rPr>
        <w:t xml:space="preserve">今年学校教师在经历河南新冠肺炎疫情及灾情影响下，仍然坚持课题申报热情，获各级各类纵向课题立项85项，其中省级项目5项。教育部教科规划结项1项。获市厅级成果奖42项。 </w:t>
      </w:r>
    </w:p>
    <w:p>
      <w:pPr>
        <w:widowControl/>
        <w:ind w:firstLine="565" w:firstLineChars="202"/>
        <w:jc w:val="left"/>
        <w:textAlignment w:val="baseline"/>
        <w:rPr>
          <w:snapToGrid w:val="0"/>
        </w:rPr>
      </w:pPr>
      <w:r>
        <w:rPr>
          <w:rFonts w:hint="eastAsia" w:cs="仿宋_GB2312"/>
          <w:kern w:val="0"/>
          <w:sz w:val="28"/>
          <w:szCs w:val="28"/>
        </w:rPr>
        <w:t>2021年</w:t>
      </w:r>
      <w:r>
        <w:rPr>
          <w:rFonts w:cs="仿宋_GB2312"/>
          <w:kern w:val="0"/>
          <w:sz w:val="28"/>
          <w:szCs w:val="28"/>
        </w:rPr>
        <w:t>5</w:t>
      </w:r>
      <w:r>
        <w:rPr>
          <w:rFonts w:hint="eastAsia" w:cs="仿宋_GB2312"/>
          <w:kern w:val="0"/>
          <w:sz w:val="28"/>
          <w:szCs w:val="28"/>
        </w:rPr>
        <w:t>月</w:t>
      </w:r>
      <w:r>
        <w:rPr>
          <w:rFonts w:cs="仿宋_GB2312"/>
          <w:kern w:val="0"/>
          <w:sz w:val="28"/>
          <w:szCs w:val="28"/>
        </w:rPr>
        <w:t>15</w:t>
      </w:r>
      <w:r>
        <w:rPr>
          <w:rFonts w:hint="eastAsia" w:cs="仿宋_GB2312"/>
          <w:kern w:val="0"/>
          <w:sz w:val="28"/>
          <w:szCs w:val="28"/>
        </w:rPr>
        <w:t>日，国内首家“传染病数字影像科技馆”及“李宏军专家工作室”揭牌仪式在人体科学生命科学馆举行。李宏军专家工作室的成立，将不断加强我校科研技术创新能力，为医疗事业做出应有的贡献。2021年</w:t>
      </w:r>
      <w:r>
        <w:rPr>
          <w:rFonts w:cs="仿宋_GB2312"/>
          <w:kern w:val="0"/>
          <w:sz w:val="28"/>
          <w:szCs w:val="28"/>
        </w:rPr>
        <w:t>5</w:t>
      </w:r>
      <w:r>
        <w:rPr>
          <w:rFonts w:hint="eastAsia" w:cs="仿宋_GB2312"/>
          <w:kern w:val="0"/>
          <w:sz w:val="28"/>
          <w:szCs w:val="28"/>
        </w:rPr>
        <w:t>月</w:t>
      </w:r>
      <w:r>
        <w:rPr>
          <w:rFonts w:cs="仿宋_GB2312"/>
          <w:kern w:val="0"/>
          <w:sz w:val="28"/>
          <w:szCs w:val="28"/>
        </w:rPr>
        <w:t>2</w:t>
      </w:r>
      <w:r>
        <w:rPr>
          <w:rFonts w:hint="eastAsia" w:cs="仿宋_GB2312"/>
          <w:kern w:val="0"/>
          <w:sz w:val="28"/>
          <w:szCs w:val="28"/>
        </w:rPr>
        <w:t>2日，由袁国卿、孙振国教授亲自带领师生深入到社旗县金方源药业、南召县联源生物科技公司，开展“学党史、办实事”科技志愿服务活动。2021年6月25日-26日，</w:t>
      </w:r>
      <w:r>
        <w:rPr>
          <w:rFonts w:hint="eastAsia" w:cs="仿宋_GB2312"/>
          <w:sz w:val="28"/>
          <w:szCs w:val="28"/>
        </w:rPr>
        <w:t>由袁国卿教授及学校附院中医、中药、护理、针灸康复专家服务团队进行系列科技服务。到唐河县桐寨铺镇等开展“学党史、办实事”庆“七一”康养培训活动，对有康养需求的村镇老人、服务人员总计40人进行了中医保健、艾灸、刮痧等技术指导与培训，现场培训、教学、指导活动热烈，老人及服务人员悉心学习，并对技术团队专家、老师的帮助表示感谢和敬意，收到媒体和社会广泛赞誉。</w:t>
      </w:r>
      <w:r>
        <w:rPr>
          <w:rFonts w:hint="eastAsia" w:cs="仿宋_GB2312"/>
          <w:kern w:val="0"/>
          <w:sz w:val="28"/>
          <w:szCs w:val="28"/>
        </w:rPr>
        <w:t>2021年</w:t>
      </w:r>
      <w:r>
        <w:rPr>
          <w:rFonts w:cs="仿宋_GB2312"/>
          <w:kern w:val="0"/>
          <w:sz w:val="28"/>
          <w:szCs w:val="28"/>
        </w:rPr>
        <w:t>5</w:t>
      </w:r>
      <w:r>
        <w:rPr>
          <w:rFonts w:hint="eastAsia" w:cs="仿宋_GB2312"/>
          <w:kern w:val="0"/>
          <w:sz w:val="28"/>
          <w:szCs w:val="28"/>
        </w:rPr>
        <w:t>月</w:t>
      </w:r>
      <w:r>
        <w:rPr>
          <w:rFonts w:cs="仿宋_GB2312"/>
          <w:kern w:val="0"/>
          <w:sz w:val="28"/>
          <w:szCs w:val="28"/>
        </w:rPr>
        <w:t>28</w:t>
      </w:r>
      <w:r>
        <w:rPr>
          <w:rFonts w:hint="eastAsia" w:cs="仿宋_GB2312"/>
          <w:kern w:val="0"/>
          <w:sz w:val="28"/>
          <w:szCs w:val="28"/>
        </w:rPr>
        <w:t>日，吕云玲、宗山林带领护理专业教师团队走进卧龙区汉画社区，传授促进睡眠的中医护理技术——耳穴压豆。并与</w:t>
      </w:r>
      <w:r>
        <w:rPr>
          <w:rFonts w:cs="仿宋_GB2312"/>
          <w:kern w:val="0"/>
          <w:sz w:val="28"/>
          <w:szCs w:val="28"/>
        </w:rPr>
        <w:t>卧龙区卧龙岗街道汉画社区进一步洽谈，本着“优势互补、资源共享、共同服务”的原则</w:t>
      </w:r>
      <w:r>
        <w:rPr>
          <w:rFonts w:hint="eastAsia" w:cs="仿宋_GB2312"/>
          <w:kern w:val="0"/>
          <w:sz w:val="28"/>
          <w:szCs w:val="28"/>
        </w:rPr>
        <w:t>为</w:t>
      </w:r>
      <w:r>
        <w:rPr>
          <w:rFonts w:cs="仿宋_GB2312"/>
          <w:kern w:val="0"/>
          <w:sz w:val="28"/>
          <w:szCs w:val="28"/>
        </w:rPr>
        <w:t>社区提供疾病预防教育、急救技术培训、中医护理技术培训、饮食健康指导、母婴保健培训、健康养生服务、互联网+教育等丰富多彩的</w:t>
      </w:r>
      <w:r>
        <w:rPr>
          <w:rFonts w:hint="eastAsia" w:cs="仿宋_GB2312"/>
          <w:kern w:val="0"/>
          <w:sz w:val="28"/>
          <w:szCs w:val="28"/>
        </w:rPr>
        <w:t>技术</w:t>
      </w:r>
      <w:r>
        <w:rPr>
          <w:rFonts w:cs="仿宋_GB2312"/>
          <w:kern w:val="0"/>
          <w:sz w:val="28"/>
          <w:szCs w:val="28"/>
        </w:rPr>
        <w:t>服务内容</w:t>
      </w:r>
      <w:r>
        <w:rPr>
          <w:rFonts w:hint="eastAsia" w:cs="仿宋_GB2312"/>
          <w:kern w:val="0"/>
          <w:sz w:val="28"/>
          <w:szCs w:val="28"/>
        </w:rPr>
        <w:t>。9月12日，张明丽、肖跃红、刘鹏带领师生党员前往高新区敬老院开展“我为群众办实事 中医服务进基层”活动。为老人们进行诊脉、测血压等健康体检项目，开展了推拿、针灸、耳穴贴压等中医特色疗法，对夏、秋季常见病、多发病进行健康科普。</w:t>
      </w:r>
    </w:p>
    <w:p>
      <w:pPr>
        <w:pStyle w:val="42"/>
        <w:ind w:firstLine="562"/>
        <w:rPr>
          <w:b/>
          <w:szCs w:val="28"/>
        </w:rPr>
      </w:pPr>
      <w:r>
        <w:rPr>
          <w:rFonts w:hint="eastAsia"/>
          <w:b/>
          <w:szCs w:val="28"/>
        </w:rPr>
        <w:t>5.2.2职业培训</w:t>
      </w:r>
    </w:p>
    <w:p>
      <w:pPr>
        <w:widowControl/>
        <w:ind w:firstLine="548" w:firstLineChars="196"/>
        <w:jc w:val="left"/>
        <w:rPr>
          <w:rFonts w:cs="仿宋_GB2312"/>
          <w:kern w:val="0"/>
          <w:sz w:val="28"/>
          <w:szCs w:val="28"/>
        </w:rPr>
      </w:pPr>
      <w:r>
        <w:rPr>
          <w:rFonts w:hint="eastAsia" w:cs="仿宋_GB2312"/>
          <w:kern w:val="0"/>
          <w:sz w:val="28"/>
          <w:szCs w:val="28"/>
        </w:rPr>
        <w:t>我校在推进学历教育的同时，充分发挥医学教育资源的优势，面向社会开展形式多样、不同层次的医学辅导培训及职业培训，实现成人高等教育、职业教育融合发展，为地方经济发展提供了有力的人才保障和智力支持。2020年非学历培训40个项目，培训时间1453学时，非学历培训到账经费228万元，公益性培训服务138学时；2021年非学历培训66个项目，培训时间1574学时，非学历培训到账经费280.78万元，公益性培训服务1158学时。</w:t>
      </w:r>
    </w:p>
    <w:p>
      <w:pPr>
        <w:widowControl/>
        <w:ind w:firstLine="551" w:firstLineChars="196"/>
        <w:jc w:val="left"/>
        <w:rPr>
          <w:rFonts w:cs="仿宋_GB2312"/>
          <w:kern w:val="0"/>
          <w:sz w:val="28"/>
          <w:szCs w:val="28"/>
        </w:rPr>
      </w:pPr>
      <w:r>
        <w:rPr>
          <w:rFonts w:hint="eastAsia" w:cs="仿宋_GB2312"/>
          <w:b/>
          <w:kern w:val="0"/>
          <w:sz w:val="28"/>
          <w:szCs w:val="28"/>
        </w:rPr>
        <w:t>开展全科医生转岗培训。</w:t>
      </w:r>
      <w:r>
        <w:rPr>
          <w:rFonts w:hint="eastAsia" w:cs="仿宋_GB2312"/>
          <w:kern w:val="0"/>
          <w:sz w:val="28"/>
          <w:szCs w:val="28"/>
        </w:rPr>
        <w:t>2020下半年和2021上半年共培训来自南阳、洛阳、信阳、三门峡、邓州、固始地区的乡镇医生共2期627名全科医学员。</w:t>
      </w:r>
    </w:p>
    <w:p>
      <w:pPr>
        <w:ind w:firstLine="562" w:firstLineChars="200"/>
        <w:jc w:val="left"/>
        <w:rPr>
          <w:rFonts w:cs="仿宋_GB2312"/>
          <w:kern w:val="0"/>
          <w:sz w:val="28"/>
          <w:szCs w:val="28"/>
        </w:rPr>
      </w:pPr>
      <w:r>
        <w:rPr>
          <w:rFonts w:hint="eastAsia" w:cs="仿宋_GB2312"/>
          <w:b/>
          <w:kern w:val="0"/>
          <w:sz w:val="28"/>
          <w:szCs w:val="28"/>
        </w:rPr>
        <w:t>职业技能等级认定通过评审并展开工作。</w:t>
      </w:r>
      <w:r>
        <w:rPr>
          <w:rFonts w:hint="eastAsia" w:cs="仿宋_GB2312"/>
          <w:kern w:val="0"/>
          <w:sz w:val="28"/>
          <w:szCs w:val="28"/>
        </w:rPr>
        <w:t>我校依托优势医学教育资源，申报了养老护理员、保健按摩师、眼镜验光员、育婴员4个工种15个等级的职业技能等级认定。2021年6月，职业技能等级认定顺利通过评审，我校将进一步推进信息网络技术与职业培训、职业技能等级认定的深度融合，促进学校职业培训、继续教育、服务地方的质量稳步提高，为地方经济社会发展和技能型人才培养作出更大贡献。</w:t>
      </w:r>
    </w:p>
    <w:p>
      <w:pPr>
        <w:ind w:firstLine="562" w:firstLineChars="200"/>
        <w:jc w:val="left"/>
        <w:rPr>
          <w:rFonts w:cs="仿宋_GB2312"/>
          <w:kern w:val="0"/>
          <w:sz w:val="28"/>
          <w:szCs w:val="28"/>
        </w:rPr>
      </w:pPr>
      <w:r>
        <w:rPr>
          <w:rFonts w:hint="eastAsia" w:cs="仿宋_GB2312"/>
          <w:b/>
          <w:kern w:val="0"/>
          <w:sz w:val="28"/>
          <w:szCs w:val="28"/>
        </w:rPr>
        <w:t>健康管理师培训。</w:t>
      </w:r>
      <w:r>
        <w:rPr>
          <w:rFonts w:hint="eastAsia" w:cs="仿宋_GB2312"/>
          <w:kern w:val="0"/>
          <w:sz w:val="28"/>
          <w:szCs w:val="28"/>
        </w:rPr>
        <w:t>中医系为主体，响应国家及社会所需，于2020.11.20-2020.12.15共举办4期培训会，培训对象主要为社会人员，以提高其再就业能力，培训周期为5天，主要培训内容为健康管理概论、健康风险评估和风险管理、健康管理的评估及应用、中医治未病与养生的理念和方法、社区常见慢性病的健康管理等课程，授课老师为校内专任教师、校外临床医师及相关产业从业人员，考核结果及后期随访显示学员普遍对培训课程满意度较高。</w:t>
      </w:r>
    </w:p>
    <w:p>
      <w:pPr>
        <w:ind w:firstLine="562" w:firstLineChars="200"/>
        <w:jc w:val="left"/>
        <w:rPr>
          <w:rFonts w:cs="仿宋_GB2312"/>
          <w:kern w:val="0"/>
          <w:sz w:val="28"/>
          <w:szCs w:val="28"/>
        </w:rPr>
      </w:pPr>
      <w:r>
        <w:rPr>
          <w:rFonts w:hint="eastAsia" w:cs="仿宋_GB2312"/>
          <w:b/>
          <w:kern w:val="0"/>
          <w:sz w:val="28"/>
          <w:szCs w:val="28"/>
        </w:rPr>
        <w:t>创业意识培训。</w:t>
      </w:r>
      <w:r>
        <w:rPr>
          <w:rFonts w:hint="eastAsia" w:cs="仿宋_GB2312"/>
          <w:kern w:val="0"/>
          <w:sz w:val="28"/>
          <w:szCs w:val="28"/>
        </w:rPr>
        <w:t>与河南家和职业培训学校合作开展创业意识公益培训，</w:t>
      </w:r>
      <w:r>
        <w:rPr>
          <w:rFonts w:cs="仿宋_GB2312"/>
          <w:kern w:val="0"/>
          <w:sz w:val="28"/>
          <w:szCs w:val="28"/>
        </w:rPr>
        <w:t>2020年下半年共开展19个班次1059人次培训。通过创业意识课程（GYB）的培训，使学生了解什么是企业，企业的类型以及特点，掌握企业构思方法，分析创办企业的基本条件，并运用SWOT分析方法验证构思的企业，为今后实现创办企业打下良好的基础。</w:t>
      </w:r>
    </w:p>
    <w:p>
      <w:pPr>
        <w:pStyle w:val="42"/>
        <w:ind w:firstLine="562"/>
        <w:rPr>
          <w:b/>
          <w:szCs w:val="28"/>
        </w:rPr>
      </w:pPr>
      <w:r>
        <w:rPr>
          <w:rFonts w:hint="eastAsia"/>
          <w:b/>
          <w:szCs w:val="28"/>
        </w:rPr>
        <w:t>5.2.3社会考试</w:t>
      </w:r>
    </w:p>
    <w:p>
      <w:pPr>
        <w:ind w:firstLine="560" w:firstLineChars="200"/>
        <w:jc w:val="left"/>
        <w:rPr>
          <w:rFonts w:cs="仿宋_GB2312"/>
          <w:kern w:val="0"/>
          <w:sz w:val="28"/>
          <w:szCs w:val="28"/>
        </w:rPr>
      </w:pPr>
      <w:r>
        <w:rPr>
          <w:rFonts w:hint="eastAsia" w:cs="仿宋_GB2312"/>
          <w:kern w:val="0"/>
          <w:sz w:val="28"/>
          <w:szCs w:val="28"/>
        </w:rPr>
        <w:t>学校积极参与社会考试工作，服务社会需要。2021年承接医师资格综合理论考试、医师资格实践技能考试、护士资格考试、卫生初中级考试等各类社会考试，承接考务量达12108人次。</w:t>
      </w:r>
    </w:p>
    <w:p>
      <w:pPr>
        <w:pStyle w:val="3"/>
        <w:spacing w:before="156" w:after="156"/>
        <w:ind w:firstLine="562"/>
      </w:pPr>
      <w:bookmarkStart w:id="135" w:name="_Toc88032488"/>
      <w:r>
        <w:rPr>
          <w:rFonts w:hint="eastAsia"/>
        </w:rPr>
        <w:t>5.3 对口支援</w:t>
      </w:r>
      <w:bookmarkEnd w:id="135"/>
    </w:p>
    <w:p>
      <w:pPr>
        <w:ind w:firstLine="560" w:firstLineChars="200"/>
        <w:jc w:val="left"/>
        <w:rPr>
          <w:rFonts w:cs="仿宋_GB2312"/>
          <w:sz w:val="28"/>
          <w:szCs w:val="28"/>
        </w:rPr>
      </w:pPr>
      <w:r>
        <w:rPr>
          <w:rFonts w:hint="eastAsia" w:cs="仿宋_GB2312"/>
          <w:sz w:val="28"/>
          <w:szCs w:val="28"/>
        </w:rPr>
        <w:t>2021年，校党委认真贯彻落实党中央、省市关于扶贫工作的方针政策和工作部署，充分结合学校专业、学科、人才等方面的资源和优势，发挥高校服务社会功能，多措并举巩固脱贫攻坚效果,为乡村振兴起好步开好局，奠定坚实基础。强基固本，党建引领。驻村第一书记协助方城县广阳镇党委顺利完成村三委换届，发展预备党员两名。引进项目，改善设施。协调项目资金172万建850平米冷库一座，更好服务村里的支柱产业花生加工。利用第一书记项目资金修村间水泥道路800米左右。扶贫帮扶，富民强村。学校购买村里花生米49450元、官坡岭村扶贫车间生产的双肩包49450元、食堂采购脱贫不稳定户何振方小辣椒3000余元。学校主要领导带领15名帮扶人员坚持定期入村入户开展调研、送温暖、户容户貌治理及餐叙、政策宣传等活动。扶志扶智，强化实践。</w:t>
      </w:r>
    </w:p>
    <w:p>
      <w:pPr>
        <w:ind w:firstLine="560" w:firstLineChars="200"/>
        <w:jc w:val="left"/>
        <w:rPr>
          <w:rFonts w:cs="仿宋_GB2312"/>
          <w:sz w:val="28"/>
          <w:szCs w:val="28"/>
        </w:rPr>
      </w:pPr>
      <w:r>
        <w:rPr>
          <w:rFonts w:hint="eastAsia" w:cs="仿宋_GB2312"/>
          <w:sz w:val="28"/>
          <w:szCs w:val="28"/>
        </w:rPr>
        <w:t>按照《南阳市委办公室、南阳市政府办公室关于在春节前夕开展“送温暖、献爱心”社会捐助活动的通知》要求，为帮助困难群众同全市人民一道度过欢乐祥和的“春节”， 校工会于2021年1月4日发动全校教职工参与捐助活动。此次活动共捐款 24458.40元，于2021年1月22日全部交于南阳市慈善总会。</w:t>
      </w:r>
    </w:p>
    <w:p>
      <w:pPr>
        <w:ind w:firstLine="560" w:firstLineChars="200"/>
        <w:jc w:val="left"/>
        <w:rPr>
          <w:rFonts w:cs="仿宋_GB2312"/>
          <w:sz w:val="28"/>
          <w:szCs w:val="28"/>
        </w:rPr>
      </w:pPr>
      <w:r>
        <w:rPr>
          <w:rFonts w:hint="eastAsia" w:cs="仿宋_GB2312"/>
          <w:sz w:val="28"/>
          <w:szCs w:val="28"/>
        </w:rPr>
        <w:t>根据省总工会《关于促消费助发展工作的通知》精神，校工会分别于2020年10月、11月、12月为每位教职工增发489元共计483621.00元贫困地区农副产品，帮助解决农产品滞销问题。</w:t>
      </w:r>
    </w:p>
    <w:p>
      <w:pPr>
        <w:pStyle w:val="3"/>
        <w:spacing w:before="156" w:after="156"/>
        <w:ind w:firstLine="562"/>
        <w:rPr>
          <w:szCs w:val="32"/>
        </w:rPr>
      </w:pPr>
      <w:bookmarkStart w:id="136" w:name="_Toc88032489"/>
      <w:r>
        <w:rPr>
          <w:rFonts w:hint="eastAsia"/>
          <w:szCs w:val="32"/>
        </w:rPr>
        <w:t>5.4 服务抗疫</w:t>
      </w:r>
      <w:bookmarkEnd w:id="136"/>
    </w:p>
    <w:bookmarkEnd w:id="131"/>
    <w:bookmarkEnd w:id="132"/>
    <w:bookmarkEnd w:id="133"/>
    <w:bookmarkEnd w:id="134"/>
    <w:p>
      <w:pPr>
        <w:ind w:firstLine="560" w:firstLineChars="200"/>
        <w:jc w:val="left"/>
        <w:rPr>
          <w:rFonts w:cs="仿宋_GB2312"/>
          <w:sz w:val="28"/>
          <w:szCs w:val="28"/>
        </w:rPr>
      </w:pPr>
      <w:bookmarkStart w:id="137" w:name="_Toc1482"/>
      <w:bookmarkStart w:id="138" w:name="_Toc3893"/>
      <w:bookmarkStart w:id="139" w:name="_Toc1064_WPSOffice_Level1"/>
      <w:bookmarkStart w:id="140" w:name="_Toc22849"/>
      <w:r>
        <w:rPr>
          <w:rFonts w:hint="eastAsia" w:cs="仿宋_GB2312"/>
          <w:sz w:val="28"/>
          <w:szCs w:val="28"/>
        </w:rPr>
        <w:t>一是强化组织领导，做到疫情防控“一盘棋”。疫情发生后，迅速成立了疫情防控领导小组，严格落实上级部门关于疫情防控及复学前后工作总要求，制定了《关于进一步加强疫情防控工作的通知》、《关于印发常态化疫情防控网格化管理实施方案的通知》及《关于印发新冠肺炎常态化防控应急预案的通知》等相关文件，坚决扛起疫情防控重大政治责任。</w:t>
      </w:r>
    </w:p>
    <w:p>
      <w:pPr>
        <w:ind w:firstLine="560" w:firstLineChars="200"/>
        <w:jc w:val="left"/>
        <w:rPr>
          <w:rFonts w:cs="仿宋_GB2312"/>
          <w:sz w:val="28"/>
          <w:szCs w:val="28"/>
        </w:rPr>
      </w:pPr>
      <w:r>
        <w:rPr>
          <w:rFonts w:hint="eastAsia" w:cs="仿宋_GB2312"/>
          <w:sz w:val="28"/>
          <w:szCs w:val="28"/>
        </w:rPr>
        <w:t>二是筑牢校园防线，织密联防联控“一张网”。紧盯学生群体，健全防控体系，建立了校党委、学工办、教室、寝室四级网格疫情防控体系，责任到人，层层落实；建立了以钉钉群、微信群为核心的疫情动态监控系统，全面做好在校、不在校学生疫情监测、排查和防控工作。</w:t>
      </w:r>
    </w:p>
    <w:p>
      <w:pPr>
        <w:ind w:firstLine="560" w:firstLineChars="200"/>
        <w:jc w:val="left"/>
        <w:rPr>
          <w:rFonts w:cs="仿宋_GB2312"/>
          <w:sz w:val="28"/>
          <w:szCs w:val="28"/>
        </w:rPr>
      </w:pPr>
      <w:r>
        <w:rPr>
          <w:rFonts w:hint="eastAsia" w:cs="仿宋_GB2312"/>
          <w:sz w:val="28"/>
          <w:szCs w:val="28"/>
        </w:rPr>
        <w:t>三是弘扬抗疫精神，厚植干事创业“一股劲”。年初以来，先后举办了抗击新冠肺炎疫情故事讲述会及抗疫先进人物表彰会，激励全体同志在疫情防控常态化背景下继续涵养“出实招、干实事、求实效”的务实作风，把学习抗疫先进事迹激发出来的热情转化为服务师生工作、学习、生活的方方面面，转化到推进学校高质量发展中来。</w:t>
      </w:r>
    </w:p>
    <w:p>
      <w:pPr>
        <w:ind w:firstLine="560" w:firstLineChars="200"/>
        <w:jc w:val="left"/>
        <w:textAlignment w:val="baseline"/>
        <w:rPr>
          <w:szCs w:val="28"/>
        </w:rPr>
      </w:pPr>
      <w:r>
        <w:rPr>
          <w:rFonts w:hint="eastAsia" w:cs="仿宋_GB2312"/>
          <w:sz w:val="28"/>
          <w:szCs w:val="28"/>
        </w:rPr>
        <w:t>七月下旬以来，郑州等地先后遭遇了暴雨袭击和德尔塔病毒变异株引发的新疫情，洪灾和疫情叠加，严重影响着人民群众生命财产安全。面对史所未遇的洪涝灾害和严峻的疫情形势，仲景学子响应号召，开展了“把灾难当教材，与祖国共成长活动”主题教育活动，他们积极投身到防汛救灾中去，纷纷走向了疫情防控一线，用热血、汗水和奋斗筑起防汛“青春之堤”和战疫“青春长城”，用实际行动展现了青年力量，彰显了青春风采，突显了使命担当，涌现出许多防汛战疫的先进事迹，见证天使们的点点滴滴。</w:t>
      </w:r>
      <w:r>
        <w:rPr>
          <w:rFonts w:hint="eastAsia"/>
        </w:rPr>
        <w:br w:type="page"/>
      </w:r>
      <w:bookmarkStart w:id="141" w:name="_Toc88032490"/>
      <w:r>
        <w:rPr>
          <w:rStyle w:val="31"/>
          <w:rFonts w:hint="eastAsia"/>
        </w:rPr>
        <w:t>6 举办者履责</w:t>
      </w:r>
      <w:bookmarkEnd w:id="137"/>
      <w:bookmarkEnd w:id="138"/>
      <w:bookmarkEnd w:id="139"/>
      <w:bookmarkEnd w:id="140"/>
      <w:bookmarkEnd w:id="141"/>
    </w:p>
    <w:p>
      <w:pPr>
        <w:pStyle w:val="3"/>
        <w:spacing w:before="156" w:after="156"/>
        <w:ind w:firstLine="562"/>
      </w:pPr>
      <w:bookmarkStart w:id="142" w:name="_Toc6048"/>
      <w:bookmarkStart w:id="143" w:name="_Toc88032491"/>
      <w:bookmarkStart w:id="144" w:name="_Toc14799"/>
      <w:bookmarkStart w:id="145" w:name="_Toc23015"/>
      <w:bookmarkStart w:id="146" w:name="_Toc12366_WPSOffice_Level1"/>
      <w:r>
        <w:rPr>
          <w:rFonts w:hint="eastAsia"/>
        </w:rPr>
        <w:t>6.1 经费</w:t>
      </w:r>
      <w:bookmarkEnd w:id="142"/>
      <w:bookmarkEnd w:id="143"/>
      <w:bookmarkEnd w:id="144"/>
      <w:bookmarkEnd w:id="145"/>
      <w:bookmarkEnd w:id="146"/>
    </w:p>
    <w:p>
      <w:pPr>
        <w:ind w:firstLine="560" w:firstLineChars="200"/>
        <w:jc w:val="left"/>
        <w:rPr>
          <w:rFonts w:ascii="仿宋_GB2312" w:hAnsi="宋体"/>
          <w:sz w:val="28"/>
          <w:szCs w:val="28"/>
        </w:rPr>
      </w:pPr>
      <w:bookmarkStart w:id="147" w:name="_Toc15962"/>
      <w:bookmarkStart w:id="148" w:name="_Toc11132_WPSOffice_Level1"/>
      <w:bookmarkStart w:id="149" w:name="_Toc22057"/>
      <w:bookmarkStart w:id="150" w:name="_Toc13652"/>
      <w:r>
        <w:rPr>
          <w:rFonts w:hint="eastAsia" w:ascii="仿宋_GB2312" w:hAnsi="宋体"/>
          <w:sz w:val="28"/>
          <w:szCs w:val="28"/>
        </w:rPr>
        <w:t>南阳中医药学校教育经费收入主要包括:一是财政拨款收入（含人员经费收入和中职免学费收入），财政按时核拨经费，及时到位；二是学生住宿费收入，按时收取学生住宿费，无跨学年、无超标收取；三是其他收入。经费落实能够得到保障，确保生均经费拨款。经费支出方面严格执行财经法规，有计划、合理合规地使用经费，改善办学条件，提升教学质量，保证了中职院校建设的可持续性发展。</w:t>
      </w:r>
    </w:p>
    <w:p>
      <w:pPr>
        <w:pStyle w:val="3"/>
        <w:spacing w:before="156" w:after="156"/>
        <w:ind w:firstLine="562"/>
      </w:pPr>
      <w:bookmarkStart w:id="151" w:name="_Toc88032492"/>
      <w:r>
        <w:rPr>
          <w:rFonts w:hint="eastAsia"/>
        </w:rPr>
        <w:t>6.2 政策措施</w:t>
      </w:r>
      <w:bookmarkEnd w:id="147"/>
      <w:bookmarkEnd w:id="148"/>
      <w:bookmarkEnd w:id="149"/>
      <w:bookmarkEnd w:id="150"/>
      <w:bookmarkEnd w:id="151"/>
    </w:p>
    <w:p>
      <w:pPr>
        <w:pStyle w:val="42"/>
        <w:ind w:firstLine="560"/>
        <w:jc w:val="left"/>
        <w:rPr>
          <w:szCs w:val="28"/>
        </w:rPr>
      </w:pPr>
      <w:bookmarkStart w:id="152" w:name="_Toc27715"/>
      <w:bookmarkStart w:id="153" w:name="_Toc23615"/>
      <w:bookmarkStart w:id="154" w:name="_Toc5760_WPSOffice_Level1"/>
      <w:bookmarkStart w:id="155" w:name="_Toc5517"/>
      <w:r>
        <w:rPr>
          <w:rFonts w:hint="eastAsia"/>
          <w:szCs w:val="28"/>
        </w:rPr>
        <w:t>严格按照学校章程的各项规定，开展教育教学工作，全面提高教学质量。一是加强教学管理，每年召开学校教学工作会，传达国家、省市教育工作会议精神，并安排布署一年的教学工作，由教务处牵头开展教学工作考评，规范日常教学行为等工作。二是狠抓师资队伍建设，学校坚持引进、培养与使用并重、重点培养骨干教师与全面提高教师素质并重、提高学历学位与进修培训锻炼相结合的原则，大力实施人才兴校战略。三是加强质量监控，学校制定了科学、合理的教学管理制度和主要教学环节质量标准，每学年对所有任课教师进行综合评价，有效地激发了教师的教学热情，积极投身教学改革和教学研究。充分发挥职称评定的导向作用，利用职称自主评审，引导教师注重学生能力培养。四是突出教学中心地位，学校除优化育人环境外，在分配制度、职称评聘、进修培训、评先评优等方面制定了向教学倾斜的政策，确保教学工作的中心地位。</w:t>
      </w:r>
    </w:p>
    <w:p>
      <w:pPr>
        <w:pStyle w:val="42"/>
        <w:ind w:firstLine="560"/>
        <w:jc w:val="center"/>
        <w:rPr>
          <w:szCs w:val="28"/>
        </w:rPr>
      </w:pPr>
      <w:r>
        <w:rPr>
          <w:rFonts w:hint="eastAsia"/>
        </w:rPr>
        <w:br w:type="page"/>
      </w:r>
      <w:bookmarkStart w:id="156" w:name="_Toc88032493"/>
      <w:r>
        <w:rPr>
          <w:rStyle w:val="31"/>
          <w:rFonts w:hint="eastAsia"/>
        </w:rPr>
        <w:t>7 特殊创新</w:t>
      </w:r>
      <w:bookmarkEnd w:id="152"/>
      <w:bookmarkEnd w:id="153"/>
      <w:bookmarkEnd w:id="154"/>
      <w:bookmarkEnd w:id="155"/>
      <w:bookmarkEnd w:id="156"/>
    </w:p>
    <w:p>
      <w:pPr>
        <w:rPr>
          <w:rFonts w:ascii="楷体" w:hAnsi="楷体" w:eastAsia="楷体" w:cs="仿宋"/>
          <w:b/>
          <w:bCs/>
          <w:kern w:val="0"/>
          <w:sz w:val="28"/>
          <w:szCs w:val="28"/>
        </w:rPr>
      </w:pPr>
      <w:bookmarkStart w:id="157" w:name="_Toc4002"/>
      <w:bookmarkStart w:id="158" w:name="_Toc9837"/>
      <w:bookmarkStart w:id="159" w:name="_Toc783"/>
      <w:bookmarkStart w:id="160" w:name="_Toc28022_WPSOffice_Level1"/>
      <w:r>
        <w:rPr>
          <w:rFonts w:hint="eastAsia" w:ascii="楷体" w:hAnsi="楷体" w:eastAsia="楷体" w:cs="仿宋"/>
          <w:b/>
          <w:bCs/>
          <w:kern w:val="0"/>
          <w:sz w:val="28"/>
          <w:szCs w:val="28"/>
        </w:rPr>
        <w:t>案例1 一心无我惟学子 四时有为暖杏林</w:t>
      </w:r>
    </w:p>
    <w:p>
      <w:pPr>
        <w:tabs>
          <w:tab w:val="left" w:pos="3405"/>
        </w:tabs>
        <w:ind w:firstLine="560" w:firstLineChars="200"/>
        <w:jc w:val="left"/>
        <w:rPr>
          <w:rFonts w:ascii="仿宋_GB2312" w:hAnsi="宋体"/>
          <w:sz w:val="28"/>
          <w:szCs w:val="28"/>
        </w:rPr>
      </w:pPr>
      <w:r>
        <w:rPr>
          <w:rFonts w:hint="eastAsia" w:ascii="仿宋_GB2312" w:hAnsi="宋体"/>
          <w:sz w:val="28"/>
          <w:szCs w:val="28"/>
        </w:rPr>
        <w:t>“蒲公英</w:t>
      </w:r>
      <w:r>
        <w:rPr>
          <w:rFonts w:hint="eastAsia"/>
          <w:sz w:val="28"/>
          <w:szCs w:val="28"/>
        </w:rPr>
        <w:t>”班主任工作室以中医药学校班主任之家工作室为雏形成立，由方正担任负责人，校学生处指导建设，中专部具体负责创建、运营及管理的专门机构。现有8名成员，并吸纳中专部22名专职班主任加入，以“研究的平台、成长的阶梯、辐射的中心、师生的益友”为工作宗旨，把学生成才与班主任能力提升相结合，不断</w:t>
      </w:r>
      <w:r>
        <w:rPr>
          <w:rFonts w:hint="eastAsia" w:ascii="仿宋_GB2312" w:hAnsi="宋体"/>
          <w:sz w:val="28"/>
          <w:szCs w:val="28"/>
        </w:rPr>
        <w:t>探索针对当前中职生情况卓然有效的德育途径。</w:t>
      </w:r>
    </w:p>
    <w:p>
      <w:pPr>
        <w:tabs>
          <w:tab w:val="left" w:pos="3405"/>
        </w:tabs>
        <w:ind w:firstLine="560" w:firstLineChars="200"/>
        <w:jc w:val="left"/>
        <w:rPr>
          <w:sz w:val="28"/>
          <w:szCs w:val="28"/>
        </w:rPr>
      </w:pPr>
      <w:r>
        <w:rPr>
          <w:rFonts w:hint="eastAsia" w:ascii="仿宋_GB2312" w:hAnsi="宋体"/>
          <w:sz w:val="28"/>
          <w:szCs w:val="28"/>
        </w:rPr>
        <w:t>现已成立“平子手工创意工坊”，以短视频平台为媒介，上传学生手工制作视频、劳动课程视频等，积极融合第一课堂和第二课堂，培养学生动手能力和水平；吸引有兴趣的学生组织手工兴趣小组，开展对外交流活动。“一米阳光”微信公众号关注学生社会服务点点滴滴，树立学生社会责任感，培养“医者仁心”。“孔明学子”微信公众号聚焦五彩缤</w:t>
      </w:r>
      <w:r>
        <w:rPr>
          <w:rFonts w:hint="eastAsia"/>
          <w:sz w:val="28"/>
          <w:szCs w:val="28"/>
        </w:rPr>
        <w:t>纷的学生活动，营造良好文化氛围。“仲景技能传承班”在今年河南省护理技能大赛中荣获二等奖一个、三等奖一个，初露峥嵘。“太公智慧心灵小屋”全年累计谈话100余次，发现并成功介入心理问题学生7例，为平安校园建设提供强有力保障。</w:t>
      </w:r>
    </w:p>
    <w:p>
      <w:pPr>
        <w:tabs>
          <w:tab w:val="left" w:pos="3405"/>
        </w:tabs>
        <w:ind w:firstLine="560" w:firstLineChars="200"/>
        <w:jc w:val="left"/>
        <w:rPr>
          <w:rFonts w:ascii="仿宋_GB2312" w:hAnsi="宋体"/>
          <w:sz w:val="28"/>
          <w:szCs w:val="28"/>
        </w:rPr>
      </w:pPr>
      <w:r>
        <w:rPr>
          <w:rFonts w:hint="eastAsia"/>
          <w:sz w:val="28"/>
          <w:szCs w:val="28"/>
        </w:rPr>
        <w:t>提升服务能力，加强交流学习。线上自学+线下研讨相结合，全年共组织线上理论学习20000余分钟，主题研讨40余次，撰写个人心得体会20余次，解决班主任工作中存在的实际问题，提高解决问题能力；负责人方正4月份赴江西赣州参加全国工作室建设专题培</w:t>
      </w:r>
      <w:r>
        <w:rPr>
          <w:rFonts w:hint="eastAsia" w:ascii="仿宋_GB2312" w:hAnsi="宋体"/>
          <w:sz w:val="28"/>
          <w:szCs w:val="28"/>
        </w:rPr>
        <w:t>训，并与高校辅导员工作室负责人饶先发、黄晖劳模工作室负责人黄晖、婷姐工作室负责人宫婷婷、朱丹工作室负责人朱丹等全国名工作室成员交流探讨，为未来工作室的定位和发展指明了方向，也为创建河南省100个名优班主任工作室提供理论保障。</w:t>
      </w:r>
    </w:p>
    <w:p>
      <w:pPr>
        <w:tabs>
          <w:tab w:val="left" w:pos="3405"/>
        </w:tabs>
        <w:ind w:firstLine="560" w:firstLineChars="200"/>
        <w:rPr>
          <w:rFonts w:ascii="仿宋_GB2312" w:hAnsi="宋体"/>
          <w:sz w:val="28"/>
          <w:szCs w:val="28"/>
        </w:rPr>
      </w:pPr>
      <w:r>
        <w:rPr>
          <w:rFonts w:hint="eastAsia" w:ascii="仿宋_GB2312" w:hAnsi="宋体"/>
          <w:sz w:val="28"/>
          <w:szCs w:val="28"/>
        </w:rPr>
        <w:drawing>
          <wp:inline distT="0" distB="0" distL="114300" distR="114300">
            <wp:extent cx="1519555" cy="3315335"/>
            <wp:effectExtent l="0" t="0" r="4445" b="18415"/>
            <wp:docPr id="31" name="图片 3" descr="微信图片_2021110915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微信图片_20211109151503.png"/>
                    <pic:cNvPicPr>
                      <a:picLocks noChangeAspect="1"/>
                    </pic:cNvPicPr>
                  </pic:nvPicPr>
                  <pic:blipFill>
                    <a:blip r:embed="rId10" cstate="print"/>
                    <a:stretch>
                      <a:fillRect/>
                    </a:stretch>
                  </pic:blipFill>
                  <pic:spPr>
                    <a:xfrm>
                      <a:off x="0" y="0"/>
                      <a:ext cx="1519555" cy="3315335"/>
                    </a:xfrm>
                    <a:prstGeom prst="rect">
                      <a:avLst/>
                    </a:prstGeom>
                    <a:noFill/>
                    <a:ln>
                      <a:noFill/>
                    </a:ln>
                  </pic:spPr>
                </pic:pic>
              </a:graphicData>
            </a:graphic>
          </wp:inline>
        </w:drawing>
      </w:r>
      <w:r>
        <w:rPr>
          <w:rFonts w:hint="eastAsia" w:ascii="仿宋_GB2312" w:hAnsi="宋体"/>
          <w:sz w:val="28"/>
          <w:szCs w:val="28"/>
        </w:rPr>
        <w:drawing>
          <wp:inline distT="0" distB="0" distL="114300" distR="114300">
            <wp:extent cx="1611630" cy="3495040"/>
            <wp:effectExtent l="0" t="0" r="7620" b="10160"/>
            <wp:docPr id="28" name="图片 4" descr="微信图片_202111091515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微信图片_202111091515031.png"/>
                    <pic:cNvPicPr>
                      <a:picLocks noChangeAspect="1"/>
                    </pic:cNvPicPr>
                  </pic:nvPicPr>
                  <pic:blipFill>
                    <a:blip r:embed="rId11" cstate="print"/>
                    <a:stretch>
                      <a:fillRect/>
                    </a:stretch>
                  </pic:blipFill>
                  <pic:spPr>
                    <a:xfrm>
                      <a:off x="0" y="0"/>
                      <a:ext cx="1611630" cy="3495040"/>
                    </a:xfrm>
                    <a:prstGeom prst="rect">
                      <a:avLst/>
                    </a:prstGeom>
                    <a:noFill/>
                    <a:ln>
                      <a:noFill/>
                    </a:ln>
                  </pic:spPr>
                </pic:pic>
              </a:graphicData>
            </a:graphic>
          </wp:inline>
        </w:drawing>
      </w:r>
    </w:p>
    <w:p>
      <w:pPr>
        <w:pStyle w:val="33"/>
      </w:pPr>
      <w:r>
        <w:rPr>
          <w:rFonts w:hint="eastAsia"/>
        </w:rPr>
        <w:t>图7-1“孔明学子”和“一米阳光”微信公众号</w:t>
      </w:r>
    </w:p>
    <w:p>
      <w:pPr>
        <w:tabs>
          <w:tab w:val="left" w:pos="3405"/>
        </w:tabs>
        <w:ind w:firstLine="560" w:firstLineChars="200"/>
        <w:rPr>
          <w:rFonts w:ascii="仿宋_GB2312" w:hAnsi="宋体"/>
          <w:sz w:val="28"/>
          <w:szCs w:val="28"/>
        </w:rPr>
      </w:pPr>
      <w:r>
        <w:rPr>
          <w:rFonts w:hint="eastAsia" w:ascii="仿宋_GB2312" w:hAnsi="宋体"/>
          <w:sz w:val="28"/>
          <w:szCs w:val="28"/>
        </w:rPr>
        <w:drawing>
          <wp:inline distT="0" distB="0" distL="114300" distR="114300">
            <wp:extent cx="4010660" cy="3005455"/>
            <wp:effectExtent l="0" t="0" r="8890" b="4445"/>
            <wp:docPr id="30" name="图片 7" descr="微信图片_2021110915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微信图片_20211109151503.jpg"/>
                    <pic:cNvPicPr>
                      <a:picLocks noChangeAspect="1"/>
                    </pic:cNvPicPr>
                  </pic:nvPicPr>
                  <pic:blipFill>
                    <a:blip r:embed="rId12" cstate="print"/>
                    <a:stretch>
                      <a:fillRect/>
                    </a:stretch>
                  </pic:blipFill>
                  <pic:spPr>
                    <a:xfrm>
                      <a:off x="0" y="0"/>
                      <a:ext cx="4010660" cy="3005455"/>
                    </a:xfrm>
                    <a:prstGeom prst="rect">
                      <a:avLst/>
                    </a:prstGeom>
                    <a:noFill/>
                    <a:ln>
                      <a:noFill/>
                    </a:ln>
                  </pic:spPr>
                </pic:pic>
              </a:graphicData>
            </a:graphic>
          </wp:inline>
        </w:drawing>
      </w:r>
    </w:p>
    <w:p>
      <w:pPr>
        <w:pStyle w:val="33"/>
      </w:pPr>
      <w:r>
        <w:rPr>
          <w:rFonts w:hint="eastAsia"/>
        </w:rPr>
        <w:t>图7-2 负责人外出学习工作室建设经验</w:t>
      </w:r>
    </w:p>
    <w:p>
      <w:pPr>
        <w:ind w:firstLine="646"/>
        <w:jc w:val="left"/>
        <w:rPr>
          <w:sz w:val="28"/>
          <w:szCs w:val="28"/>
        </w:rPr>
      </w:pPr>
    </w:p>
    <w:p>
      <w:pPr>
        <w:rPr>
          <w:rFonts w:ascii="楷体" w:hAnsi="楷体" w:eastAsia="楷体" w:cs="仿宋"/>
          <w:b/>
          <w:bCs/>
          <w:kern w:val="0"/>
          <w:sz w:val="28"/>
          <w:szCs w:val="28"/>
        </w:rPr>
      </w:pPr>
      <w:r>
        <w:rPr>
          <w:rFonts w:hint="eastAsia" w:ascii="楷体" w:hAnsi="楷体" w:eastAsia="楷体" w:cs="仿宋"/>
          <w:b/>
          <w:bCs/>
          <w:kern w:val="0"/>
          <w:sz w:val="28"/>
          <w:szCs w:val="28"/>
        </w:rPr>
        <w:t>案例2 开展混合式教学，提高课程教学质量</w:t>
      </w:r>
    </w:p>
    <w:p>
      <w:pPr>
        <w:ind w:firstLine="560" w:firstLineChars="200"/>
        <w:jc w:val="left"/>
        <w:rPr>
          <w:sz w:val="28"/>
          <w:szCs w:val="28"/>
        </w:rPr>
      </w:pPr>
      <w:r>
        <w:rPr>
          <w:rFonts w:hint="eastAsia"/>
          <w:sz w:val="28"/>
          <w:szCs w:val="28"/>
        </w:rPr>
        <w:t>随着“互联网</w:t>
      </w:r>
      <w:r>
        <w:rPr>
          <w:sz w:val="28"/>
          <w:szCs w:val="28"/>
        </w:rPr>
        <w:t>+</w:t>
      </w:r>
      <w:r>
        <w:rPr>
          <w:rFonts w:hint="eastAsia"/>
          <w:sz w:val="28"/>
          <w:szCs w:val="28"/>
        </w:rPr>
        <w:t>教育”的快速发展，大量在线网络教育教学平台和网络课程共享资源库的建立与应用，以及各种多媒体信息技术教育手段推广使用，助力了现代教育信息化的深入推进。充分运用现代化教学手段如钉钉直播、云班课、慕课与微课等，特别是在本年度疫情防控期间，大力开展线上线下教学活动，推行混合式教学设计与课堂教学模式，提高了学生学习兴趣和自主性，有效地培养学生的思考解决问题能力与小组协作探究能力，改善和提高了师生的互动和沟通效率，学生学习效率和教学质量得到较大提升。</w:t>
      </w:r>
    </w:p>
    <w:p>
      <w:pPr>
        <w:ind w:firstLine="560" w:firstLineChars="200"/>
        <w:jc w:val="left"/>
        <w:rPr>
          <w:sz w:val="28"/>
          <w:szCs w:val="28"/>
        </w:rPr>
      </w:pPr>
      <w:r>
        <w:rPr>
          <w:rFonts w:hint="eastAsia"/>
          <w:sz w:val="28"/>
          <w:szCs w:val="28"/>
        </w:rPr>
        <w:t>近年来，我校在开展混合式教学过程中，将预习、作业、回顾、讨论等学习内容放到线上进行，培养学生主自学习能力，促进师生、生生互动。在线下的现实课堂教学中，利用网络学习平台的签到、选人、抢答、投票、主题讨论、测验等互动功能，提高课堂教学的趣味性，让更多的学生主动参与到课堂教学中，实现个性化与协作式学习。教师可线上直播授课，在班级群中组织作业发放、作业批改、讨论管理、疑问解答、组织考试等；并通过后台对学生的学习行为进行统计，及时掌握学生学习的参与度与学习效果；再通过线上线下多维度地考核学生学习效果，把理论课与实验课、平时考核与期中、期末考核等均纳入平台的统计功能，实现对学生学习情况的统计分析与多维度地综合评价。</w:t>
      </w:r>
    </w:p>
    <w:p>
      <w:pPr>
        <w:ind w:firstLine="420" w:firstLineChars="200"/>
      </w:pPr>
      <w:r>
        <w:drawing>
          <wp:inline distT="0" distB="0" distL="114300" distR="114300">
            <wp:extent cx="3826510" cy="2870200"/>
            <wp:effectExtent l="0" t="0" r="2540" b="6350"/>
            <wp:docPr id="33" name="图片 14" descr="de0280c2a792ee3c0a192edb32af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de0280c2a792ee3c0a192edb32af2fb"/>
                    <pic:cNvPicPr>
                      <a:picLocks noChangeAspect="1"/>
                    </pic:cNvPicPr>
                  </pic:nvPicPr>
                  <pic:blipFill>
                    <a:blip r:embed="rId13" cstate="print"/>
                    <a:stretch>
                      <a:fillRect/>
                    </a:stretch>
                  </pic:blipFill>
                  <pic:spPr>
                    <a:xfrm>
                      <a:off x="0" y="0"/>
                      <a:ext cx="3826510" cy="2870200"/>
                    </a:xfrm>
                    <a:prstGeom prst="rect">
                      <a:avLst/>
                    </a:prstGeom>
                    <a:noFill/>
                    <a:ln>
                      <a:noFill/>
                    </a:ln>
                  </pic:spPr>
                </pic:pic>
              </a:graphicData>
            </a:graphic>
          </wp:inline>
        </w:drawing>
      </w:r>
    </w:p>
    <w:p>
      <w:pPr>
        <w:pStyle w:val="33"/>
        <w:rPr>
          <w:sz w:val="28"/>
          <w:szCs w:val="28"/>
        </w:rPr>
      </w:pPr>
      <w:r>
        <w:rPr>
          <w:rFonts w:hint="eastAsia"/>
        </w:rPr>
        <w:t>图7-3 开展混合式教学</w:t>
      </w:r>
    </w:p>
    <w:p>
      <w:pPr>
        <w:rPr>
          <w:rFonts w:ascii="楷体" w:hAnsi="楷体" w:eastAsia="楷体" w:cs="仿宋"/>
          <w:b/>
          <w:bCs/>
          <w:kern w:val="0"/>
          <w:sz w:val="28"/>
          <w:szCs w:val="28"/>
        </w:rPr>
      </w:pPr>
      <w:r>
        <w:rPr>
          <w:rFonts w:hint="eastAsia" w:ascii="楷体" w:hAnsi="楷体" w:eastAsia="楷体" w:cs="仿宋"/>
          <w:b/>
          <w:bCs/>
          <w:kern w:val="0"/>
          <w:sz w:val="28"/>
          <w:szCs w:val="28"/>
        </w:rPr>
        <w:t>案例3 依托技能大赛平台 磨砺职业素质真功</w:t>
      </w:r>
    </w:p>
    <w:p>
      <w:pPr>
        <w:ind w:firstLine="646"/>
        <w:jc w:val="left"/>
        <w:rPr>
          <w:sz w:val="28"/>
          <w:szCs w:val="28"/>
        </w:rPr>
      </w:pPr>
      <w:r>
        <w:rPr>
          <w:rFonts w:hint="eastAsia"/>
          <w:sz w:val="28"/>
          <w:szCs w:val="28"/>
        </w:rPr>
        <w:t>中职院校护理技能大赛是贯彻落实全国职业教育大会精神，推动职业教育改革发展进程的重要举措。近几年，技能大赛更是呈现出了顺应产业和科技发展大势的特点，试题、规程、设备更贴近临床实际，更具前瞻性、引领性，已经成为检验中职学校教学实力与教学成果的试金石。南阳中医药学校在连年参赛的基础上，总结成熟经验，与新时代职业教育发展深度融合，注重对学生评判性思维、心理素质、职业能力的全方位培养，</w:t>
      </w:r>
      <w:r>
        <w:rPr>
          <w:sz w:val="28"/>
          <w:szCs w:val="28"/>
        </w:rPr>
        <w:t>2021</w:t>
      </w:r>
      <w:r>
        <w:rPr>
          <w:rFonts w:hint="eastAsia"/>
          <w:sz w:val="28"/>
          <w:szCs w:val="28"/>
        </w:rPr>
        <w:t>年全省中职院校护理技能大赛再创佳绩。</w:t>
      </w:r>
    </w:p>
    <w:p>
      <w:pPr>
        <w:ind w:firstLine="646"/>
        <w:jc w:val="left"/>
        <w:rPr>
          <w:sz w:val="28"/>
          <w:szCs w:val="28"/>
        </w:rPr>
      </w:pPr>
      <w:r>
        <w:rPr>
          <w:rFonts w:hint="eastAsia"/>
          <w:sz w:val="28"/>
          <w:szCs w:val="28"/>
        </w:rPr>
        <w:t>一是科学规范选拔流程。技能大赛贴近临床，场上比拼的是选手的技能实操、应变能力、观察能力和交流沟通等综合素质，更体现了临床护理日常工作背后的技术含量和人文关怀。在多年选拔选手参赛的实践基础上，我们总结经验，改变了以往“重实操、轻理论”、“重形象，轻作风”的选拔方法，采取“理论</w:t>
      </w:r>
      <w:r>
        <w:rPr>
          <w:sz w:val="28"/>
          <w:szCs w:val="28"/>
        </w:rPr>
        <w:t>+</w:t>
      </w:r>
      <w:r>
        <w:rPr>
          <w:rFonts w:hint="eastAsia"/>
          <w:sz w:val="28"/>
          <w:szCs w:val="28"/>
        </w:rPr>
        <w:t>实操”、“培训</w:t>
      </w:r>
      <w:r>
        <w:rPr>
          <w:sz w:val="28"/>
          <w:szCs w:val="28"/>
        </w:rPr>
        <w:t>+</w:t>
      </w:r>
      <w:r>
        <w:rPr>
          <w:rFonts w:hint="eastAsia"/>
          <w:sz w:val="28"/>
          <w:szCs w:val="28"/>
        </w:rPr>
        <w:t>竞赛”的选拔模式，经过多轮理论选拔、实操选拔等层层考核，最终选拔出三名理论成绩强、具有良好的心理素质、操作规范美观，具有较强的亲和力的选手集中培训、备赛。</w:t>
      </w:r>
    </w:p>
    <w:p>
      <w:pPr>
        <w:ind w:firstLine="646"/>
        <w:jc w:val="left"/>
        <w:rPr>
          <w:sz w:val="28"/>
          <w:szCs w:val="28"/>
        </w:rPr>
      </w:pPr>
      <w:r>
        <w:rPr>
          <w:rFonts w:hint="eastAsia"/>
          <w:sz w:val="28"/>
          <w:szCs w:val="28"/>
        </w:rPr>
        <w:t>二是明确标准集中培训。学校结合历年来技能大赛的评比标准和规范，指导教师们相互交流研讨，制定了适宜本校实际情况的职业技能大赛训练标准。集训期间则要求选手严格按照既定训练标准执行，同时要对学生每次的操作行为、结果进行记录，便于之后的内部考评、选拔以及针对性的调整。同时，针对历年来部分学生在技能大赛中出现的“前紧后松”问题，以加强训练的方式针对性地调整，确保学生在操作过程中能够按部就班的执行既定规划，有条不紊地完成训练任务。平常老师们积极关注学生的思想动态，加强和学生之间的交流，消除彼此间的隔阂，确保双方意识统一、沟通有序、传达及时，学生能够严丝合缝的执行教师指导的内容以及自身规划的内容，并将其有效展现，从而提升训练效率和质量。</w:t>
      </w:r>
    </w:p>
    <w:p>
      <w:pPr>
        <w:ind w:firstLine="646"/>
        <w:jc w:val="left"/>
        <w:rPr>
          <w:sz w:val="28"/>
          <w:szCs w:val="28"/>
        </w:rPr>
      </w:pPr>
      <w:r>
        <w:rPr>
          <w:rFonts w:hint="eastAsia"/>
          <w:sz w:val="28"/>
          <w:szCs w:val="28"/>
        </w:rPr>
        <w:t>备赛过程中，学校全力培训选手，积极备战，多次组织专业教师、学生观摩选手模拟比赛。参赛选手们不分昼夜，刻苦训练，全力以赴，精益求精。在</w:t>
      </w:r>
      <w:r>
        <w:rPr>
          <w:sz w:val="28"/>
          <w:szCs w:val="28"/>
        </w:rPr>
        <w:t>2021</w:t>
      </w:r>
      <w:r>
        <w:rPr>
          <w:rFonts w:hint="eastAsia"/>
          <w:sz w:val="28"/>
          <w:szCs w:val="28"/>
        </w:rPr>
        <w:t>年河南省中职院校护理职业技能大赛决赛现场，两名选手充满信心，沉着应战，全面展示了我校学生积极向上、奋发进取的精神风貌和娴熟的护理技能。经过紧张激烈的角逐，最终，我校郑倩倩、蒋路哲两名同学分别获得个人全能二等奖、三等奖的优异成绩。而借助技能大赛这一平台，目前我校</w:t>
      </w:r>
      <w:r>
        <w:rPr>
          <w:sz w:val="28"/>
          <w:szCs w:val="28"/>
        </w:rPr>
        <w:t xml:space="preserve">  </w:t>
      </w:r>
      <w:r>
        <w:rPr>
          <w:rFonts w:hint="eastAsia"/>
          <w:sz w:val="28"/>
          <w:szCs w:val="28"/>
        </w:rPr>
        <w:t>“学技术、比技能、强本领”的新风尚已焕然成形，大赛已经成为技能创新、服务升级的“助推器”，进一步激发了我校护理专业学生干事创业的内在动力。</w:t>
      </w:r>
    </w:p>
    <w:tbl>
      <w:tblPr>
        <w:tblStyle w:val="17"/>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28"/>
        <w:gridCol w:w="4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28" w:type="dxa"/>
            <w:tcBorders>
              <w:tl2br w:val="nil"/>
              <w:tr2bl w:val="nil"/>
            </w:tcBorders>
          </w:tcPr>
          <w:p>
            <w:pPr>
              <w:jc w:val="left"/>
              <w:rPr>
                <w:sz w:val="28"/>
                <w:szCs w:val="28"/>
              </w:rPr>
            </w:pPr>
            <w:r>
              <w:drawing>
                <wp:inline distT="0" distB="0" distL="114300" distR="114300">
                  <wp:extent cx="2451735" cy="1838960"/>
                  <wp:effectExtent l="0" t="0" r="5715" b="8890"/>
                  <wp:docPr id="18" name="图片 4" descr="IMG_4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4917.jpeg"/>
                          <pic:cNvPicPr>
                            <a:picLocks noChangeAspect="1"/>
                          </pic:cNvPicPr>
                        </pic:nvPicPr>
                        <pic:blipFill>
                          <a:blip r:embed="rId14" cstate="print"/>
                          <a:stretch>
                            <a:fillRect/>
                          </a:stretch>
                        </pic:blipFill>
                        <pic:spPr>
                          <a:xfrm>
                            <a:off x="0" y="0"/>
                            <a:ext cx="2451735" cy="1838960"/>
                          </a:xfrm>
                          <a:prstGeom prst="rect">
                            <a:avLst/>
                          </a:prstGeom>
                          <a:noFill/>
                          <a:ln>
                            <a:noFill/>
                          </a:ln>
                        </pic:spPr>
                      </pic:pic>
                    </a:graphicData>
                  </a:graphic>
                </wp:inline>
              </w:drawing>
            </w:r>
          </w:p>
        </w:tc>
        <w:tc>
          <w:tcPr>
            <w:tcW w:w="4394" w:type="dxa"/>
            <w:tcBorders>
              <w:tl2br w:val="nil"/>
              <w:tr2bl w:val="nil"/>
            </w:tcBorders>
          </w:tcPr>
          <w:p>
            <w:pPr>
              <w:jc w:val="left"/>
              <w:rPr>
                <w:sz w:val="28"/>
                <w:szCs w:val="28"/>
              </w:rPr>
            </w:pPr>
            <w:r>
              <w:drawing>
                <wp:inline distT="0" distB="0" distL="114300" distR="114300">
                  <wp:extent cx="2673985" cy="1783080"/>
                  <wp:effectExtent l="0" t="0" r="12065" b="7620"/>
                  <wp:docPr id="19" name="图片 3" descr="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050.JPG"/>
                          <pic:cNvPicPr>
                            <a:picLocks noChangeAspect="1"/>
                          </pic:cNvPicPr>
                        </pic:nvPicPr>
                        <pic:blipFill>
                          <a:blip r:embed="rId15" cstate="print"/>
                          <a:stretch>
                            <a:fillRect/>
                          </a:stretch>
                        </pic:blipFill>
                        <pic:spPr>
                          <a:xfrm>
                            <a:off x="0" y="0"/>
                            <a:ext cx="2673985" cy="17830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28" w:type="dxa"/>
            <w:tcBorders>
              <w:tl2br w:val="nil"/>
              <w:tr2bl w:val="nil"/>
            </w:tcBorders>
          </w:tcPr>
          <w:p>
            <w:pPr>
              <w:jc w:val="left"/>
              <w:rPr>
                <w:sz w:val="28"/>
                <w:szCs w:val="28"/>
              </w:rPr>
            </w:pPr>
            <w:r>
              <w:drawing>
                <wp:inline distT="0" distB="0" distL="114300" distR="114300">
                  <wp:extent cx="2508250" cy="1846580"/>
                  <wp:effectExtent l="0" t="0" r="6350" b="1270"/>
                  <wp:docPr id="22" name="图片 7" descr="IMG_5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5301.jpeg"/>
                          <pic:cNvPicPr>
                            <a:picLocks noChangeAspect="1"/>
                          </pic:cNvPicPr>
                        </pic:nvPicPr>
                        <pic:blipFill>
                          <a:blip r:embed="rId16" cstate="print"/>
                          <a:stretch>
                            <a:fillRect/>
                          </a:stretch>
                        </pic:blipFill>
                        <pic:spPr>
                          <a:xfrm>
                            <a:off x="0" y="0"/>
                            <a:ext cx="2508250" cy="1846580"/>
                          </a:xfrm>
                          <a:prstGeom prst="rect">
                            <a:avLst/>
                          </a:prstGeom>
                          <a:noFill/>
                          <a:ln>
                            <a:noFill/>
                          </a:ln>
                        </pic:spPr>
                      </pic:pic>
                    </a:graphicData>
                  </a:graphic>
                </wp:inline>
              </w:drawing>
            </w:r>
          </w:p>
        </w:tc>
        <w:tc>
          <w:tcPr>
            <w:tcW w:w="4394" w:type="dxa"/>
            <w:tcBorders>
              <w:tl2br w:val="nil"/>
              <w:tr2bl w:val="nil"/>
            </w:tcBorders>
          </w:tcPr>
          <w:p>
            <w:pPr>
              <w:jc w:val="left"/>
              <w:rPr>
                <w:sz w:val="28"/>
                <w:szCs w:val="28"/>
              </w:rPr>
            </w:pPr>
            <w:r>
              <w:drawing>
                <wp:inline distT="0" distB="0" distL="114300" distR="114300">
                  <wp:extent cx="2557780" cy="1855470"/>
                  <wp:effectExtent l="0" t="0" r="13970" b="11430"/>
                  <wp:docPr id="20" name="图片 8" descr="IMG_5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5300.jpeg"/>
                          <pic:cNvPicPr>
                            <a:picLocks noChangeAspect="1"/>
                          </pic:cNvPicPr>
                        </pic:nvPicPr>
                        <pic:blipFill>
                          <a:blip r:embed="rId17" cstate="print"/>
                          <a:stretch>
                            <a:fillRect/>
                          </a:stretch>
                        </pic:blipFill>
                        <pic:spPr>
                          <a:xfrm>
                            <a:off x="0" y="0"/>
                            <a:ext cx="2557780" cy="1855470"/>
                          </a:xfrm>
                          <a:prstGeom prst="rect">
                            <a:avLst/>
                          </a:prstGeom>
                          <a:noFill/>
                          <a:ln>
                            <a:noFill/>
                          </a:ln>
                        </pic:spPr>
                      </pic:pic>
                    </a:graphicData>
                  </a:graphic>
                </wp:inline>
              </w:drawing>
            </w:r>
          </w:p>
        </w:tc>
      </w:tr>
    </w:tbl>
    <w:p>
      <w:pPr>
        <w:pStyle w:val="33"/>
      </w:pPr>
      <w:r>
        <w:rPr>
          <w:rFonts w:hint="eastAsia"/>
        </w:rPr>
        <w:t>图7-4 集中培训与荣誉证书</w:t>
      </w:r>
    </w:p>
    <w:p>
      <w:pPr>
        <w:rPr>
          <w:rFonts w:ascii="楷体" w:hAnsi="楷体" w:eastAsia="楷体" w:cs="仿宋"/>
          <w:b/>
          <w:bCs/>
          <w:kern w:val="0"/>
          <w:sz w:val="28"/>
          <w:szCs w:val="28"/>
        </w:rPr>
      </w:pPr>
      <w:r>
        <w:rPr>
          <w:rFonts w:hint="eastAsia" w:ascii="楷体" w:hAnsi="楷体" w:eastAsia="楷体" w:cs="仿宋"/>
          <w:b/>
          <w:bCs/>
          <w:kern w:val="0"/>
          <w:sz w:val="28"/>
          <w:szCs w:val="28"/>
        </w:rPr>
        <w:t>案例4 拓宽就业渠道，更新办学模式，推进学校高质量发展</w:t>
      </w:r>
    </w:p>
    <w:p>
      <w:pPr>
        <w:ind w:firstLine="646"/>
        <w:jc w:val="left"/>
        <w:rPr>
          <w:sz w:val="28"/>
          <w:szCs w:val="28"/>
        </w:rPr>
      </w:pPr>
      <w:r>
        <w:rPr>
          <w:rFonts w:hint="eastAsia"/>
          <w:sz w:val="28"/>
          <w:szCs w:val="28"/>
        </w:rPr>
        <w:t>在党的十九大会议精神关于全面深化教育改革的决定指引下，南阳中医药学校抓住“十四五”新的发展机遇期，遵照国家和省有关文件的指示精神，紧跟省卫健委和教育厅的战略部署，进一步增强办学综合实力和管理水平，全面提升人才培养质量和社会服务能力，大力推进学校创新发展、优质发展，服务区域经济的建设。</w:t>
      </w:r>
    </w:p>
    <w:p>
      <w:pPr>
        <w:ind w:firstLine="646"/>
        <w:jc w:val="left"/>
        <w:rPr>
          <w:sz w:val="28"/>
          <w:szCs w:val="28"/>
        </w:rPr>
      </w:pPr>
      <w:r>
        <w:rPr>
          <w:rFonts w:hint="eastAsia"/>
          <w:sz w:val="28"/>
          <w:szCs w:val="28"/>
        </w:rPr>
        <w:t>一、拓宽就业渠道</w:t>
      </w:r>
    </w:p>
    <w:p>
      <w:pPr>
        <w:ind w:firstLine="646"/>
        <w:jc w:val="left"/>
        <w:rPr>
          <w:sz w:val="28"/>
          <w:szCs w:val="28"/>
        </w:rPr>
      </w:pPr>
      <w:r>
        <w:rPr>
          <w:rFonts w:hint="eastAsia"/>
          <w:sz w:val="28"/>
          <w:szCs w:val="28"/>
        </w:rPr>
        <w:t>南阳中医药学校努力实现办学模式灵活多样化、培养学生一专多能的素质，以便为学生毕业后实现多渠道就业提供帮助。根据学校专业建设和学生就业需要，学生在校期间不仅进行专业课学习，通过各类实验、实训，与理论知识紧密结合。在实习工作中，通过与医院共建校外实习基地，加强了学生和一线医务工作者的融合，达到了学校医院优势互补、资源共享的目的，增强了相互合作的内生动力，实现学校—医院—学生三方共赢的目标。</w:t>
      </w:r>
    </w:p>
    <w:p>
      <w:pPr>
        <w:ind w:firstLine="646"/>
        <w:jc w:val="left"/>
        <w:rPr>
          <w:sz w:val="28"/>
          <w:szCs w:val="28"/>
        </w:rPr>
      </w:pPr>
      <w:r>
        <w:rPr>
          <w:rFonts w:hint="eastAsia"/>
          <w:sz w:val="28"/>
          <w:szCs w:val="28"/>
        </w:rPr>
        <w:t>二、就业率逐年升高</w:t>
      </w:r>
    </w:p>
    <w:p>
      <w:pPr>
        <w:ind w:firstLine="646"/>
        <w:jc w:val="left"/>
        <w:rPr>
          <w:sz w:val="28"/>
          <w:szCs w:val="28"/>
        </w:rPr>
      </w:pPr>
      <w:r>
        <w:rPr>
          <w:rFonts w:hint="eastAsia"/>
          <w:sz w:val="28"/>
          <w:szCs w:val="28"/>
        </w:rPr>
        <w:t>南阳中医药学校为了让学生想获得更大的竞争优势，首先要求学生努力提升自己的学历。中专毕业也可以继续深造，以大专为起步，可以继续攻读本科学士学位和研究生硕士学位。为了顺应社会的需要，南阳中医药学校积极组织各类技能竞赛，以赛引学，使学生在学习理论课的基础下通过技能培训达到就业单位用人需求。例如在刚结束的省级技能竞赛中，南阳中医药学校学生分别获得了省级二等奖、三等奖的优异成绩。</w:t>
      </w:r>
    </w:p>
    <w:p>
      <w:pPr>
        <w:ind w:firstLine="646"/>
        <w:jc w:val="left"/>
        <w:rPr>
          <w:sz w:val="28"/>
          <w:szCs w:val="28"/>
        </w:rPr>
      </w:pPr>
      <w:r>
        <w:rPr>
          <w:rFonts w:hint="eastAsia"/>
          <w:sz w:val="28"/>
          <w:szCs w:val="28"/>
        </w:rPr>
        <w:t>三、办学模式更新，方向精准定位</w:t>
      </w:r>
    </w:p>
    <w:p>
      <w:pPr>
        <w:ind w:firstLine="646"/>
        <w:jc w:val="left"/>
        <w:rPr>
          <w:sz w:val="28"/>
          <w:szCs w:val="28"/>
        </w:rPr>
      </w:pPr>
      <w:r>
        <w:rPr>
          <w:rFonts w:hint="eastAsia"/>
          <w:sz w:val="28"/>
          <w:szCs w:val="28"/>
        </w:rPr>
        <w:t>在专业课的教学中，采用“一看二听三体验”的新式教学法：一看，即新生入学伊始，在对人体结构不了解但又好奇的情况下，先让每一位新生进入我校的《人体生命科学馆》参观，通过馆内的各种人体标本及电子投影讲解，让每一位同学对人体的内部结构有一个直观的认识；二听，接下来便是由老师在理论课堂讲解教材内容，把人体的各个系统通过多媒体图片结合临床实例的方式，让学生好奇的求知欲转化为每一个知识点；三体验，在理论讲解之后，安排每个班进入相对应的实验室，让每一位学生亲自动手，感受模拟人体器官，这样更能让学生记住理论课上的知识点，有助于提高学生的观察能力，激发学生的学习兴趣，做到学生主动学习。</w:t>
      </w:r>
    </w:p>
    <w:p>
      <w:pPr>
        <w:jc w:val="left"/>
        <w:rPr>
          <w:rFonts w:cs="仿宋"/>
          <w:sz w:val="28"/>
          <w:szCs w:val="36"/>
        </w:rPr>
      </w:pPr>
      <w:r>
        <w:drawing>
          <wp:inline distT="0" distB="0" distL="114300" distR="114300">
            <wp:extent cx="2451735" cy="1884045"/>
            <wp:effectExtent l="0" t="0" r="5715" b="190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8" cstate="print"/>
                    <a:stretch>
                      <a:fillRect/>
                    </a:stretch>
                  </pic:blipFill>
                  <pic:spPr>
                    <a:xfrm>
                      <a:off x="0" y="0"/>
                      <a:ext cx="2451735" cy="1884045"/>
                    </a:xfrm>
                    <a:prstGeom prst="rect">
                      <a:avLst/>
                    </a:prstGeom>
                    <a:noFill/>
                    <a:ln>
                      <a:noFill/>
                    </a:ln>
                  </pic:spPr>
                </pic:pic>
              </a:graphicData>
            </a:graphic>
          </wp:inline>
        </w:drawing>
      </w:r>
      <w:r>
        <w:drawing>
          <wp:inline distT="0" distB="0" distL="114300" distR="114300">
            <wp:extent cx="2752090" cy="1873885"/>
            <wp:effectExtent l="0" t="0" r="10160" b="1206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9" cstate="print"/>
                    <a:stretch>
                      <a:fillRect/>
                    </a:stretch>
                  </pic:blipFill>
                  <pic:spPr>
                    <a:xfrm>
                      <a:off x="0" y="0"/>
                      <a:ext cx="2752090" cy="1873885"/>
                    </a:xfrm>
                    <a:prstGeom prst="rect">
                      <a:avLst/>
                    </a:prstGeom>
                    <a:noFill/>
                    <a:ln>
                      <a:noFill/>
                    </a:ln>
                  </pic:spPr>
                </pic:pic>
              </a:graphicData>
            </a:graphic>
          </wp:inline>
        </w:drawing>
      </w:r>
    </w:p>
    <w:p>
      <w:pPr>
        <w:pStyle w:val="33"/>
      </w:pPr>
      <w:r>
        <w:rPr>
          <w:rFonts w:hint="eastAsia"/>
        </w:rPr>
        <w:t>图7-5 技能竞赛与技术资格证书</w:t>
      </w:r>
    </w:p>
    <w:p>
      <w:pPr>
        <w:rPr>
          <w:sz w:val="28"/>
          <w:szCs w:val="28"/>
        </w:rPr>
      </w:pPr>
      <w:r>
        <w:rPr>
          <w:sz w:val="28"/>
          <w:szCs w:val="28"/>
        </w:rPr>
        <w:br w:type="page"/>
      </w:r>
    </w:p>
    <w:p>
      <w:pPr>
        <w:pStyle w:val="2"/>
      </w:pPr>
      <w:bookmarkStart w:id="161" w:name="_Toc88032494"/>
      <w:r>
        <w:rPr>
          <w:rFonts w:hint="eastAsia"/>
        </w:rPr>
        <w:t>8 主要问题和改进措施</w:t>
      </w:r>
      <w:bookmarkEnd w:id="157"/>
      <w:bookmarkEnd w:id="158"/>
      <w:bookmarkEnd w:id="159"/>
      <w:bookmarkEnd w:id="160"/>
      <w:bookmarkEnd w:id="161"/>
    </w:p>
    <w:p>
      <w:pPr>
        <w:pStyle w:val="3"/>
        <w:spacing w:before="156" w:after="156"/>
        <w:ind w:firstLine="562"/>
      </w:pPr>
      <w:bookmarkStart w:id="162" w:name="_Toc22401_WPSOffice_Level1"/>
      <w:bookmarkStart w:id="163" w:name="_Toc14695"/>
      <w:bookmarkStart w:id="164" w:name="_Toc88032495"/>
      <w:bookmarkStart w:id="165" w:name="_Toc19229"/>
      <w:bookmarkStart w:id="166" w:name="_Toc10615"/>
      <w:r>
        <w:rPr>
          <w:rFonts w:hint="eastAsia"/>
        </w:rPr>
        <w:t>8.1存在的主要问题</w:t>
      </w:r>
      <w:bookmarkEnd w:id="162"/>
      <w:bookmarkEnd w:id="163"/>
      <w:bookmarkEnd w:id="164"/>
      <w:bookmarkEnd w:id="165"/>
      <w:bookmarkEnd w:id="166"/>
    </w:p>
    <w:p>
      <w:pPr>
        <w:spacing w:line="630" w:lineRule="exact"/>
        <w:ind w:firstLine="560" w:firstLineChars="200"/>
        <w:jc w:val="left"/>
        <w:rPr>
          <w:rFonts w:ascii="仿宋_GB2312" w:eastAsia="仿宋_GB2312"/>
          <w:sz w:val="32"/>
          <w:szCs w:val="32"/>
        </w:rPr>
      </w:pPr>
      <w:bookmarkStart w:id="167" w:name="_Toc469648210"/>
      <w:bookmarkStart w:id="168" w:name="_Toc26568_WPSOffice_Level1"/>
      <w:bookmarkStart w:id="169" w:name="_Toc6041"/>
      <w:bookmarkStart w:id="170" w:name="_Toc26083"/>
      <w:bookmarkStart w:id="171" w:name="_Toc322"/>
      <w:r>
        <w:rPr>
          <w:rFonts w:hint="eastAsia" w:cs="仿宋"/>
          <w:sz w:val="28"/>
          <w:szCs w:val="28"/>
        </w:rPr>
        <w:t>目前，</w:t>
      </w:r>
      <w:r>
        <w:rPr>
          <w:rFonts w:cs="仿宋"/>
          <w:sz w:val="28"/>
          <w:szCs w:val="28"/>
        </w:rPr>
        <w:t>数字化校园</w:t>
      </w:r>
      <w:r>
        <w:rPr>
          <w:rFonts w:hint="eastAsia" w:cs="仿宋"/>
          <w:sz w:val="28"/>
          <w:szCs w:val="28"/>
        </w:rPr>
        <w:t>依托</w:t>
      </w:r>
      <w:r>
        <w:rPr>
          <w:rFonts w:cs="仿宋"/>
          <w:sz w:val="28"/>
          <w:szCs w:val="28"/>
        </w:rPr>
        <w:t>公共数据平台</w:t>
      </w:r>
      <w:r>
        <w:rPr>
          <w:rFonts w:hint="eastAsia" w:cs="仿宋"/>
          <w:sz w:val="28"/>
          <w:szCs w:val="28"/>
        </w:rPr>
        <w:t>、</w:t>
      </w:r>
      <w:r>
        <w:rPr>
          <w:rFonts w:cs="仿宋"/>
          <w:sz w:val="28"/>
          <w:szCs w:val="28"/>
        </w:rPr>
        <w:t>数据交换平台</w:t>
      </w:r>
      <w:r>
        <w:rPr>
          <w:rFonts w:hint="eastAsia" w:cs="仿宋"/>
          <w:sz w:val="28"/>
          <w:szCs w:val="28"/>
        </w:rPr>
        <w:t>和</w:t>
      </w:r>
      <w:r>
        <w:rPr>
          <w:rFonts w:cs="仿宋"/>
          <w:sz w:val="28"/>
          <w:szCs w:val="28"/>
        </w:rPr>
        <w:t>统一身份认证平台，</w:t>
      </w:r>
      <w:r>
        <w:rPr>
          <w:rFonts w:hint="eastAsia" w:cs="仿宋"/>
          <w:sz w:val="28"/>
          <w:szCs w:val="28"/>
        </w:rPr>
        <w:t>学生</w:t>
      </w:r>
      <w:r>
        <w:rPr>
          <w:rFonts w:cs="仿宋"/>
          <w:sz w:val="28"/>
          <w:szCs w:val="28"/>
        </w:rPr>
        <w:t>迎新系统、教务题库系统、实习管理系统、教学管理系统等数据</w:t>
      </w:r>
      <w:r>
        <w:rPr>
          <w:rFonts w:hint="eastAsia" w:cs="仿宋"/>
          <w:sz w:val="28"/>
          <w:szCs w:val="28"/>
        </w:rPr>
        <w:t>已经</w:t>
      </w:r>
      <w:r>
        <w:rPr>
          <w:rFonts w:cs="仿宋"/>
          <w:sz w:val="28"/>
          <w:szCs w:val="28"/>
        </w:rPr>
        <w:t>进行</w:t>
      </w:r>
      <w:r>
        <w:rPr>
          <w:rFonts w:hint="eastAsia" w:cs="仿宋"/>
          <w:sz w:val="28"/>
          <w:szCs w:val="28"/>
        </w:rPr>
        <w:t>上传</w:t>
      </w:r>
      <w:r>
        <w:rPr>
          <w:rFonts w:cs="仿宋"/>
          <w:sz w:val="28"/>
          <w:szCs w:val="28"/>
        </w:rPr>
        <w:t>汇总，学校数字化校园框架基本成型</w:t>
      </w:r>
      <w:r>
        <w:rPr>
          <w:rFonts w:hint="eastAsia" w:cs="仿宋"/>
          <w:sz w:val="28"/>
          <w:szCs w:val="28"/>
        </w:rPr>
        <w:t>，信息化教学资源得到进一步丰富和完善。但是，在信息化建设过程中仍存在着重硬件、轻软件的现象，对信息化技术应用的重要性认识不足，信息化教学手段及方法的普及率需进一步提升,信息技术尚未全面融入教育教学和管理服务全过程。</w:t>
      </w:r>
    </w:p>
    <w:p>
      <w:pPr>
        <w:pStyle w:val="3"/>
        <w:spacing w:before="156" w:after="156"/>
        <w:ind w:firstLine="562"/>
      </w:pPr>
      <w:bookmarkStart w:id="172" w:name="_Toc88032496"/>
      <w:r>
        <w:rPr>
          <w:rFonts w:hint="eastAsia"/>
        </w:rPr>
        <w:t>8.2 改进措</w:t>
      </w:r>
      <w:bookmarkEnd w:id="167"/>
      <w:r>
        <w:rPr>
          <w:rFonts w:hint="eastAsia"/>
        </w:rPr>
        <w:t>施</w:t>
      </w:r>
      <w:bookmarkEnd w:id="168"/>
      <w:bookmarkEnd w:id="169"/>
      <w:bookmarkEnd w:id="170"/>
      <w:bookmarkEnd w:id="171"/>
      <w:bookmarkEnd w:id="172"/>
    </w:p>
    <w:p>
      <w:pPr>
        <w:spacing w:line="630" w:lineRule="exact"/>
        <w:ind w:firstLine="560" w:firstLineChars="200"/>
        <w:jc w:val="left"/>
        <w:rPr>
          <w:rFonts w:cs="仿宋"/>
          <w:sz w:val="28"/>
          <w:szCs w:val="28"/>
        </w:rPr>
      </w:pPr>
      <w:r>
        <w:rPr>
          <w:rFonts w:hint="eastAsia" w:cs="仿宋"/>
          <w:sz w:val="28"/>
          <w:szCs w:val="28"/>
        </w:rPr>
        <w:t>学校将高起点、规范化推进智慧校园建设，增加资金投入，加强软件建设尤其是在线开放课程和专业教学资源库建设，力争通过组织开展与信息化建设相关的慕课、微课培训活动和举办各类信息化教学比赛等形式，全面提高教师运用信息化教学方法和手段的能力和水平，推进现代信息技术与教育教学的深度融合。</w:t>
      </w:r>
    </w:p>
    <w:p>
      <w:pPr>
        <w:widowControl/>
        <w:spacing w:line="240" w:lineRule="auto"/>
        <w:jc w:val="left"/>
        <w:rPr>
          <w:rFonts w:ascii="黑体" w:hAnsi="宋体" w:eastAsia="黑体"/>
          <w:sz w:val="32"/>
          <w:szCs w:val="32"/>
        </w:rPr>
      </w:pPr>
      <w:r>
        <w:rPr>
          <w:rFonts w:ascii="黑体" w:eastAsia="黑体"/>
          <w:sz w:val="32"/>
          <w:szCs w:val="32"/>
        </w:rPr>
        <w:br w:type="page"/>
      </w:r>
    </w:p>
    <w:p>
      <w:pPr>
        <w:pStyle w:val="2"/>
      </w:pPr>
      <w:bookmarkStart w:id="173" w:name="_Toc88032497"/>
      <w:r>
        <w:rPr>
          <w:rFonts w:hint="eastAsia"/>
        </w:rPr>
        <w:t>9中等职业教育质量数据表</w:t>
      </w:r>
      <w:bookmarkEnd w:id="173"/>
    </w:p>
    <w:tbl>
      <w:tblPr>
        <w:tblStyle w:val="16"/>
        <w:tblW w:w="8977" w:type="dxa"/>
        <w:jc w:val="center"/>
        <w:tblInd w:w="0" w:type="dxa"/>
        <w:tblLayout w:type="fixed"/>
        <w:tblCellMar>
          <w:top w:w="0" w:type="dxa"/>
          <w:left w:w="108" w:type="dxa"/>
          <w:bottom w:w="0" w:type="dxa"/>
          <w:right w:w="108" w:type="dxa"/>
        </w:tblCellMar>
      </w:tblPr>
      <w:tblGrid>
        <w:gridCol w:w="723"/>
        <w:gridCol w:w="4696"/>
        <w:gridCol w:w="1056"/>
        <w:gridCol w:w="1219"/>
        <w:gridCol w:w="1283"/>
      </w:tblGrid>
      <w:tr>
        <w:tblPrEx>
          <w:tblLayout w:type="fixed"/>
          <w:tblCellMar>
            <w:top w:w="0" w:type="dxa"/>
            <w:left w:w="108" w:type="dxa"/>
            <w:bottom w:w="0" w:type="dxa"/>
            <w:right w:w="108" w:type="dxa"/>
          </w:tblCellMar>
        </w:tblPrEx>
        <w:trPr>
          <w:trHeight w:val="819"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88" w:lineRule="auto"/>
              <w:textAlignment w:val="center"/>
              <w:rPr>
                <w:b/>
                <w:bCs/>
                <w:color w:val="000000"/>
                <w:sz w:val="24"/>
                <w:szCs w:val="24"/>
              </w:rPr>
            </w:pPr>
            <w:r>
              <w:rPr>
                <w:b/>
                <w:bCs/>
                <w:color w:val="000000"/>
                <w:kern w:val="0"/>
                <w:sz w:val="24"/>
                <w:szCs w:val="24"/>
              </w:rPr>
              <w:t>序号</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8" w:lineRule="auto"/>
              <w:textAlignment w:val="center"/>
              <w:rPr>
                <w:b/>
                <w:bCs/>
                <w:color w:val="000000"/>
                <w:sz w:val="24"/>
                <w:szCs w:val="24"/>
              </w:rPr>
            </w:pPr>
            <w:r>
              <w:rPr>
                <w:b/>
                <w:bCs/>
                <w:color w:val="000000"/>
                <w:kern w:val="0"/>
                <w:sz w:val="24"/>
                <w:szCs w:val="24"/>
              </w:rPr>
              <w:t>指标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8" w:lineRule="auto"/>
              <w:textAlignment w:val="center"/>
              <w:rPr>
                <w:b/>
                <w:bCs/>
                <w:color w:val="000000"/>
                <w:sz w:val="24"/>
                <w:szCs w:val="24"/>
              </w:rPr>
            </w:pPr>
            <w:r>
              <w:rPr>
                <w:b/>
                <w:bCs/>
                <w:color w:val="000000"/>
                <w:kern w:val="0"/>
                <w:sz w:val="24"/>
                <w:szCs w:val="24"/>
              </w:rPr>
              <w:t>单位</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8" w:lineRule="auto"/>
              <w:jc w:val="left"/>
              <w:textAlignment w:val="center"/>
              <w:rPr>
                <w:b/>
                <w:bCs/>
                <w:color w:val="000000"/>
                <w:sz w:val="24"/>
                <w:szCs w:val="24"/>
              </w:rPr>
            </w:pPr>
            <w:r>
              <w:rPr>
                <w:b/>
                <w:bCs/>
                <w:color w:val="000000"/>
                <w:kern w:val="0"/>
                <w:sz w:val="24"/>
                <w:szCs w:val="24"/>
              </w:rPr>
              <w:t>2020年</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8" w:lineRule="auto"/>
              <w:jc w:val="left"/>
              <w:textAlignment w:val="center"/>
              <w:rPr>
                <w:b/>
                <w:bCs/>
                <w:color w:val="000000"/>
                <w:sz w:val="24"/>
                <w:szCs w:val="24"/>
              </w:rPr>
            </w:pPr>
            <w:r>
              <w:rPr>
                <w:b/>
                <w:bCs/>
                <w:color w:val="000000"/>
                <w:kern w:val="0"/>
                <w:sz w:val="24"/>
                <w:szCs w:val="24"/>
              </w:rPr>
              <w:t>2021年</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思想政治课专任教师数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32</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32</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2</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德育管理人员数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21</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21</w:t>
            </w:r>
          </w:p>
        </w:tc>
      </w:tr>
      <w:tr>
        <w:tblPrEx>
          <w:tblLayout w:type="fixed"/>
          <w:tblCellMar>
            <w:top w:w="0" w:type="dxa"/>
            <w:left w:w="108" w:type="dxa"/>
            <w:bottom w:w="0" w:type="dxa"/>
            <w:right w:w="108" w:type="dxa"/>
          </w:tblCellMar>
        </w:tblPrEx>
        <w:trPr>
          <w:trHeight w:val="285" w:hRule="atLeast"/>
          <w:jc w:val="center"/>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名班主任工作室数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rPr>
                <w:color w:val="000000"/>
                <w:sz w:val="24"/>
                <w:szCs w:val="24"/>
              </w:rPr>
            </w:pP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 xml:space="preserve">    其中：国家级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rPr>
                <w:color w:val="000000"/>
                <w:sz w:val="24"/>
                <w:szCs w:val="24"/>
              </w:rPr>
            </w:pP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 xml:space="preserve">          省级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rPr>
                <w:color w:val="000000"/>
                <w:sz w:val="24"/>
                <w:szCs w:val="24"/>
              </w:rPr>
            </w:pP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 xml:space="preserve">          地市级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4</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思想政治课教学创新团队数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rPr>
                <w:color w:val="000000"/>
                <w:sz w:val="24"/>
                <w:szCs w:val="24"/>
              </w:rPr>
            </w:pP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 xml:space="preserve">    其中：国家级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rPr>
                <w:color w:val="000000"/>
                <w:sz w:val="24"/>
                <w:szCs w:val="24"/>
              </w:rPr>
            </w:pP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 xml:space="preserve">          省级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rPr>
                <w:color w:val="000000"/>
                <w:sz w:val="24"/>
                <w:szCs w:val="24"/>
              </w:rPr>
            </w:pP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 xml:space="preserve">          地市级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5</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思想政治课示范课堂数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rPr>
                <w:color w:val="000000"/>
                <w:sz w:val="24"/>
                <w:szCs w:val="24"/>
              </w:rPr>
            </w:pP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ind w:firstLine="480" w:firstLineChars="200"/>
              <w:jc w:val="left"/>
              <w:textAlignment w:val="center"/>
              <w:rPr>
                <w:color w:val="000000"/>
                <w:sz w:val="24"/>
                <w:szCs w:val="24"/>
              </w:rPr>
            </w:pPr>
            <w:r>
              <w:rPr>
                <w:color w:val="000000"/>
                <w:kern w:val="0"/>
                <w:sz w:val="24"/>
                <w:szCs w:val="24"/>
              </w:rPr>
              <w:t>其中：国家级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rPr>
                <w:color w:val="000000"/>
                <w:sz w:val="24"/>
                <w:szCs w:val="24"/>
              </w:rPr>
            </w:pP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 xml:space="preserve">          省级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6</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就业单位对毕业生职业素养的满意度</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95.32</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96.12</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7</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就业单位对毕业生职业技能的满意度</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95.14</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95.86</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8</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体育课专任教师数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25</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25</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9</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美育课专任教师数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7</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7</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10</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学生文化基础课合格率</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100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100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11</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学生体质测评合格率</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94.8</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86.75</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12</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毕业生总数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1050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1090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13</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就业（含升学）人数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971</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1028</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14</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在规模以上企业就业人数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16</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27</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15</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在中小微企业就业人数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48</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99</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16</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毕业生专业对口就业率</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88.48</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91.54</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17</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通过职教高考升学人数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18</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通过对口单独招生升学人数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907</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902</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19</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通过中本贯通升学人数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20</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通过中高贯通升学人数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21</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通过技能拔尖人才免试升学人数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23</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升入本科院校人数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24</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color w:val="000000"/>
                <w:kern w:val="0"/>
                <w:sz w:val="24"/>
                <w:szCs w:val="24"/>
              </w:rPr>
              <w:t>升入高职高专院校人数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907</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902</w:t>
            </w:r>
          </w:p>
        </w:tc>
      </w:tr>
      <w:tr>
        <w:tblPrEx>
          <w:tblLayout w:type="fixed"/>
          <w:tblCellMar>
            <w:top w:w="0" w:type="dxa"/>
            <w:left w:w="108" w:type="dxa"/>
            <w:bottom w:w="0" w:type="dxa"/>
            <w:right w:w="108" w:type="dxa"/>
          </w:tblCellMar>
        </w:tblPrEx>
        <w:trPr>
          <w:trHeight w:val="57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25</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8" w:lineRule="auto"/>
              <w:jc w:val="left"/>
              <w:textAlignment w:val="center"/>
              <w:rPr>
                <w:color w:val="000000"/>
                <w:sz w:val="24"/>
                <w:szCs w:val="24"/>
              </w:rPr>
            </w:pPr>
            <w:r>
              <w:rPr>
                <w:color w:val="000000"/>
                <w:kern w:val="0"/>
                <w:sz w:val="24"/>
                <w:szCs w:val="24"/>
              </w:rPr>
              <w:t>其他升学人数（含留学、成人教育、自学考试）</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35</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color w:val="000000"/>
                <w:sz w:val="24"/>
                <w:szCs w:val="24"/>
              </w:rPr>
              <w:t>48</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26</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sz w:val="24"/>
                <w:szCs w:val="24"/>
              </w:rPr>
            </w:pPr>
            <w:r>
              <w:rPr>
                <w:rFonts w:hint="eastAsia"/>
                <w:color w:val="000000"/>
                <w:kern w:val="0"/>
                <w:sz w:val="24"/>
                <w:szCs w:val="24"/>
              </w:rPr>
              <w:t>全国</w:t>
            </w:r>
            <w:r>
              <w:rPr>
                <w:color w:val="000000"/>
                <w:kern w:val="0"/>
                <w:sz w:val="24"/>
                <w:szCs w:val="24"/>
              </w:rPr>
              <w:t>职业</w:t>
            </w:r>
            <w:r>
              <w:rPr>
                <w:rFonts w:hint="eastAsia"/>
                <w:color w:val="000000"/>
                <w:kern w:val="0"/>
                <w:sz w:val="24"/>
                <w:szCs w:val="24"/>
              </w:rPr>
              <w:t>院校</w:t>
            </w:r>
            <w:r>
              <w:rPr>
                <w:color w:val="000000"/>
                <w:kern w:val="0"/>
                <w:sz w:val="24"/>
                <w:szCs w:val="24"/>
              </w:rPr>
              <w:t>技能大赛学生获奖数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kern w:val="0"/>
                <w:sz w:val="24"/>
                <w:szCs w:val="24"/>
              </w:rPr>
            </w:pPr>
            <w:r>
              <w:rPr>
                <w:rFonts w:hint="eastAsia"/>
                <w:color w:val="000000"/>
                <w:kern w:val="0"/>
                <w:sz w:val="24"/>
                <w:szCs w:val="24"/>
              </w:rPr>
              <w:t>27</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color w:val="000000"/>
                <w:kern w:val="0"/>
                <w:sz w:val="24"/>
                <w:szCs w:val="24"/>
              </w:rPr>
            </w:pPr>
            <w:r>
              <w:rPr>
                <w:color w:val="000000"/>
                <w:kern w:val="0"/>
                <w:sz w:val="24"/>
                <w:szCs w:val="24"/>
              </w:rPr>
              <w:t>全国职业技能大赛学生获奖数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kern w:val="0"/>
                <w:sz w:val="24"/>
                <w:szCs w:val="24"/>
              </w:rPr>
            </w:pPr>
            <w:r>
              <w:rPr>
                <w:rFonts w:hint="eastAsia"/>
                <w:color w:val="000000"/>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rPr>
                <w:color w:val="000000"/>
                <w:sz w:val="24"/>
                <w:szCs w:val="24"/>
              </w:rPr>
            </w:pPr>
            <w:r>
              <w:rPr>
                <w:rFonts w:hint="eastAsia"/>
                <w:color w:val="000000"/>
                <w:sz w:val="24"/>
                <w:szCs w:val="24"/>
              </w:rPr>
              <w:t>—</w:t>
            </w:r>
          </w:p>
        </w:tc>
      </w:tr>
      <w:tr>
        <w:tblPrEx>
          <w:tblLayout w:type="fixed"/>
          <w:tblCellMar>
            <w:top w:w="0" w:type="dxa"/>
            <w:left w:w="108" w:type="dxa"/>
            <w:bottom w:w="0" w:type="dxa"/>
            <w:right w:w="108" w:type="dxa"/>
          </w:tblCellMar>
        </w:tblPrEx>
        <w:trPr>
          <w:trHeight w:val="57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2</w:t>
            </w:r>
            <w:r>
              <w:rPr>
                <w:rFonts w:hint="eastAsia"/>
                <w:color w:val="000000"/>
                <w:kern w:val="0"/>
                <w:sz w:val="24"/>
                <w:szCs w:val="24"/>
              </w:rPr>
              <w:t>8</w:t>
            </w:r>
          </w:p>
        </w:tc>
        <w:tc>
          <w:tcPr>
            <w:tcW w:w="4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8" w:lineRule="auto"/>
              <w:jc w:val="left"/>
              <w:textAlignment w:val="center"/>
              <w:rPr>
                <w:color w:val="000000"/>
                <w:sz w:val="24"/>
                <w:szCs w:val="24"/>
              </w:rPr>
            </w:pPr>
            <w:r>
              <w:rPr>
                <w:color w:val="000000"/>
                <w:kern w:val="0"/>
                <w:sz w:val="24"/>
                <w:szCs w:val="24"/>
              </w:rPr>
              <w:t>职业技能等级证书（含职业资格证书）获取人数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186</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left"/>
              <w:rPr>
                <w:color w:val="000000"/>
                <w:sz w:val="24"/>
                <w:szCs w:val="24"/>
              </w:rPr>
            </w:pPr>
            <w:r>
              <w:rPr>
                <w:rFonts w:hint="eastAsia"/>
                <w:color w:val="000000"/>
                <w:sz w:val="24"/>
                <w:szCs w:val="24"/>
              </w:rPr>
              <w:t>165</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2</w:t>
            </w:r>
            <w:r>
              <w:rPr>
                <w:rFonts w:hint="eastAsia"/>
                <w:color w:val="000000"/>
                <w:kern w:val="0"/>
                <w:sz w:val="24"/>
                <w:szCs w:val="24"/>
              </w:rPr>
              <w:t>9</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全日制在校生数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3113</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3119</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rFonts w:hint="eastAsia"/>
                <w:color w:val="000000"/>
                <w:kern w:val="0"/>
                <w:sz w:val="24"/>
                <w:szCs w:val="24"/>
              </w:rPr>
              <w:t>30</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生均校园占地面积</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平方米</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144072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144072</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r>
              <w:rPr>
                <w:rFonts w:hint="eastAsia"/>
                <w:color w:val="000000"/>
                <w:kern w:val="0"/>
                <w:sz w:val="24"/>
                <w:szCs w:val="24"/>
              </w:rPr>
              <w:t>1</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生均校舍建筑面积</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平方米</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46.28</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46.19</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r>
              <w:rPr>
                <w:rFonts w:hint="eastAsia"/>
                <w:color w:val="000000"/>
                <w:kern w:val="0"/>
                <w:sz w:val="24"/>
                <w:szCs w:val="24"/>
              </w:rPr>
              <w:t>2</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生均教学仪器设备值</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sz w:val="24"/>
                <w:szCs w:val="24"/>
              </w:rPr>
            </w:pPr>
            <w:r>
              <w:rPr>
                <w:kern w:val="0"/>
                <w:sz w:val="24"/>
                <w:szCs w:val="24"/>
              </w:rPr>
              <w:t>元</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sz w:val="24"/>
                <w:szCs w:val="24"/>
              </w:rPr>
            </w:pPr>
            <w:r>
              <w:rPr>
                <w:rFonts w:hint="eastAsia"/>
                <w:sz w:val="24"/>
                <w:szCs w:val="24"/>
              </w:rPr>
              <w:t>4806</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sz w:val="24"/>
                <w:szCs w:val="24"/>
              </w:rPr>
            </w:pPr>
            <w:r>
              <w:rPr>
                <w:rFonts w:hint="eastAsia"/>
                <w:sz w:val="24"/>
                <w:szCs w:val="24"/>
              </w:rPr>
              <w:t>4796</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r>
              <w:rPr>
                <w:rFonts w:hint="eastAsia"/>
                <w:color w:val="000000"/>
                <w:kern w:val="0"/>
                <w:sz w:val="24"/>
                <w:szCs w:val="24"/>
              </w:rPr>
              <w:t>3</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年生均财政拨款</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元</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6472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6558</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r>
              <w:rPr>
                <w:rFonts w:hint="eastAsia"/>
                <w:color w:val="000000"/>
                <w:kern w:val="0"/>
                <w:sz w:val="24"/>
                <w:szCs w:val="24"/>
              </w:rPr>
              <w:t>4</w:t>
            </w:r>
          </w:p>
        </w:tc>
        <w:tc>
          <w:tcPr>
            <w:tcW w:w="4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left"/>
              <w:textAlignment w:val="center"/>
              <w:rPr>
                <w:color w:val="000000"/>
                <w:sz w:val="24"/>
                <w:szCs w:val="24"/>
              </w:rPr>
            </w:pPr>
            <w:r>
              <w:rPr>
                <w:color w:val="000000"/>
                <w:kern w:val="0"/>
                <w:sz w:val="24"/>
                <w:szCs w:val="24"/>
              </w:rPr>
              <w:t>纸质图书数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册</w:t>
            </w:r>
          </w:p>
        </w:tc>
        <w:tc>
          <w:tcPr>
            <w:tcW w:w="12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88" w:lineRule="auto"/>
              <w:jc w:val="left"/>
              <w:rPr>
                <w:color w:val="333333"/>
                <w:sz w:val="24"/>
                <w:szCs w:val="24"/>
              </w:rPr>
            </w:pPr>
            <w:r>
              <w:rPr>
                <w:rFonts w:hint="eastAsia"/>
                <w:color w:val="333333"/>
                <w:sz w:val="24"/>
                <w:szCs w:val="24"/>
              </w:rPr>
              <w:t>259021</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88" w:lineRule="auto"/>
              <w:jc w:val="left"/>
              <w:rPr>
                <w:color w:val="333333"/>
                <w:sz w:val="24"/>
                <w:szCs w:val="24"/>
              </w:rPr>
            </w:pPr>
            <w:r>
              <w:rPr>
                <w:rFonts w:hint="eastAsia"/>
                <w:color w:val="333333"/>
                <w:sz w:val="24"/>
                <w:szCs w:val="24"/>
              </w:rPr>
              <w:t>259021</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r>
              <w:rPr>
                <w:rFonts w:hint="eastAsia"/>
                <w:color w:val="000000"/>
                <w:kern w:val="0"/>
                <w:sz w:val="24"/>
                <w:szCs w:val="24"/>
              </w:rPr>
              <w:t>5</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电子图书</w:t>
            </w:r>
            <w:r>
              <w:rPr>
                <w:rFonts w:hint="eastAsia"/>
                <w:color w:val="000000"/>
                <w:kern w:val="0"/>
                <w:sz w:val="24"/>
                <w:szCs w:val="24"/>
              </w:rPr>
              <w:t>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册</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380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380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r>
              <w:rPr>
                <w:rFonts w:hint="eastAsia"/>
                <w:color w:val="000000"/>
                <w:kern w:val="0"/>
                <w:sz w:val="24"/>
                <w:szCs w:val="24"/>
              </w:rPr>
              <w:t>6</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 xml:space="preserve">校园网主干最大带宽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Mbps</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color w:val="333333"/>
                <w:sz w:val="24"/>
                <w:szCs w:val="24"/>
              </w:rPr>
              <w:t>10000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color w:val="333333"/>
                <w:sz w:val="24"/>
                <w:szCs w:val="24"/>
              </w:rPr>
              <w:t>10000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r>
              <w:rPr>
                <w:rFonts w:hint="eastAsia"/>
                <w:color w:val="000000"/>
                <w:kern w:val="0"/>
                <w:sz w:val="24"/>
                <w:szCs w:val="24"/>
              </w:rPr>
              <w:t>7</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教职员工额定编制数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220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220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r>
              <w:rPr>
                <w:rFonts w:hint="eastAsia"/>
                <w:color w:val="000000"/>
                <w:kern w:val="0"/>
                <w:sz w:val="24"/>
                <w:szCs w:val="24"/>
              </w:rPr>
              <w:t>8</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教职员工总数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220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218</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3</w:t>
            </w:r>
            <w:r>
              <w:rPr>
                <w:rFonts w:hint="eastAsia"/>
                <w:color w:val="000000"/>
                <w:kern w:val="0"/>
                <w:sz w:val="24"/>
                <w:szCs w:val="24"/>
              </w:rPr>
              <w:t>9</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 xml:space="preserve">    其中：专任教师总数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150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148</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rFonts w:hint="eastAsia"/>
                <w:color w:val="000000"/>
                <w:kern w:val="0"/>
                <w:sz w:val="24"/>
                <w:szCs w:val="24"/>
              </w:rPr>
              <w:t>40</w:t>
            </w:r>
          </w:p>
        </w:tc>
        <w:tc>
          <w:tcPr>
            <w:tcW w:w="4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left"/>
              <w:textAlignment w:val="center"/>
              <w:rPr>
                <w:color w:val="000000"/>
                <w:sz w:val="24"/>
                <w:szCs w:val="24"/>
              </w:rPr>
            </w:pPr>
            <w:r>
              <w:rPr>
                <w:color w:val="000000"/>
                <w:kern w:val="0"/>
                <w:sz w:val="24"/>
                <w:szCs w:val="24"/>
              </w:rPr>
              <w:t>生师比</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w:t>
            </w:r>
          </w:p>
        </w:tc>
        <w:tc>
          <w:tcPr>
            <w:tcW w:w="12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88" w:lineRule="auto"/>
              <w:jc w:val="left"/>
              <w:rPr>
                <w:sz w:val="24"/>
                <w:szCs w:val="24"/>
              </w:rPr>
            </w:pPr>
            <w:r>
              <w:rPr>
                <w:rFonts w:hint="eastAsia"/>
                <w:sz w:val="24"/>
                <w:szCs w:val="24"/>
              </w:rPr>
              <w:t>20.75</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288" w:lineRule="auto"/>
              <w:jc w:val="left"/>
              <w:rPr>
                <w:sz w:val="24"/>
                <w:szCs w:val="24"/>
              </w:rPr>
            </w:pPr>
            <w:r>
              <w:rPr>
                <w:rFonts w:hint="eastAsia"/>
                <w:sz w:val="24"/>
                <w:szCs w:val="24"/>
              </w:rPr>
              <w:t>21.07</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4</w:t>
            </w:r>
            <w:r>
              <w:rPr>
                <w:rFonts w:hint="eastAsia"/>
                <w:color w:val="000000"/>
                <w:kern w:val="0"/>
                <w:sz w:val="24"/>
                <w:szCs w:val="24"/>
              </w:rPr>
              <w:t>1</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“双师”素质专任专业教师总数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人</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92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90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4</w:t>
            </w:r>
            <w:r>
              <w:rPr>
                <w:rFonts w:hint="eastAsia"/>
                <w:color w:val="000000"/>
                <w:kern w:val="0"/>
                <w:sz w:val="24"/>
                <w:szCs w:val="24"/>
              </w:rPr>
              <w:t>2</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合作企业教师实践基地数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个</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32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32</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4</w:t>
            </w:r>
            <w:r>
              <w:rPr>
                <w:rFonts w:hint="eastAsia"/>
                <w:color w:val="000000"/>
                <w:kern w:val="0"/>
                <w:sz w:val="24"/>
                <w:szCs w:val="24"/>
              </w:rPr>
              <w:t>3</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高级专业技术职务专任教师占比</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42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41.2</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4</w:t>
            </w:r>
            <w:r>
              <w:rPr>
                <w:rFonts w:hint="eastAsia"/>
                <w:color w:val="000000"/>
                <w:kern w:val="0"/>
                <w:sz w:val="24"/>
                <w:szCs w:val="24"/>
              </w:rPr>
              <w:t>4</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color w:val="000000"/>
                <w:sz w:val="24"/>
                <w:szCs w:val="24"/>
              </w:rPr>
            </w:pPr>
            <w:r>
              <w:rPr>
                <w:color w:val="000000"/>
                <w:kern w:val="0"/>
                <w:sz w:val="24"/>
                <w:szCs w:val="24"/>
              </w:rPr>
              <w:t>硕士研究生及以上学历专任教师占比</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17.9</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8" w:lineRule="auto"/>
              <w:jc w:val="left"/>
              <w:rPr>
                <w:color w:val="333333"/>
                <w:sz w:val="24"/>
                <w:szCs w:val="24"/>
              </w:rPr>
            </w:pPr>
            <w:r>
              <w:rPr>
                <w:rFonts w:hint="eastAsia"/>
                <w:color w:val="333333"/>
                <w:sz w:val="24"/>
                <w:szCs w:val="24"/>
              </w:rPr>
              <w:t>18.2</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4</w:t>
            </w:r>
            <w:r>
              <w:rPr>
                <w:rFonts w:hint="eastAsia"/>
                <w:color w:val="000000"/>
                <w:kern w:val="0"/>
                <w:sz w:val="24"/>
                <w:szCs w:val="24"/>
              </w:rPr>
              <w:t>5</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tcPr>
          <w:p>
            <w:pPr>
              <w:widowControl/>
              <w:spacing w:line="288" w:lineRule="auto"/>
              <w:jc w:val="left"/>
              <w:textAlignment w:val="top"/>
              <w:rPr>
                <w:color w:val="000000"/>
                <w:sz w:val="24"/>
                <w:szCs w:val="24"/>
              </w:rPr>
            </w:pPr>
            <w:r>
              <w:rPr>
                <w:color w:val="000000"/>
                <w:kern w:val="0"/>
                <w:sz w:val="24"/>
                <w:szCs w:val="24"/>
              </w:rPr>
              <w:t>企业提供的实践教学设备总值</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万元</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Pr>
          <w:p>
            <w:pPr>
              <w:spacing w:line="288" w:lineRule="auto"/>
              <w:jc w:val="left"/>
              <w:rPr>
                <w:color w:val="333333"/>
                <w:sz w:val="24"/>
                <w:szCs w:val="24"/>
              </w:rPr>
            </w:pPr>
            <w:r>
              <w:rPr>
                <w:rFonts w:hint="eastAsia"/>
                <w:color w:val="333333"/>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Pr>
          <w:p>
            <w:pPr>
              <w:spacing w:line="288" w:lineRule="auto"/>
              <w:jc w:val="left"/>
              <w:rPr>
                <w:color w:val="333333"/>
                <w:sz w:val="24"/>
                <w:szCs w:val="24"/>
              </w:rPr>
            </w:pPr>
            <w:r>
              <w:rPr>
                <w:rFonts w:hint="eastAsia"/>
                <w:color w:val="333333"/>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4</w:t>
            </w:r>
            <w:r>
              <w:rPr>
                <w:rFonts w:hint="eastAsia"/>
                <w:color w:val="000000"/>
                <w:kern w:val="0"/>
                <w:sz w:val="24"/>
                <w:szCs w:val="24"/>
              </w:rPr>
              <w:t>6</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tcPr>
          <w:p>
            <w:pPr>
              <w:widowControl/>
              <w:spacing w:line="288" w:lineRule="auto"/>
              <w:jc w:val="left"/>
              <w:textAlignment w:val="top"/>
              <w:rPr>
                <w:color w:val="000000"/>
                <w:sz w:val="24"/>
                <w:szCs w:val="24"/>
              </w:rPr>
            </w:pPr>
            <w:r>
              <w:rPr>
                <w:color w:val="000000"/>
                <w:kern w:val="0"/>
                <w:sz w:val="24"/>
                <w:szCs w:val="24"/>
              </w:rPr>
              <w:t>合作企业接收学生实习比例</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333333"/>
                <w:sz w:val="24"/>
                <w:szCs w:val="24"/>
              </w:rPr>
            </w:pPr>
            <w:r>
              <w:rPr>
                <w:color w:val="333333"/>
                <w:kern w:val="0"/>
                <w:sz w:val="24"/>
                <w:szCs w:val="24"/>
              </w:rPr>
              <w:t>%</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Pr>
          <w:p>
            <w:pPr>
              <w:spacing w:line="288" w:lineRule="auto"/>
              <w:jc w:val="left"/>
              <w:rPr>
                <w:color w:val="333333"/>
                <w:sz w:val="24"/>
                <w:szCs w:val="24"/>
              </w:rPr>
            </w:pPr>
            <w:r>
              <w:rPr>
                <w:rFonts w:hint="eastAsia"/>
                <w:color w:val="333333"/>
                <w:sz w:val="24"/>
                <w:szCs w:val="24"/>
              </w:rPr>
              <w:t>100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Pr>
          <w:p>
            <w:pPr>
              <w:spacing w:line="288" w:lineRule="auto"/>
              <w:jc w:val="left"/>
              <w:rPr>
                <w:color w:val="333333"/>
                <w:sz w:val="24"/>
                <w:szCs w:val="24"/>
              </w:rPr>
            </w:pPr>
            <w:r>
              <w:rPr>
                <w:rFonts w:hint="eastAsia"/>
                <w:color w:val="333333"/>
                <w:sz w:val="24"/>
                <w:szCs w:val="24"/>
              </w:rPr>
              <w:t>100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4</w:t>
            </w:r>
            <w:r>
              <w:rPr>
                <w:rFonts w:hint="eastAsia"/>
                <w:color w:val="000000"/>
                <w:kern w:val="0"/>
                <w:sz w:val="24"/>
                <w:szCs w:val="24"/>
              </w:rPr>
              <w:t>7</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tcPr>
          <w:p>
            <w:pPr>
              <w:widowControl/>
              <w:spacing w:line="288" w:lineRule="auto"/>
              <w:jc w:val="left"/>
              <w:textAlignment w:val="top"/>
              <w:rPr>
                <w:color w:val="000000"/>
                <w:sz w:val="24"/>
                <w:szCs w:val="24"/>
              </w:rPr>
            </w:pPr>
            <w:r>
              <w:rPr>
                <w:color w:val="000000"/>
                <w:kern w:val="0"/>
                <w:sz w:val="24"/>
                <w:szCs w:val="24"/>
              </w:rPr>
              <w:t>生均企业实习经费补贴</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Pr>
          <w:p>
            <w:pPr>
              <w:widowControl/>
              <w:spacing w:line="288" w:lineRule="auto"/>
              <w:textAlignment w:val="top"/>
              <w:rPr>
                <w:color w:val="333333"/>
                <w:sz w:val="24"/>
                <w:szCs w:val="24"/>
              </w:rPr>
            </w:pPr>
            <w:r>
              <w:rPr>
                <w:color w:val="333333"/>
                <w:kern w:val="0"/>
                <w:sz w:val="24"/>
                <w:szCs w:val="24"/>
              </w:rPr>
              <w:t>元</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Pr>
          <w:p>
            <w:pPr>
              <w:spacing w:line="288" w:lineRule="auto"/>
              <w:jc w:val="left"/>
              <w:rPr>
                <w:color w:val="333333"/>
                <w:sz w:val="24"/>
                <w:szCs w:val="24"/>
              </w:rPr>
            </w:pPr>
            <w:r>
              <w:rPr>
                <w:rFonts w:hint="eastAsia"/>
                <w:color w:val="333333"/>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Pr>
          <w:p>
            <w:pPr>
              <w:spacing w:line="288" w:lineRule="auto"/>
              <w:jc w:val="left"/>
              <w:rPr>
                <w:color w:val="333333"/>
                <w:sz w:val="24"/>
                <w:szCs w:val="24"/>
              </w:rPr>
            </w:pPr>
            <w:r>
              <w:rPr>
                <w:rFonts w:hint="eastAsia"/>
                <w:color w:val="333333"/>
                <w:sz w:val="24"/>
                <w:szCs w:val="24"/>
              </w:rPr>
              <w:t>0</w:t>
            </w:r>
          </w:p>
        </w:tc>
      </w:tr>
      <w:tr>
        <w:tblPrEx>
          <w:tblLayout w:type="fixed"/>
          <w:tblCellMar>
            <w:top w:w="0" w:type="dxa"/>
            <w:left w:w="108" w:type="dxa"/>
            <w:bottom w:w="0" w:type="dxa"/>
            <w:right w:w="108" w:type="dxa"/>
          </w:tblCellMar>
        </w:tblPrEx>
        <w:trPr>
          <w:trHeight w:val="28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textAlignment w:val="center"/>
              <w:rPr>
                <w:color w:val="000000"/>
                <w:sz w:val="24"/>
                <w:szCs w:val="24"/>
              </w:rPr>
            </w:pPr>
            <w:r>
              <w:rPr>
                <w:color w:val="000000"/>
                <w:kern w:val="0"/>
                <w:sz w:val="24"/>
                <w:szCs w:val="24"/>
              </w:rPr>
              <w:t>4</w:t>
            </w:r>
            <w:r>
              <w:rPr>
                <w:rFonts w:hint="eastAsia"/>
                <w:color w:val="000000"/>
                <w:kern w:val="0"/>
                <w:sz w:val="24"/>
                <w:szCs w:val="24"/>
              </w:rPr>
              <w:t>8</w:t>
            </w:r>
          </w:p>
        </w:tc>
        <w:tc>
          <w:tcPr>
            <w:tcW w:w="4696" w:type="dxa"/>
            <w:tcBorders>
              <w:top w:val="single" w:color="000000" w:sz="4" w:space="0"/>
              <w:left w:val="single" w:color="000000" w:sz="4" w:space="0"/>
              <w:bottom w:val="single" w:color="000000" w:sz="4" w:space="0"/>
              <w:right w:val="single" w:color="000000" w:sz="4" w:space="0"/>
            </w:tcBorders>
            <w:shd w:val="clear" w:color="auto" w:fill="auto"/>
            <w:noWrap/>
          </w:tcPr>
          <w:p>
            <w:pPr>
              <w:widowControl/>
              <w:spacing w:line="288" w:lineRule="auto"/>
              <w:jc w:val="left"/>
              <w:textAlignment w:val="top"/>
              <w:rPr>
                <w:color w:val="000000"/>
                <w:sz w:val="24"/>
                <w:szCs w:val="24"/>
              </w:rPr>
            </w:pPr>
            <w:r>
              <w:rPr>
                <w:color w:val="000000"/>
                <w:kern w:val="0"/>
                <w:sz w:val="24"/>
                <w:szCs w:val="24"/>
              </w:rPr>
              <w:t xml:space="preserve">    其中：生均财政专项补贴</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Pr>
          <w:p>
            <w:pPr>
              <w:widowControl/>
              <w:spacing w:line="288" w:lineRule="auto"/>
              <w:textAlignment w:val="top"/>
              <w:rPr>
                <w:color w:val="333333"/>
                <w:sz w:val="24"/>
                <w:szCs w:val="24"/>
              </w:rPr>
            </w:pPr>
            <w:r>
              <w:rPr>
                <w:color w:val="333333"/>
                <w:kern w:val="0"/>
                <w:sz w:val="24"/>
                <w:szCs w:val="24"/>
              </w:rPr>
              <w:t>元</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Pr>
          <w:p>
            <w:pPr>
              <w:spacing w:line="288" w:lineRule="auto"/>
              <w:jc w:val="left"/>
              <w:rPr>
                <w:color w:val="333333"/>
                <w:sz w:val="24"/>
                <w:szCs w:val="24"/>
              </w:rPr>
            </w:pPr>
            <w:r>
              <w:rPr>
                <w:rFonts w:hint="eastAsia"/>
                <w:color w:val="333333"/>
                <w:sz w:val="24"/>
                <w:szCs w:val="24"/>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Pr>
          <w:p>
            <w:pPr>
              <w:spacing w:line="288" w:lineRule="auto"/>
              <w:jc w:val="left"/>
              <w:rPr>
                <w:color w:val="333333"/>
                <w:sz w:val="24"/>
                <w:szCs w:val="24"/>
              </w:rPr>
            </w:pPr>
            <w:r>
              <w:rPr>
                <w:rFonts w:hint="eastAsia"/>
                <w:color w:val="333333"/>
                <w:sz w:val="24"/>
                <w:szCs w:val="24"/>
              </w:rPr>
              <w:t>0</w:t>
            </w:r>
          </w:p>
        </w:tc>
      </w:tr>
    </w:tbl>
    <w:p>
      <w:pPr>
        <w:rPr>
          <w:rFonts w:ascii="Times New Roman" w:hAnsi="Times New Roman" w:eastAsia="仿宋_GB2312"/>
          <w:sz w:val="24"/>
          <w:szCs w:val="24"/>
        </w:rPr>
      </w:pPr>
    </w:p>
    <w:p>
      <w:pPr>
        <w:pStyle w:val="42"/>
        <w:ind w:firstLine="640"/>
        <w:rPr>
          <w:rFonts w:ascii="黑体" w:eastAsia="黑体"/>
          <w:sz w:val="32"/>
          <w:szCs w:val="32"/>
        </w:rPr>
      </w:pPr>
    </w:p>
    <w:sectPr>
      <w:headerReference r:id="rId5" w:type="default"/>
      <w:footerReference r:id="rId6"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9"/>
                  <w:rPr>
                    <w:rStyle w:val="20"/>
                  </w:rPr>
                </w:pPr>
                <w:r>
                  <w:fldChar w:fldCharType="begin"/>
                </w:r>
                <w:r>
                  <w:rPr>
                    <w:rStyle w:val="20"/>
                  </w:rPr>
                  <w:instrText xml:space="preserve">PAGE  </w:instrText>
                </w:r>
                <w:r>
                  <w:fldChar w:fldCharType="separate"/>
                </w:r>
                <w:r>
                  <w:rPr>
                    <w:rStyle w:val="20"/>
                  </w:rPr>
                  <w:t>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firstLine="560"/>
      <w:rPr>
        <w:sz w:val="20"/>
      </w:rPr>
    </w:pPr>
    <w:r>
      <w:pict>
        <v:shape id="文本框 7" o:spid="_x0000_s4100" o:spt="202" type="#_x0000_t202" style="position:absolute;left:0pt;margin-left:290pt;margin-top:782.1pt;height:11pt;width:15.15pt;mso-position-horizontal-relative:page;mso-position-vertical-relative:page;z-index:-251656192;mso-width-relative:page;mso-height-relative:page;" filled="f" stroked="f" coordsize="21600,21600" o:gfxdata="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jddH2wAAAA0BAAAPAAAAAAAAAAEAIAAAACIAAABkcnMvZG93bnJldi54bWxQ&#10;SwECFAAUAAAACACHTuJAGh49MrsBAABxAwAADgAAAAAAAAABACAAAAAqAQAAZHJzL2Uyb0RvYy54&#10;bWxQSwUGAAAAAAYABgBZAQAAVwUAAAAA&#10;">
          <v:path/>
          <v:fill on="f" focussize="0,0"/>
          <v:stroke on="f" joinstyle="miter"/>
          <v:imagedata o:title=""/>
          <o:lock v:ext="edit"/>
          <v:textbox inset="0mm,0mm,0mm,0mm">
            <w:txbxContent>
              <w:p>
                <w:pPr>
                  <w:spacing w:line="203" w:lineRule="exact"/>
                  <w:ind w:left="60"/>
                  <w:rPr>
                    <w:sz w:val="18"/>
                  </w:rPr>
                </w:pPr>
                <w:r>
                  <w:fldChar w:fldCharType="begin"/>
                </w:r>
                <w:r>
                  <w:rPr>
                    <w:sz w:val="18"/>
                  </w:rPr>
                  <w:instrText xml:space="preserve"> PAGE </w:instrText>
                </w:r>
                <w:r>
                  <w:fldChar w:fldCharType="separate"/>
                </w:r>
                <w:r>
                  <w:rPr>
                    <w:sz w:val="18"/>
                  </w:rPr>
                  <w:t>64</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0"/>
      </w:pBdr>
      <w:jc w:val="left"/>
      <w:rPr>
        <w:sz w:val="24"/>
        <w:szCs w:val="24"/>
      </w:rPr>
    </w:pPr>
    <w:r>
      <w:rPr>
        <w:rFonts w:hint="eastAsia"/>
        <w:sz w:val="24"/>
        <w:szCs w:val="24"/>
      </w:rPr>
      <w:t xml:space="preserve">南阳中医药学校                                       </w:t>
    </w:r>
    <w:r>
      <w:rPr>
        <w:rFonts w:hint="eastAsia"/>
      </w:rPr>
      <w:t>中等职业教育质量报告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0"/>
      </w:pBdr>
      <w:jc w:val="left"/>
      <w:rPr>
        <w:sz w:val="24"/>
        <w:szCs w:val="24"/>
      </w:rPr>
    </w:pPr>
    <w:r>
      <w:rPr>
        <w:rFonts w:hint="eastAsia"/>
        <w:sz w:val="24"/>
        <w:szCs w:val="24"/>
      </w:rPr>
      <w:t xml:space="preserve">南阳中医药学校                                       </w:t>
    </w:r>
    <w:r>
      <w:rPr>
        <w:rFonts w:hint="eastAsia"/>
      </w:rPr>
      <w:t>中等职业教育质量报告</w:t>
    </w:r>
  </w:p>
  <w:p>
    <w:pPr>
      <w:pStyle w:val="5"/>
      <w:spacing w:line="14" w:lineRule="auto"/>
      <w:ind w:firstLine="400"/>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4288"/>
    <w:rsid w:val="00011BEE"/>
    <w:rsid w:val="00012B44"/>
    <w:rsid w:val="00013180"/>
    <w:rsid w:val="00023273"/>
    <w:rsid w:val="0002676B"/>
    <w:rsid w:val="0003006F"/>
    <w:rsid w:val="000336EE"/>
    <w:rsid w:val="000358DC"/>
    <w:rsid w:val="00044A98"/>
    <w:rsid w:val="00050821"/>
    <w:rsid w:val="00051809"/>
    <w:rsid w:val="00052A4D"/>
    <w:rsid w:val="00060FDF"/>
    <w:rsid w:val="0007343B"/>
    <w:rsid w:val="00080DB6"/>
    <w:rsid w:val="0008265C"/>
    <w:rsid w:val="0008407F"/>
    <w:rsid w:val="000901B8"/>
    <w:rsid w:val="000906C0"/>
    <w:rsid w:val="00093D44"/>
    <w:rsid w:val="00094664"/>
    <w:rsid w:val="00096682"/>
    <w:rsid w:val="000978A2"/>
    <w:rsid w:val="000A0E44"/>
    <w:rsid w:val="000A4A35"/>
    <w:rsid w:val="000B444D"/>
    <w:rsid w:val="000C047C"/>
    <w:rsid w:val="000C1320"/>
    <w:rsid w:val="000D23DC"/>
    <w:rsid w:val="000D2789"/>
    <w:rsid w:val="000D535B"/>
    <w:rsid w:val="000D7442"/>
    <w:rsid w:val="000E00DB"/>
    <w:rsid w:val="000E5F06"/>
    <w:rsid w:val="000F789B"/>
    <w:rsid w:val="001117D1"/>
    <w:rsid w:val="00113B28"/>
    <w:rsid w:val="00144946"/>
    <w:rsid w:val="001450A2"/>
    <w:rsid w:val="001500A4"/>
    <w:rsid w:val="00153125"/>
    <w:rsid w:val="00154BE6"/>
    <w:rsid w:val="001666DD"/>
    <w:rsid w:val="00166C7C"/>
    <w:rsid w:val="00167523"/>
    <w:rsid w:val="00170328"/>
    <w:rsid w:val="00174CF4"/>
    <w:rsid w:val="00175599"/>
    <w:rsid w:val="0018109A"/>
    <w:rsid w:val="001820CD"/>
    <w:rsid w:val="001858F4"/>
    <w:rsid w:val="001A18C7"/>
    <w:rsid w:val="001C6D16"/>
    <w:rsid w:val="001D0662"/>
    <w:rsid w:val="001D11F1"/>
    <w:rsid w:val="001D31DA"/>
    <w:rsid w:val="001D4BE2"/>
    <w:rsid w:val="001E606B"/>
    <w:rsid w:val="001E7D54"/>
    <w:rsid w:val="001F0DE8"/>
    <w:rsid w:val="00203B92"/>
    <w:rsid w:val="0021527B"/>
    <w:rsid w:val="00222436"/>
    <w:rsid w:val="002227EB"/>
    <w:rsid w:val="00223085"/>
    <w:rsid w:val="00223CA9"/>
    <w:rsid w:val="002343A8"/>
    <w:rsid w:val="00236CCA"/>
    <w:rsid w:val="0024057F"/>
    <w:rsid w:val="00243D32"/>
    <w:rsid w:val="00243E4F"/>
    <w:rsid w:val="0025187B"/>
    <w:rsid w:val="00255D49"/>
    <w:rsid w:val="00257590"/>
    <w:rsid w:val="00272016"/>
    <w:rsid w:val="002721FD"/>
    <w:rsid w:val="0027546E"/>
    <w:rsid w:val="00285613"/>
    <w:rsid w:val="002875C1"/>
    <w:rsid w:val="0029311E"/>
    <w:rsid w:val="002A281B"/>
    <w:rsid w:val="002A3BC1"/>
    <w:rsid w:val="002A79A3"/>
    <w:rsid w:val="002C0C80"/>
    <w:rsid w:val="002C0D8D"/>
    <w:rsid w:val="002C17F7"/>
    <w:rsid w:val="002C77A5"/>
    <w:rsid w:val="002D0ACE"/>
    <w:rsid w:val="002D1DB6"/>
    <w:rsid w:val="002D2B5D"/>
    <w:rsid w:val="002D40EC"/>
    <w:rsid w:val="002E3842"/>
    <w:rsid w:val="002F5FCF"/>
    <w:rsid w:val="00301CC6"/>
    <w:rsid w:val="003023A6"/>
    <w:rsid w:val="00306848"/>
    <w:rsid w:val="00313BA5"/>
    <w:rsid w:val="00315BB9"/>
    <w:rsid w:val="00322BE7"/>
    <w:rsid w:val="00327EF6"/>
    <w:rsid w:val="00332418"/>
    <w:rsid w:val="003420F7"/>
    <w:rsid w:val="003425DA"/>
    <w:rsid w:val="0034453D"/>
    <w:rsid w:val="0034454F"/>
    <w:rsid w:val="00350E44"/>
    <w:rsid w:val="0035243A"/>
    <w:rsid w:val="003527D8"/>
    <w:rsid w:val="00356531"/>
    <w:rsid w:val="003668A6"/>
    <w:rsid w:val="0037265C"/>
    <w:rsid w:val="00374F6A"/>
    <w:rsid w:val="00376C47"/>
    <w:rsid w:val="00380834"/>
    <w:rsid w:val="00381FC3"/>
    <w:rsid w:val="00385C32"/>
    <w:rsid w:val="00391861"/>
    <w:rsid w:val="00395874"/>
    <w:rsid w:val="00397C61"/>
    <w:rsid w:val="003A138C"/>
    <w:rsid w:val="003A412A"/>
    <w:rsid w:val="003A4A71"/>
    <w:rsid w:val="003B3385"/>
    <w:rsid w:val="003D10CF"/>
    <w:rsid w:val="003E0380"/>
    <w:rsid w:val="003E10DA"/>
    <w:rsid w:val="003E2DC3"/>
    <w:rsid w:val="003E6433"/>
    <w:rsid w:val="003E72CD"/>
    <w:rsid w:val="003F190E"/>
    <w:rsid w:val="003F29B2"/>
    <w:rsid w:val="004000AC"/>
    <w:rsid w:val="00401D04"/>
    <w:rsid w:val="00402406"/>
    <w:rsid w:val="00405ADD"/>
    <w:rsid w:val="0041006C"/>
    <w:rsid w:val="00411186"/>
    <w:rsid w:val="00412F85"/>
    <w:rsid w:val="004153EE"/>
    <w:rsid w:val="00424459"/>
    <w:rsid w:val="00425C74"/>
    <w:rsid w:val="00427698"/>
    <w:rsid w:val="00436208"/>
    <w:rsid w:val="00436761"/>
    <w:rsid w:val="0044028A"/>
    <w:rsid w:val="00441EF1"/>
    <w:rsid w:val="00450971"/>
    <w:rsid w:val="00454A20"/>
    <w:rsid w:val="0047502F"/>
    <w:rsid w:val="00475EF0"/>
    <w:rsid w:val="0048187E"/>
    <w:rsid w:val="004833E3"/>
    <w:rsid w:val="0049264A"/>
    <w:rsid w:val="004949CF"/>
    <w:rsid w:val="004A109E"/>
    <w:rsid w:val="004A1C86"/>
    <w:rsid w:val="004A41ED"/>
    <w:rsid w:val="004A4934"/>
    <w:rsid w:val="004A4ADE"/>
    <w:rsid w:val="004A4C16"/>
    <w:rsid w:val="004C07E5"/>
    <w:rsid w:val="004C24F0"/>
    <w:rsid w:val="004C3E18"/>
    <w:rsid w:val="004C536F"/>
    <w:rsid w:val="004D3790"/>
    <w:rsid w:val="004D7826"/>
    <w:rsid w:val="004E4265"/>
    <w:rsid w:val="004F5461"/>
    <w:rsid w:val="004F5CAF"/>
    <w:rsid w:val="00507164"/>
    <w:rsid w:val="005115B1"/>
    <w:rsid w:val="00512653"/>
    <w:rsid w:val="00514787"/>
    <w:rsid w:val="00523FBF"/>
    <w:rsid w:val="00526A0C"/>
    <w:rsid w:val="00530B5B"/>
    <w:rsid w:val="005318B1"/>
    <w:rsid w:val="00531912"/>
    <w:rsid w:val="00535416"/>
    <w:rsid w:val="005379DE"/>
    <w:rsid w:val="00540041"/>
    <w:rsid w:val="005405B6"/>
    <w:rsid w:val="00543E13"/>
    <w:rsid w:val="0054682C"/>
    <w:rsid w:val="00546B69"/>
    <w:rsid w:val="005549A7"/>
    <w:rsid w:val="005610EA"/>
    <w:rsid w:val="00567B0F"/>
    <w:rsid w:val="00570003"/>
    <w:rsid w:val="00573AA1"/>
    <w:rsid w:val="00582AD8"/>
    <w:rsid w:val="00587DFD"/>
    <w:rsid w:val="005921F5"/>
    <w:rsid w:val="00594229"/>
    <w:rsid w:val="00595F31"/>
    <w:rsid w:val="00595FC3"/>
    <w:rsid w:val="005960EF"/>
    <w:rsid w:val="005975ED"/>
    <w:rsid w:val="005A31AE"/>
    <w:rsid w:val="005A3F9D"/>
    <w:rsid w:val="005A519D"/>
    <w:rsid w:val="005B0A51"/>
    <w:rsid w:val="005B3BAA"/>
    <w:rsid w:val="005B548A"/>
    <w:rsid w:val="005B6387"/>
    <w:rsid w:val="005C0231"/>
    <w:rsid w:val="005D1185"/>
    <w:rsid w:val="005D1CD7"/>
    <w:rsid w:val="005D5108"/>
    <w:rsid w:val="005E2ACA"/>
    <w:rsid w:val="005E2E50"/>
    <w:rsid w:val="005E4A02"/>
    <w:rsid w:val="005E71CF"/>
    <w:rsid w:val="005F19A8"/>
    <w:rsid w:val="005F19FB"/>
    <w:rsid w:val="005F21CC"/>
    <w:rsid w:val="005F25FD"/>
    <w:rsid w:val="005F4ABC"/>
    <w:rsid w:val="005F4EFC"/>
    <w:rsid w:val="005F5364"/>
    <w:rsid w:val="00602201"/>
    <w:rsid w:val="00603CA3"/>
    <w:rsid w:val="00604C2F"/>
    <w:rsid w:val="00611EA2"/>
    <w:rsid w:val="006133A4"/>
    <w:rsid w:val="0061704C"/>
    <w:rsid w:val="00621F13"/>
    <w:rsid w:val="00623F6A"/>
    <w:rsid w:val="0063031E"/>
    <w:rsid w:val="00630D17"/>
    <w:rsid w:val="006358AD"/>
    <w:rsid w:val="0063675A"/>
    <w:rsid w:val="0063775B"/>
    <w:rsid w:val="0064240D"/>
    <w:rsid w:val="00652F29"/>
    <w:rsid w:val="00660EBB"/>
    <w:rsid w:val="006633A1"/>
    <w:rsid w:val="006664BE"/>
    <w:rsid w:val="006739D6"/>
    <w:rsid w:val="00677914"/>
    <w:rsid w:val="00682414"/>
    <w:rsid w:val="00682564"/>
    <w:rsid w:val="006849EB"/>
    <w:rsid w:val="0068562B"/>
    <w:rsid w:val="00693C05"/>
    <w:rsid w:val="00697833"/>
    <w:rsid w:val="006A3D13"/>
    <w:rsid w:val="006A675B"/>
    <w:rsid w:val="006B1CAF"/>
    <w:rsid w:val="006B3EF2"/>
    <w:rsid w:val="006B5F4C"/>
    <w:rsid w:val="006C0F1E"/>
    <w:rsid w:val="006C1039"/>
    <w:rsid w:val="006C2D49"/>
    <w:rsid w:val="006D046B"/>
    <w:rsid w:val="006D4D7E"/>
    <w:rsid w:val="006D6575"/>
    <w:rsid w:val="006D6609"/>
    <w:rsid w:val="006E4106"/>
    <w:rsid w:val="006E5EB9"/>
    <w:rsid w:val="006E7DA7"/>
    <w:rsid w:val="006F5071"/>
    <w:rsid w:val="006F610D"/>
    <w:rsid w:val="006F7038"/>
    <w:rsid w:val="007046DA"/>
    <w:rsid w:val="0070513E"/>
    <w:rsid w:val="00707AE1"/>
    <w:rsid w:val="007131D6"/>
    <w:rsid w:val="0071576F"/>
    <w:rsid w:val="00715E76"/>
    <w:rsid w:val="00721360"/>
    <w:rsid w:val="00721DC5"/>
    <w:rsid w:val="007244FE"/>
    <w:rsid w:val="007245FA"/>
    <w:rsid w:val="00724B03"/>
    <w:rsid w:val="00726B97"/>
    <w:rsid w:val="007273D9"/>
    <w:rsid w:val="0073018F"/>
    <w:rsid w:val="00730EB1"/>
    <w:rsid w:val="007350BE"/>
    <w:rsid w:val="00737C7B"/>
    <w:rsid w:val="00740556"/>
    <w:rsid w:val="0074073D"/>
    <w:rsid w:val="00740F57"/>
    <w:rsid w:val="00743EB8"/>
    <w:rsid w:val="0075572D"/>
    <w:rsid w:val="0075588D"/>
    <w:rsid w:val="00755F00"/>
    <w:rsid w:val="007573FB"/>
    <w:rsid w:val="00761D32"/>
    <w:rsid w:val="00765C3E"/>
    <w:rsid w:val="00766E1C"/>
    <w:rsid w:val="00774861"/>
    <w:rsid w:val="007801B2"/>
    <w:rsid w:val="00792481"/>
    <w:rsid w:val="007935B2"/>
    <w:rsid w:val="00795F2B"/>
    <w:rsid w:val="00797DF8"/>
    <w:rsid w:val="007A5DC1"/>
    <w:rsid w:val="007A61F6"/>
    <w:rsid w:val="007B195E"/>
    <w:rsid w:val="007B5425"/>
    <w:rsid w:val="007C0265"/>
    <w:rsid w:val="007C2D5A"/>
    <w:rsid w:val="007C5A38"/>
    <w:rsid w:val="007D0441"/>
    <w:rsid w:val="007D0E6E"/>
    <w:rsid w:val="007E109C"/>
    <w:rsid w:val="007E396E"/>
    <w:rsid w:val="007E7095"/>
    <w:rsid w:val="007F0DA6"/>
    <w:rsid w:val="007F4D12"/>
    <w:rsid w:val="00802506"/>
    <w:rsid w:val="00803907"/>
    <w:rsid w:val="0080702A"/>
    <w:rsid w:val="008122AA"/>
    <w:rsid w:val="00814105"/>
    <w:rsid w:val="00821F3C"/>
    <w:rsid w:val="00823E18"/>
    <w:rsid w:val="00827AD0"/>
    <w:rsid w:val="008308C6"/>
    <w:rsid w:val="008333D1"/>
    <w:rsid w:val="00834543"/>
    <w:rsid w:val="00834FEB"/>
    <w:rsid w:val="00837089"/>
    <w:rsid w:val="00843967"/>
    <w:rsid w:val="008602EE"/>
    <w:rsid w:val="008633D2"/>
    <w:rsid w:val="00864296"/>
    <w:rsid w:val="008676F6"/>
    <w:rsid w:val="00870D9A"/>
    <w:rsid w:val="00871419"/>
    <w:rsid w:val="0088130F"/>
    <w:rsid w:val="008827AD"/>
    <w:rsid w:val="008854BE"/>
    <w:rsid w:val="00891958"/>
    <w:rsid w:val="00892A32"/>
    <w:rsid w:val="008931EE"/>
    <w:rsid w:val="00893583"/>
    <w:rsid w:val="00894AB6"/>
    <w:rsid w:val="008950C4"/>
    <w:rsid w:val="008A4BC4"/>
    <w:rsid w:val="008A6C43"/>
    <w:rsid w:val="008B2684"/>
    <w:rsid w:val="008B6AE0"/>
    <w:rsid w:val="008C5D3A"/>
    <w:rsid w:val="008D09B5"/>
    <w:rsid w:val="008D3B6E"/>
    <w:rsid w:val="008D547C"/>
    <w:rsid w:val="008E6C0F"/>
    <w:rsid w:val="008E77BC"/>
    <w:rsid w:val="008F01D4"/>
    <w:rsid w:val="008F3341"/>
    <w:rsid w:val="008F5637"/>
    <w:rsid w:val="00904F49"/>
    <w:rsid w:val="00907DC2"/>
    <w:rsid w:val="00912FF9"/>
    <w:rsid w:val="00914678"/>
    <w:rsid w:val="00917099"/>
    <w:rsid w:val="0092317F"/>
    <w:rsid w:val="00930FA3"/>
    <w:rsid w:val="009322F1"/>
    <w:rsid w:val="009332D6"/>
    <w:rsid w:val="009334BA"/>
    <w:rsid w:val="00933AD9"/>
    <w:rsid w:val="009422A2"/>
    <w:rsid w:val="009443F4"/>
    <w:rsid w:val="0095138A"/>
    <w:rsid w:val="009528DC"/>
    <w:rsid w:val="009550E3"/>
    <w:rsid w:val="00957A4A"/>
    <w:rsid w:val="00960670"/>
    <w:rsid w:val="00961483"/>
    <w:rsid w:val="009773FA"/>
    <w:rsid w:val="0098130C"/>
    <w:rsid w:val="00985055"/>
    <w:rsid w:val="00991AFF"/>
    <w:rsid w:val="00994288"/>
    <w:rsid w:val="00994ADA"/>
    <w:rsid w:val="00997873"/>
    <w:rsid w:val="009A5156"/>
    <w:rsid w:val="009B3A3B"/>
    <w:rsid w:val="009B582A"/>
    <w:rsid w:val="009B6C57"/>
    <w:rsid w:val="009C111A"/>
    <w:rsid w:val="009C63D1"/>
    <w:rsid w:val="009C658D"/>
    <w:rsid w:val="009D4CD7"/>
    <w:rsid w:val="009D6F33"/>
    <w:rsid w:val="009E1FF6"/>
    <w:rsid w:val="009E4C31"/>
    <w:rsid w:val="009E5492"/>
    <w:rsid w:val="009E573B"/>
    <w:rsid w:val="009F52D3"/>
    <w:rsid w:val="009F61FA"/>
    <w:rsid w:val="009F731C"/>
    <w:rsid w:val="00A000FC"/>
    <w:rsid w:val="00A03976"/>
    <w:rsid w:val="00A07D88"/>
    <w:rsid w:val="00A12E23"/>
    <w:rsid w:val="00A14E5B"/>
    <w:rsid w:val="00A1560B"/>
    <w:rsid w:val="00A1588A"/>
    <w:rsid w:val="00A20A87"/>
    <w:rsid w:val="00A275E7"/>
    <w:rsid w:val="00A32784"/>
    <w:rsid w:val="00A35936"/>
    <w:rsid w:val="00A36A82"/>
    <w:rsid w:val="00A3782D"/>
    <w:rsid w:val="00A42C49"/>
    <w:rsid w:val="00A44B5C"/>
    <w:rsid w:val="00A501BB"/>
    <w:rsid w:val="00A51CE7"/>
    <w:rsid w:val="00A52A11"/>
    <w:rsid w:val="00A54841"/>
    <w:rsid w:val="00A643EF"/>
    <w:rsid w:val="00A67574"/>
    <w:rsid w:val="00A676E7"/>
    <w:rsid w:val="00A72D4A"/>
    <w:rsid w:val="00A73490"/>
    <w:rsid w:val="00A9367B"/>
    <w:rsid w:val="00A93D75"/>
    <w:rsid w:val="00A97DBC"/>
    <w:rsid w:val="00AB351A"/>
    <w:rsid w:val="00AB7EF8"/>
    <w:rsid w:val="00AC1307"/>
    <w:rsid w:val="00AC2F16"/>
    <w:rsid w:val="00AC3667"/>
    <w:rsid w:val="00AC5AE2"/>
    <w:rsid w:val="00AD5B97"/>
    <w:rsid w:val="00AE0997"/>
    <w:rsid w:val="00AE2178"/>
    <w:rsid w:val="00AE4E8E"/>
    <w:rsid w:val="00AE55B0"/>
    <w:rsid w:val="00AE5E49"/>
    <w:rsid w:val="00AF21DA"/>
    <w:rsid w:val="00AF23F0"/>
    <w:rsid w:val="00AF26A5"/>
    <w:rsid w:val="00AF2701"/>
    <w:rsid w:val="00AF51A7"/>
    <w:rsid w:val="00B0025F"/>
    <w:rsid w:val="00B01786"/>
    <w:rsid w:val="00B018BF"/>
    <w:rsid w:val="00B03CF4"/>
    <w:rsid w:val="00B044EC"/>
    <w:rsid w:val="00B05012"/>
    <w:rsid w:val="00B109F9"/>
    <w:rsid w:val="00B13DC7"/>
    <w:rsid w:val="00B161DB"/>
    <w:rsid w:val="00B2092B"/>
    <w:rsid w:val="00B21F95"/>
    <w:rsid w:val="00B24713"/>
    <w:rsid w:val="00B25122"/>
    <w:rsid w:val="00B276F8"/>
    <w:rsid w:val="00B30D83"/>
    <w:rsid w:val="00B371FC"/>
    <w:rsid w:val="00B40864"/>
    <w:rsid w:val="00B45BE9"/>
    <w:rsid w:val="00B478C5"/>
    <w:rsid w:val="00B56545"/>
    <w:rsid w:val="00B76E6C"/>
    <w:rsid w:val="00B830D9"/>
    <w:rsid w:val="00B84B02"/>
    <w:rsid w:val="00B87881"/>
    <w:rsid w:val="00B9792B"/>
    <w:rsid w:val="00BA1D26"/>
    <w:rsid w:val="00BA418C"/>
    <w:rsid w:val="00BA4ABC"/>
    <w:rsid w:val="00BB0A70"/>
    <w:rsid w:val="00BB124B"/>
    <w:rsid w:val="00BB17F7"/>
    <w:rsid w:val="00BC289A"/>
    <w:rsid w:val="00BC32BF"/>
    <w:rsid w:val="00BC5FA0"/>
    <w:rsid w:val="00BD1F78"/>
    <w:rsid w:val="00BD285D"/>
    <w:rsid w:val="00BD4C8A"/>
    <w:rsid w:val="00BD5E63"/>
    <w:rsid w:val="00BF7C8F"/>
    <w:rsid w:val="00C059B6"/>
    <w:rsid w:val="00C07443"/>
    <w:rsid w:val="00C07876"/>
    <w:rsid w:val="00C11A15"/>
    <w:rsid w:val="00C11D8F"/>
    <w:rsid w:val="00C12523"/>
    <w:rsid w:val="00C2000E"/>
    <w:rsid w:val="00C2056B"/>
    <w:rsid w:val="00C21BF9"/>
    <w:rsid w:val="00C21FD0"/>
    <w:rsid w:val="00C22BCD"/>
    <w:rsid w:val="00C2312A"/>
    <w:rsid w:val="00C23DA9"/>
    <w:rsid w:val="00C2536F"/>
    <w:rsid w:val="00C253C3"/>
    <w:rsid w:val="00C273C2"/>
    <w:rsid w:val="00C35BE3"/>
    <w:rsid w:val="00C441E7"/>
    <w:rsid w:val="00C536F7"/>
    <w:rsid w:val="00C61700"/>
    <w:rsid w:val="00C659C8"/>
    <w:rsid w:val="00C7095D"/>
    <w:rsid w:val="00C71387"/>
    <w:rsid w:val="00C800BE"/>
    <w:rsid w:val="00C815DC"/>
    <w:rsid w:val="00C8183C"/>
    <w:rsid w:val="00C94263"/>
    <w:rsid w:val="00C9726A"/>
    <w:rsid w:val="00CA53FA"/>
    <w:rsid w:val="00CA57E7"/>
    <w:rsid w:val="00CA5D6F"/>
    <w:rsid w:val="00CA7AA0"/>
    <w:rsid w:val="00CB0433"/>
    <w:rsid w:val="00CB19C9"/>
    <w:rsid w:val="00CC0EF6"/>
    <w:rsid w:val="00CC1126"/>
    <w:rsid w:val="00CC528F"/>
    <w:rsid w:val="00CD01EB"/>
    <w:rsid w:val="00CD0B52"/>
    <w:rsid w:val="00CD1E41"/>
    <w:rsid w:val="00CD5B53"/>
    <w:rsid w:val="00CE126A"/>
    <w:rsid w:val="00CE17F1"/>
    <w:rsid w:val="00CE7129"/>
    <w:rsid w:val="00CF21BF"/>
    <w:rsid w:val="00CF2A8C"/>
    <w:rsid w:val="00CF6567"/>
    <w:rsid w:val="00D01517"/>
    <w:rsid w:val="00D040AC"/>
    <w:rsid w:val="00D054A0"/>
    <w:rsid w:val="00D163FA"/>
    <w:rsid w:val="00D205D7"/>
    <w:rsid w:val="00D21850"/>
    <w:rsid w:val="00D222A0"/>
    <w:rsid w:val="00D230AE"/>
    <w:rsid w:val="00D26601"/>
    <w:rsid w:val="00D30E66"/>
    <w:rsid w:val="00D43976"/>
    <w:rsid w:val="00D46728"/>
    <w:rsid w:val="00D473BA"/>
    <w:rsid w:val="00D47712"/>
    <w:rsid w:val="00D50C5A"/>
    <w:rsid w:val="00D516CC"/>
    <w:rsid w:val="00D548C0"/>
    <w:rsid w:val="00D5788D"/>
    <w:rsid w:val="00D61774"/>
    <w:rsid w:val="00D6457C"/>
    <w:rsid w:val="00D7127E"/>
    <w:rsid w:val="00D83CA0"/>
    <w:rsid w:val="00D90276"/>
    <w:rsid w:val="00D93A20"/>
    <w:rsid w:val="00D93D52"/>
    <w:rsid w:val="00D948CE"/>
    <w:rsid w:val="00D95020"/>
    <w:rsid w:val="00D970CF"/>
    <w:rsid w:val="00DA0F6D"/>
    <w:rsid w:val="00DA1F6D"/>
    <w:rsid w:val="00DA220C"/>
    <w:rsid w:val="00DA5EB8"/>
    <w:rsid w:val="00DA6183"/>
    <w:rsid w:val="00DA75C9"/>
    <w:rsid w:val="00DB36AC"/>
    <w:rsid w:val="00DB4C39"/>
    <w:rsid w:val="00DD267C"/>
    <w:rsid w:val="00DD3DBC"/>
    <w:rsid w:val="00DD69D7"/>
    <w:rsid w:val="00DD7088"/>
    <w:rsid w:val="00DD7B83"/>
    <w:rsid w:val="00DE2A4B"/>
    <w:rsid w:val="00DE5FDF"/>
    <w:rsid w:val="00DF29BB"/>
    <w:rsid w:val="00DF6A20"/>
    <w:rsid w:val="00E01E6E"/>
    <w:rsid w:val="00E0668B"/>
    <w:rsid w:val="00E076D1"/>
    <w:rsid w:val="00E16AB6"/>
    <w:rsid w:val="00E1783A"/>
    <w:rsid w:val="00E2007C"/>
    <w:rsid w:val="00E211C1"/>
    <w:rsid w:val="00E31193"/>
    <w:rsid w:val="00E35287"/>
    <w:rsid w:val="00E37990"/>
    <w:rsid w:val="00E40E2C"/>
    <w:rsid w:val="00E47705"/>
    <w:rsid w:val="00E5451A"/>
    <w:rsid w:val="00E54E1F"/>
    <w:rsid w:val="00E605A0"/>
    <w:rsid w:val="00E615BB"/>
    <w:rsid w:val="00E63DB1"/>
    <w:rsid w:val="00E66DCB"/>
    <w:rsid w:val="00E71B12"/>
    <w:rsid w:val="00E72369"/>
    <w:rsid w:val="00E77BE9"/>
    <w:rsid w:val="00E807F7"/>
    <w:rsid w:val="00E831B0"/>
    <w:rsid w:val="00E832D8"/>
    <w:rsid w:val="00E871B7"/>
    <w:rsid w:val="00EA1FEF"/>
    <w:rsid w:val="00EA2E3E"/>
    <w:rsid w:val="00EA52F8"/>
    <w:rsid w:val="00EB39F6"/>
    <w:rsid w:val="00EB7CB9"/>
    <w:rsid w:val="00EB7FB8"/>
    <w:rsid w:val="00EC05BE"/>
    <w:rsid w:val="00EC50E9"/>
    <w:rsid w:val="00ED32C7"/>
    <w:rsid w:val="00ED5E07"/>
    <w:rsid w:val="00EE0DDD"/>
    <w:rsid w:val="00EE4231"/>
    <w:rsid w:val="00EE4E25"/>
    <w:rsid w:val="00EF1407"/>
    <w:rsid w:val="00F01CF1"/>
    <w:rsid w:val="00F144BD"/>
    <w:rsid w:val="00F15886"/>
    <w:rsid w:val="00F168DA"/>
    <w:rsid w:val="00F16AA6"/>
    <w:rsid w:val="00F20C97"/>
    <w:rsid w:val="00F26B56"/>
    <w:rsid w:val="00F344F7"/>
    <w:rsid w:val="00F373BF"/>
    <w:rsid w:val="00F428E8"/>
    <w:rsid w:val="00F47D95"/>
    <w:rsid w:val="00F55CE3"/>
    <w:rsid w:val="00F60AEB"/>
    <w:rsid w:val="00F61234"/>
    <w:rsid w:val="00F613CB"/>
    <w:rsid w:val="00F6489C"/>
    <w:rsid w:val="00F654BE"/>
    <w:rsid w:val="00F7368F"/>
    <w:rsid w:val="00F744DE"/>
    <w:rsid w:val="00F74FBA"/>
    <w:rsid w:val="00F804F7"/>
    <w:rsid w:val="00F82B36"/>
    <w:rsid w:val="00F834F6"/>
    <w:rsid w:val="00F84C61"/>
    <w:rsid w:val="00F87C04"/>
    <w:rsid w:val="00F90355"/>
    <w:rsid w:val="00F90754"/>
    <w:rsid w:val="00F91D3D"/>
    <w:rsid w:val="00F923B2"/>
    <w:rsid w:val="00F92C89"/>
    <w:rsid w:val="00F93103"/>
    <w:rsid w:val="00F93C82"/>
    <w:rsid w:val="00FA03EF"/>
    <w:rsid w:val="00FA21AA"/>
    <w:rsid w:val="00FA2605"/>
    <w:rsid w:val="00FA6813"/>
    <w:rsid w:val="00FB349F"/>
    <w:rsid w:val="00FB5C19"/>
    <w:rsid w:val="00FC5E0C"/>
    <w:rsid w:val="00FC6376"/>
    <w:rsid w:val="00FC695D"/>
    <w:rsid w:val="00FD14BF"/>
    <w:rsid w:val="00FE1FFC"/>
    <w:rsid w:val="00FF09CF"/>
    <w:rsid w:val="00FF0F1E"/>
    <w:rsid w:val="00FF332C"/>
    <w:rsid w:val="00FF58DF"/>
    <w:rsid w:val="00FF6B33"/>
    <w:rsid w:val="00FF7093"/>
    <w:rsid w:val="01721096"/>
    <w:rsid w:val="02135C5C"/>
    <w:rsid w:val="023721A2"/>
    <w:rsid w:val="0271459B"/>
    <w:rsid w:val="031A34A9"/>
    <w:rsid w:val="03A121D9"/>
    <w:rsid w:val="04192E18"/>
    <w:rsid w:val="04E859DD"/>
    <w:rsid w:val="04F83024"/>
    <w:rsid w:val="05506127"/>
    <w:rsid w:val="058E3792"/>
    <w:rsid w:val="05B44AEF"/>
    <w:rsid w:val="05F35CDD"/>
    <w:rsid w:val="070957CA"/>
    <w:rsid w:val="074A02C7"/>
    <w:rsid w:val="0852472D"/>
    <w:rsid w:val="089532AE"/>
    <w:rsid w:val="08FD1843"/>
    <w:rsid w:val="09730A7C"/>
    <w:rsid w:val="097D46B9"/>
    <w:rsid w:val="09C54C3B"/>
    <w:rsid w:val="0BCB4153"/>
    <w:rsid w:val="0BF67734"/>
    <w:rsid w:val="0C3715C8"/>
    <w:rsid w:val="0C5854DA"/>
    <w:rsid w:val="0CDB75D2"/>
    <w:rsid w:val="0CE23630"/>
    <w:rsid w:val="0D8275E4"/>
    <w:rsid w:val="0DB80FD2"/>
    <w:rsid w:val="0E4E1E5A"/>
    <w:rsid w:val="0F524BAA"/>
    <w:rsid w:val="0FE813B9"/>
    <w:rsid w:val="10066DA5"/>
    <w:rsid w:val="10836AAA"/>
    <w:rsid w:val="10E54D9E"/>
    <w:rsid w:val="1210671E"/>
    <w:rsid w:val="12AE3574"/>
    <w:rsid w:val="13096F8A"/>
    <w:rsid w:val="132C6B55"/>
    <w:rsid w:val="13330922"/>
    <w:rsid w:val="143A280A"/>
    <w:rsid w:val="14AE69FB"/>
    <w:rsid w:val="152E15A7"/>
    <w:rsid w:val="16CD1D58"/>
    <w:rsid w:val="16ED4B50"/>
    <w:rsid w:val="1777664D"/>
    <w:rsid w:val="195E1778"/>
    <w:rsid w:val="19835D58"/>
    <w:rsid w:val="1A053A6C"/>
    <w:rsid w:val="1A9A567A"/>
    <w:rsid w:val="1AA72E3D"/>
    <w:rsid w:val="1AC66331"/>
    <w:rsid w:val="1AEB19B7"/>
    <w:rsid w:val="1B237270"/>
    <w:rsid w:val="1B447407"/>
    <w:rsid w:val="1BAC3E61"/>
    <w:rsid w:val="1BC60647"/>
    <w:rsid w:val="1C08150D"/>
    <w:rsid w:val="1C1E79ED"/>
    <w:rsid w:val="1CCF0ADC"/>
    <w:rsid w:val="1D206C16"/>
    <w:rsid w:val="1D2D269C"/>
    <w:rsid w:val="1D323BB7"/>
    <w:rsid w:val="1D382F46"/>
    <w:rsid w:val="1DED25CB"/>
    <w:rsid w:val="1E4B5AD4"/>
    <w:rsid w:val="1F1F6EC0"/>
    <w:rsid w:val="1FA16A9F"/>
    <w:rsid w:val="203D66B9"/>
    <w:rsid w:val="209427A6"/>
    <w:rsid w:val="209B3633"/>
    <w:rsid w:val="21927CD6"/>
    <w:rsid w:val="2204500C"/>
    <w:rsid w:val="22112CEC"/>
    <w:rsid w:val="22482F00"/>
    <w:rsid w:val="22C249C4"/>
    <w:rsid w:val="22F53E56"/>
    <w:rsid w:val="23154D87"/>
    <w:rsid w:val="234C24A2"/>
    <w:rsid w:val="23681220"/>
    <w:rsid w:val="238B3C89"/>
    <w:rsid w:val="23C928DA"/>
    <w:rsid w:val="248F7C6B"/>
    <w:rsid w:val="24B753FB"/>
    <w:rsid w:val="24BC50DB"/>
    <w:rsid w:val="25982956"/>
    <w:rsid w:val="25A77E96"/>
    <w:rsid w:val="25AC2F12"/>
    <w:rsid w:val="25B06379"/>
    <w:rsid w:val="25E07C62"/>
    <w:rsid w:val="25F94CC4"/>
    <w:rsid w:val="262C3FF7"/>
    <w:rsid w:val="268A3E91"/>
    <w:rsid w:val="269A5A92"/>
    <w:rsid w:val="2730081E"/>
    <w:rsid w:val="2788730E"/>
    <w:rsid w:val="2792247A"/>
    <w:rsid w:val="27F852D3"/>
    <w:rsid w:val="2805571B"/>
    <w:rsid w:val="284A1F1B"/>
    <w:rsid w:val="28D203CA"/>
    <w:rsid w:val="28F374E4"/>
    <w:rsid w:val="28F6211F"/>
    <w:rsid w:val="294C354F"/>
    <w:rsid w:val="29585ACF"/>
    <w:rsid w:val="29E708E5"/>
    <w:rsid w:val="2A8774EA"/>
    <w:rsid w:val="2CC16BEE"/>
    <w:rsid w:val="2D0075CF"/>
    <w:rsid w:val="2D510325"/>
    <w:rsid w:val="2DBC1728"/>
    <w:rsid w:val="2DC940B3"/>
    <w:rsid w:val="2DEA01DA"/>
    <w:rsid w:val="2E443992"/>
    <w:rsid w:val="2E4D0C7A"/>
    <w:rsid w:val="2E917FF4"/>
    <w:rsid w:val="2EC650B7"/>
    <w:rsid w:val="2FA5136C"/>
    <w:rsid w:val="2FB420CB"/>
    <w:rsid w:val="2FCC0AD5"/>
    <w:rsid w:val="307D3A25"/>
    <w:rsid w:val="310507D4"/>
    <w:rsid w:val="31071EE8"/>
    <w:rsid w:val="31563388"/>
    <w:rsid w:val="31A6496D"/>
    <w:rsid w:val="31FA7479"/>
    <w:rsid w:val="32E15487"/>
    <w:rsid w:val="33775459"/>
    <w:rsid w:val="339A3219"/>
    <w:rsid w:val="33F80C7A"/>
    <w:rsid w:val="34422F3E"/>
    <w:rsid w:val="344813A3"/>
    <w:rsid w:val="35512D7F"/>
    <w:rsid w:val="35681994"/>
    <w:rsid w:val="359B35E4"/>
    <w:rsid w:val="35B93473"/>
    <w:rsid w:val="35BE1B4A"/>
    <w:rsid w:val="35DA6D3A"/>
    <w:rsid w:val="360360BD"/>
    <w:rsid w:val="362A08DC"/>
    <w:rsid w:val="362B34C7"/>
    <w:rsid w:val="368C03EC"/>
    <w:rsid w:val="36B21606"/>
    <w:rsid w:val="379903EE"/>
    <w:rsid w:val="383C4D3E"/>
    <w:rsid w:val="39046506"/>
    <w:rsid w:val="39BA11A9"/>
    <w:rsid w:val="3A737025"/>
    <w:rsid w:val="3A8F4771"/>
    <w:rsid w:val="3B402F2B"/>
    <w:rsid w:val="3C8467D4"/>
    <w:rsid w:val="3CB80DDD"/>
    <w:rsid w:val="3D040192"/>
    <w:rsid w:val="3D497ADC"/>
    <w:rsid w:val="3D7929D8"/>
    <w:rsid w:val="3DFD5E2C"/>
    <w:rsid w:val="3E3B3183"/>
    <w:rsid w:val="3E7D661C"/>
    <w:rsid w:val="3E8A4DE4"/>
    <w:rsid w:val="3ECF233D"/>
    <w:rsid w:val="3FC4249C"/>
    <w:rsid w:val="3FEC5B40"/>
    <w:rsid w:val="40172918"/>
    <w:rsid w:val="40303E2F"/>
    <w:rsid w:val="412613AB"/>
    <w:rsid w:val="413738E3"/>
    <w:rsid w:val="416977C7"/>
    <w:rsid w:val="41BE59DB"/>
    <w:rsid w:val="42002217"/>
    <w:rsid w:val="425E1D53"/>
    <w:rsid w:val="42771FA8"/>
    <w:rsid w:val="42E9760B"/>
    <w:rsid w:val="4332573D"/>
    <w:rsid w:val="438A634E"/>
    <w:rsid w:val="43CD5CB8"/>
    <w:rsid w:val="45023881"/>
    <w:rsid w:val="457C5195"/>
    <w:rsid w:val="45DF55A8"/>
    <w:rsid w:val="465E7E45"/>
    <w:rsid w:val="493A75F0"/>
    <w:rsid w:val="497D435C"/>
    <w:rsid w:val="4A136C7C"/>
    <w:rsid w:val="4B01506A"/>
    <w:rsid w:val="4B4E5DE1"/>
    <w:rsid w:val="4B845D9C"/>
    <w:rsid w:val="4BA169A6"/>
    <w:rsid w:val="4C4D7D25"/>
    <w:rsid w:val="4C6A7247"/>
    <w:rsid w:val="4CA15EBA"/>
    <w:rsid w:val="4D20742C"/>
    <w:rsid w:val="4DEE6602"/>
    <w:rsid w:val="4EC5670E"/>
    <w:rsid w:val="4EE4591A"/>
    <w:rsid w:val="4FA43F66"/>
    <w:rsid w:val="50F84537"/>
    <w:rsid w:val="511527EE"/>
    <w:rsid w:val="51447B03"/>
    <w:rsid w:val="51912003"/>
    <w:rsid w:val="51FB18B1"/>
    <w:rsid w:val="528E12A9"/>
    <w:rsid w:val="531D5EC5"/>
    <w:rsid w:val="53B32B7C"/>
    <w:rsid w:val="544D30F3"/>
    <w:rsid w:val="546C5A58"/>
    <w:rsid w:val="55275382"/>
    <w:rsid w:val="55AB662E"/>
    <w:rsid w:val="55C77B7B"/>
    <w:rsid w:val="55D11503"/>
    <w:rsid w:val="566A3375"/>
    <w:rsid w:val="5683769E"/>
    <w:rsid w:val="571050CB"/>
    <w:rsid w:val="57A7356E"/>
    <w:rsid w:val="57F051E1"/>
    <w:rsid w:val="57F21259"/>
    <w:rsid w:val="580B1B46"/>
    <w:rsid w:val="58F60EB0"/>
    <w:rsid w:val="597447EB"/>
    <w:rsid w:val="598042C9"/>
    <w:rsid w:val="59CF1206"/>
    <w:rsid w:val="59E6771E"/>
    <w:rsid w:val="5A026C5A"/>
    <w:rsid w:val="5A2008BD"/>
    <w:rsid w:val="5A2E0954"/>
    <w:rsid w:val="5AC36F3B"/>
    <w:rsid w:val="5B101F62"/>
    <w:rsid w:val="5B766122"/>
    <w:rsid w:val="5BCD3DE7"/>
    <w:rsid w:val="5C4064C4"/>
    <w:rsid w:val="5CAE6A40"/>
    <w:rsid w:val="5CCF42A6"/>
    <w:rsid w:val="5D2E7E72"/>
    <w:rsid w:val="5D776DDE"/>
    <w:rsid w:val="5D7B5EC7"/>
    <w:rsid w:val="5E015A2B"/>
    <w:rsid w:val="5EA4398D"/>
    <w:rsid w:val="5EF26A5A"/>
    <w:rsid w:val="5F6D19CA"/>
    <w:rsid w:val="5FC34AF6"/>
    <w:rsid w:val="60365470"/>
    <w:rsid w:val="611115D2"/>
    <w:rsid w:val="613815F3"/>
    <w:rsid w:val="618B0399"/>
    <w:rsid w:val="61BD7C48"/>
    <w:rsid w:val="61C40AB7"/>
    <w:rsid w:val="621A0082"/>
    <w:rsid w:val="62505E9A"/>
    <w:rsid w:val="62727837"/>
    <w:rsid w:val="6297164A"/>
    <w:rsid w:val="62C939F5"/>
    <w:rsid w:val="62E14AC3"/>
    <w:rsid w:val="632F5853"/>
    <w:rsid w:val="634F21C6"/>
    <w:rsid w:val="637136BC"/>
    <w:rsid w:val="63D6065F"/>
    <w:rsid w:val="645A5841"/>
    <w:rsid w:val="65C64F93"/>
    <w:rsid w:val="65E71600"/>
    <w:rsid w:val="66E45D8C"/>
    <w:rsid w:val="672F3634"/>
    <w:rsid w:val="67AB45F6"/>
    <w:rsid w:val="67DC1A7C"/>
    <w:rsid w:val="694219E6"/>
    <w:rsid w:val="69780124"/>
    <w:rsid w:val="69BA7C7E"/>
    <w:rsid w:val="6A3C6175"/>
    <w:rsid w:val="6A557FBF"/>
    <w:rsid w:val="6A571984"/>
    <w:rsid w:val="6A9243D2"/>
    <w:rsid w:val="6B21427F"/>
    <w:rsid w:val="6BDF533B"/>
    <w:rsid w:val="6C1D1169"/>
    <w:rsid w:val="6C20269B"/>
    <w:rsid w:val="6CC156E9"/>
    <w:rsid w:val="6CD77A68"/>
    <w:rsid w:val="6CE058D8"/>
    <w:rsid w:val="6D2D4EBB"/>
    <w:rsid w:val="6E6335B2"/>
    <w:rsid w:val="6EC73F1B"/>
    <w:rsid w:val="6F6F6DC2"/>
    <w:rsid w:val="70835AF8"/>
    <w:rsid w:val="70ED06C0"/>
    <w:rsid w:val="71326E0C"/>
    <w:rsid w:val="71C06979"/>
    <w:rsid w:val="71F12F93"/>
    <w:rsid w:val="72A84739"/>
    <w:rsid w:val="73C2208E"/>
    <w:rsid w:val="74A43D8F"/>
    <w:rsid w:val="74BD356A"/>
    <w:rsid w:val="75AD36BE"/>
    <w:rsid w:val="75D63B57"/>
    <w:rsid w:val="769C414F"/>
    <w:rsid w:val="775F15CC"/>
    <w:rsid w:val="779B7ED5"/>
    <w:rsid w:val="77E71190"/>
    <w:rsid w:val="78230240"/>
    <w:rsid w:val="78567E67"/>
    <w:rsid w:val="786B0A19"/>
    <w:rsid w:val="78BE12A7"/>
    <w:rsid w:val="79195618"/>
    <w:rsid w:val="793A3AC6"/>
    <w:rsid w:val="7A4D39FE"/>
    <w:rsid w:val="7B3F356C"/>
    <w:rsid w:val="7B4874F5"/>
    <w:rsid w:val="7C3F1569"/>
    <w:rsid w:val="7D9C5D92"/>
    <w:rsid w:val="7D9D06B2"/>
    <w:rsid w:val="7DD727D9"/>
    <w:rsid w:val="7E740610"/>
    <w:rsid w:val="7E783C2E"/>
    <w:rsid w:val="7ECD6074"/>
    <w:rsid w:val="7EFF6DC3"/>
    <w:rsid w:val="7FB575B8"/>
    <w:rsid w:val="EECFE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center"/>
    </w:pPr>
    <w:rPr>
      <w:rFonts w:ascii="仿宋" w:hAnsi="仿宋" w:eastAsia="仿宋" w:cs="Times New Roman"/>
      <w:kern w:val="2"/>
      <w:sz w:val="21"/>
      <w:szCs w:val="22"/>
      <w:lang w:val="en-US" w:eastAsia="zh-CN" w:bidi="ar-SA"/>
    </w:rPr>
  </w:style>
  <w:style w:type="paragraph" w:styleId="2">
    <w:name w:val="heading 1"/>
    <w:basedOn w:val="1"/>
    <w:next w:val="1"/>
    <w:link w:val="31"/>
    <w:qFormat/>
    <w:uiPriority w:val="0"/>
    <w:pPr>
      <w:keepNext/>
      <w:keepLines/>
      <w:spacing w:before="12" w:after="12"/>
      <w:outlineLvl w:val="0"/>
    </w:pPr>
    <w:rPr>
      <w:rFonts w:ascii="黑体" w:hAnsi="黑体" w:eastAsia="黑体"/>
      <w:b/>
      <w:bCs/>
      <w:kern w:val="44"/>
      <w:sz w:val="32"/>
      <w:szCs w:val="44"/>
    </w:rPr>
  </w:style>
  <w:style w:type="paragraph" w:styleId="3">
    <w:name w:val="heading 2"/>
    <w:basedOn w:val="1"/>
    <w:next w:val="1"/>
    <w:link w:val="28"/>
    <w:qFormat/>
    <w:uiPriority w:val="1"/>
    <w:pPr>
      <w:autoSpaceDE w:val="0"/>
      <w:autoSpaceDN w:val="0"/>
      <w:spacing w:beforeLines="50" w:afterLines="50"/>
      <w:ind w:firstLine="200" w:firstLineChars="200"/>
      <w:jc w:val="left"/>
      <w:outlineLvl w:val="1"/>
    </w:pPr>
    <w:rPr>
      <w:rFonts w:ascii="楷体" w:hAnsi="楷体" w:eastAsia="楷体" w:cs="仿宋"/>
      <w:b/>
      <w:bCs/>
      <w:kern w:val="0"/>
      <w:sz w:val="28"/>
      <w:szCs w:val="28"/>
    </w:rPr>
  </w:style>
  <w:style w:type="paragraph" w:styleId="4">
    <w:name w:val="heading 3"/>
    <w:basedOn w:val="1"/>
    <w:next w:val="1"/>
    <w:link w:val="40"/>
    <w:semiHidden/>
    <w:unhideWhenUsed/>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link w:val="29"/>
    <w:qFormat/>
    <w:uiPriority w:val="1"/>
    <w:pPr>
      <w:autoSpaceDE w:val="0"/>
      <w:autoSpaceDN w:val="0"/>
      <w:ind w:firstLine="200" w:firstLineChars="200"/>
      <w:jc w:val="left"/>
    </w:pPr>
    <w:rPr>
      <w:rFonts w:cs="仿宋"/>
      <w:kern w:val="0"/>
      <w:sz w:val="28"/>
      <w:szCs w:val="28"/>
    </w:rPr>
  </w:style>
  <w:style w:type="paragraph" w:styleId="6">
    <w:name w:val="toc 3"/>
    <w:basedOn w:val="1"/>
    <w:next w:val="1"/>
    <w:qFormat/>
    <w:uiPriority w:val="39"/>
    <w:pPr>
      <w:ind w:left="840" w:leftChars="400"/>
    </w:pPr>
  </w:style>
  <w:style w:type="paragraph" w:styleId="7">
    <w:name w:val="Date"/>
    <w:basedOn w:val="1"/>
    <w:next w:val="1"/>
    <w:link w:val="25"/>
    <w:qFormat/>
    <w:uiPriority w:val="0"/>
    <w:pPr>
      <w:ind w:left="100" w:leftChars="2500"/>
    </w:pPr>
  </w:style>
  <w:style w:type="paragraph" w:styleId="8">
    <w:name w:val="Balloon Text"/>
    <w:basedOn w:val="1"/>
    <w:link w:val="24"/>
    <w:unhideWhenUsed/>
    <w:qFormat/>
    <w:uiPriority w:val="0"/>
    <w:rPr>
      <w:rFonts w:ascii="Times New Roman" w:hAnsi="Times New Roman"/>
      <w:kern w:val="0"/>
      <w:sz w:val="18"/>
      <w:szCs w:val="18"/>
    </w:rPr>
  </w:style>
  <w:style w:type="paragraph" w:styleId="9">
    <w:name w:val="footer"/>
    <w:basedOn w:val="1"/>
    <w:link w:val="23"/>
    <w:qFormat/>
    <w:uiPriority w:val="99"/>
    <w:pPr>
      <w:tabs>
        <w:tab w:val="center" w:pos="4153"/>
        <w:tab w:val="right" w:pos="8306"/>
      </w:tabs>
      <w:snapToGrid w:val="0"/>
      <w:jc w:val="left"/>
    </w:pPr>
    <w:rPr>
      <w:sz w:val="18"/>
      <w:szCs w:val="18"/>
    </w:rPr>
  </w:style>
  <w:style w:type="paragraph" w:styleId="10">
    <w:name w:val="header"/>
    <w:basedOn w:val="1"/>
    <w:link w:val="22"/>
    <w:qFormat/>
    <w:uiPriority w:val="99"/>
    <w:pPr>
      <w:pBdr>
        <w:bottom w:val="single" w:color="auto" w:sz="6" w:space="1"/>
      </w:pBdr>
      <w:tabs>
        <w:tab w:val="center" w:pos="4153"/>
        <w:tab w:val="right" w:pos="8306"/>
      </w:tabs>
      <w:snapToGrid w:val="0"/>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14">
    <w:name w:val="Normal (Web)"/>
    <w:basedOn w:val="1"/>
    <w:qFormat/>
    <w:uiPriority w:val="0"/>
    <w:rPr>
      <w:sz w:val="24"/>
    </w:rPr>
  </w:style>
  <w:style w:type="paragraph" w:styleId="15">
    <w:name w:val="Title"/>
    <w:basedOn w:val="1"/>
    <w:next w:val="1"/>
    <w:link w:val="38"/>
    <w:qFormat/>
    <w:uiPriority w:val="0"/>
    <w:pPr>
      <w:spacing w:before="240" w:after="60"/>
      <w:outlineLvl w:val="0"/>
    </w:pPr>
    <w:rPr>
      <w:rFonts w:asciiTheme="majorHAnsi" w:hAnsiTheme="majorHAnsi" w:cstheme="majorBidi"/>
      <w:b/>
      <w:bCs/>
      <w:sz w:val="32"/>
      <w:szCs w:val="32"/>
    </w:rPr>
  </w:style>
  <w:style w:type="table" w:styleId="17">
    <w:name w:val="Table Grid"/>
    <w:basedOn w:val="1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Strong"/>
    <w:basedOn w:val="18"/>
    <w:qFormat/>
    <w:uiPriority w:val="0"/>
    <w:rPr>
      <w:rFonts w:ascii="仿宋" w:hAnsi="仿宋" w:eastAsia="仿宋"/>
      <w:b/>
      <w:bCs/>
      <w:sz w:val="21"/>
    </w:rPr>
  </w:style>
  <w:style w:type="character" w:styleId="20">
    <w:name w:val="page number"/>
    <w:basedOn w:val="18"/>
    <w:qFormat/>
    <w:uiPriority w:val="0"/>
  </w:style>
  <w:style w:type="character" w:styleId="21">
    <w:name w:val="Hyperlink"/>
    <w:basedOn w:val="18"/>
    <w:unhideWhenUsed/>
    <w:qFormat/>
    <w:uiPriority w:val="99"/>
    <w:rPr>
      <w:color w:val="0000FF" w:themeColor="hyperlink"/>
      <w:u w:val="single"/>
    </w:rPr>
  </w:style>
  <w:style w:type="character" w:customStyle="1" w:styleId="22">
    <w:name w:val="页眉 Char"/>
    <w:basedOn w:val="18"/>
    <w:link w:val="10"/>
    <w:qFormat/>
    <w:uiPriority w:val="99"/>
    <w:rPr>
      <w:rFonts w:ascii="Calibri" w:hAnsi="Calibri"/>
      <w:kern w:val="2"/>
      <w:sz w:val="18"/>
      <w:szCs w:val="18"/>
    </w:rPr>
  </w:style>
  <w:style w:type="character" w:customStyle="1" w:styleId="23">
    <w:name w:val="页脚 Char"/>
    <w:basedOn w:val="18"/>
    <w:link w:val="9"/>
    <w:qFormat/>
    <w:uiPriority w:val="99"/>
    <w:rPr>
      <w:rFonts w:ascii="Calibri" w:hAnsi="Calibri"/>
      <w:kern w:val="2"/>
      <w:sz w:val="18"/>
      <w:szCs w:val="18"/>
    </w:rPr>
  </w:style>
  <w:style w:type="character" w:customStyle="1" w:styleId="24">
    <w:name w:val="批注框文本 Char"/>
    <w:link w:val="8"/>
    <w:semiHidden/>
    <w:qFormat/>
    <w:uiPriority w:val="0"/>
    <w:rPr>
      <w:sz w:val="18"/>
      <w:szCs w:val="18"/>
      <w:lang w:bidi="ar-SA"/>
    </w:rPr>
  </w:style>
  <w:style w:type="character" w:customStyle="1" w:styleId="25">
    <w:name w:val="日期 Char"/>
    <w:basedOn w:val="18"/>
    <w:link w:val="7"/>
    <w:qFormat/>
    <w:uiPriority w:val="0"/>
    <w:rPr>
      <w:rFonts w:ascii="Calibri" w:hAnsi="Calibri"/>
      <w:kern w:val="2"/>
      <w:sz w:val="21"/>
      <w:szCs w:val="22"/>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
    <w:name w:val="WPSOffice手动目录 1"/>
    <w:qFormat/>
    <w:uiPriority w:val="0"/>
    <w:rPr>
      <w:rFonts w:ascii="Times New Roman" w:hAnsi="Times New Roman" w:eastAsia="宋体" w:cs="Times New Roman"/>
      <w:lang w:val="en-US" w:eastAsia="zh-CN" w:bidi="ar-SA"/>
    </w:rPr>
  </w:style>
  <w:style w:type="character" w:customStyle="1" w:styleId="28">
    <w:name w:val="标题 2 Char"/>
    <w:basedOn w:val="18"/>
    <w:link w:val="3"/>
    <w:qFormat/>
    <w:uiPriority w:val="1"/>
    <w:rPr>
      <w:rFonts w:ascii="楷体" w:hAnsi="楷体" w:eastAsia="楷体" w:cs="仿宋"/>
      <w:b/>
      <w:bCs/>
      <w:sz w:val="28"/>
      <w:szCs w:val="28"/>
    </w:rPr>
  </w:style>
  <w:style w:type="character" w:customStyle="1" w:styleId="29">
    <w:name w:val="正文文本 Char"/>
    <w:basedOn w:val="18"/>
    <w:link w:val="5"/>
    <w:qFormat/>
    <w:uiPriority w:val="1"/>
    <w:rPr>
      <w:rFonts w:ascii="仿宋" w:hAnsi="仿宋" w:eastAsia="仿宋" w:cs="仿宋"/>
      <w:sz w:val="28"/>
      <w:szCs w:val="28"/>
    </w:rPr>
  </w:style>
  <w:style w:type="paragraph" w:customStyle="1" w:styleId="30">
    <w:name w:val="Table Paragraph"/>
    <w:basedOn w:val="1"/>
    <w:qFormat/>
    <w:uiPriority w:val="1"/>
    <w:pPr>
      <w:autoSpaceDE w:val="0"/>
      <w:autoSpaceDN w:val="0"/>
      <w:jc w:val="left"/>
    </w:pPr>
    <w:rPr>
      <w:rFonts w:cs="仿宋"/>
      <w:kern w:val="0"/>
      <w:sz w:val="22"/>
    </w:rPr>
  </w:style>
  <w:style w:type="character" w:customStyle="1" w:styleId="31">
    <w:name w:val="标题 1 Char"/>
    <w:basedOn w:val="18"/>
    <w:link w:val="2"/>
    <w:qFormat/>
    <w:uiPriority w:val="0"/>
    <w:rPr>
      <w:rFonts w:ascii="黑体" w:hAnsi="黑体" w:eastAsia="黑体"/>
      <w:b/>
      <w:bCs/>
      <w:kern w:val="44"/>
      <w:sz w:val="32"/>
      <w:szCs w:val="44"/>
    </w:rPr>
  </w:style>
  <w:style w:type="character" w:customStyle="1" w:styleId="32">
    <w:name w:val="首行 Char"/>
    <w:link w:val="33"/>
    <w:qFormat/>
    <w:locked/>
    <w:uiPriority w:val="0"/>
    <w:rPr>
      <w:rFonts w:ascii="仿宋" w:hAnsi="仿宋" w:eastAsia="仿宋"/>
      <w:b/>
      <w:sz w:val="21"/>
    </w:rPr>
  </w:style>
  <w:style w:type="paragraph" w:customStyle="1" w:styleId="33">
    <w:name w:val="首行"/>
    <w:basedOn w:val="1"/>
    <w:link w:val="32"/>
    <w:qFormat/>
    <w:uiPriority w:val="0"/>
    <w:rPr>
      <w:b/>
      <w:kern w:val="0"/>
      <w:szCs w:val="20"/>
    </w:rPr>
  </w:style>
  <w:style w:type="paragraph" w:customStyle="1" w:styleId="34">
    <w:name w:val="标题4"/>
    <w:basedOn w:val="2"/>
    <w:next w:val="1"/>
    <w:qFormat/>
    <w:uiPriority w:val="0"/>
    <w:pPr>
      <w:keepNext w:val="0"/>
      <w:keepLines w:val="0"/>
      <w:widowControl/>
      <w:spacing w:before="100" w:after="100"/>
      <w:ind w:firstLine="200" w:firstLineChars="200"/>
      <w:jc w:val="left"/>
    </w:pPr>
    <w:rPr>
      <w:rFonts w:ascii="宋体" w:hAnsi="宋体" w:eastAsia="仿宋" w:cs="宋体"/>
      <w:kern w:val="36"/>
      <w:szCs w:val="48"/>
    </w:rPr>
  </w:style>
  <w:style w:type="character" w:customStyle="1" w:styleId="35">
    <w:name w:val="NormalCharacter"/>
    <w:semiHidden/>
    <w:qFormat/>
    <w:uiPriority w:val="0"/>
  </w:style>
  <w:style w:type="paragraph" w:customStyle="1" w:styleId="36">
    <w:name w:val="表头"/>
    <w:basedOn w:val="1"/>
    <w:qFormat/>
    <w:uiPriority w:val="0"/>
    <w:pPr>
      <w:spacing w:line="240" w:lineRule="auto"/>
    </w:pPr>
    <w:rPr>
      <w:rFonts w:cs="仿宋"/>
      <w:b/>
      <w:szCs w:val="32"/>
      <w:shd w:val="clear" w:color="auto" w:fill="FFFFFF"/>
    </w:rPr>
  </w:style>
  <w:style w:type="paragraph" w:customStyle="1" w:styleId="37">
    <w:name w:val="样式 标题 2 + 首行缩进:  0.74 厘米"/>
    <w:basedOn w:val="3"/>
    <w:qFormat/>
    <w:uiPriority w:val="0"/>
    <w:pPr>
      <w:keepNext/>
      <w:keepLines/>
      <w:autoSpaceDE/>
      <w:autoSpaceDN/>
      <w:spacing w:before="260" w:after="260" w:line="416" w:lineRule="auto"/>
      <w:ind w:firstLine="420"/>
      <w:jc w:val="both"/>
    </w:pPr>
    <w:rPr>
      <w:rFonts w:ascii="Arial" w:hAnsi="Arial" w:eastAsia="黑体" w:cs="宋体"/>
      <w:kern w:val="2"/>
      <w:sz w:val="32"/>
      <w:szCs w:val="20"/>
    </w:rPr>
  </w:style>
  <w:style w:type="character" w:customStyle="1" w:styleId="38">
    <w:name w:val="标题 Char"/>
    <w:basedOn w:val="18"/>
    <w:link w:val="15"/>
    <w:qFormat/>
    <w:uiPriority w:val="0"/>
    <w:rPr>
      <w:rFonts w:asciiTheme="majorHAnsi" w:hAnsiTheme="majorHAnsi" w:cstheme="majorBidi"/>
      <w:b/>
      <w:bCs/>
      <w:kern w:val="2"/>
      <w:sz w:val="32"/>
      <w:szCs w:val="32"/>
    </w:rPr>
  </w:style>
  <w:style w:type="paragraph" w:customStyle="1" w:styleId="39">
    <w:name w:val="标题3"/>
    <w:basedOn w:val="4"/>
    <w:next w:val="1"/>
    <w:qFormat/>
    <w:uiPriority w:val="0"/>
    <w:pPr>
      <w:spacing w:line="415" w:lineRule="auto"/>
      <w:ind w:left="210" w:leftChars="100" w:right="210" w:rightChars="100" w:firstLine="321" w:firstLineChars="100"/>
    </w:pPr>
    <w:rPr>
      <w:rFonts w:ascii="Times New Roman" w:hAnsi="Times New Roman" w:eastAsia="楷体"/>
    </w:rPr>
  </w:style>
  <w:style w:type="character" w:customStyle="1" w:styleId="40">
    <w:name w:val="标题 3 Char"/>
    <w:basedOn w:val="18"/>
    <w:link w:val="4"/>
    <w:semiHidden/>
    <w:qFormat/>
    <w:uiPriority w:val="0"/>
    <w:rPr>
      <w:rFonts w:ascii="Calibri" w:hAnsi="Calibri"/>
      <w:b/>
      <w:bCs/>
      <w:kern w:val="2"/>
      <w:sz w:val="32"/>
      <w:szCs w:val="32"/>
    </w:rPr>
  </w:style>
  <w:style w:type="character" w:customStyle="1" w:styleId="41">
    <w:name w:val="我的正文 Char"/>
    <w:link w:val="42"/>
    <w:qFormat/>
    <w:locked/>
    <w:uiPriority w:val="0"/>
    <w:rPr>
      <w:rFonts w:ascii="仿宋_GB2312" w:hAnsi="宋体" w:eastAsia="仿宋"/>
      <w:kern w:val="2"/>
      <w:sz w:val="28"/>
    </w:rPr>
  </w:style>
  <w:style w:type="paragraph" w:customStyle="1" w:styleId="42">
    <w:name w:val="我的正文"/>
    <w:basedOn w:val="1"/>
    <w:link w:val="41"/>
    <w:qFormat/>
    <w:uiPriority w:val="0"/>
    <w:pPr>
      <w:ind w:firstLine="200" w:firstLineChars="200"/>
      <w:jc w:val="both"/>
    </w:pPr>
    <w:rPr>
      <w:rFonts w:ascii="仿宋_GB2312" w:hAnsi="宋体"/>
      <w:sz w:val="28"/>
      <w:szCs w:val="20"/>
    </w:rPr>
  </w:style>
  <w:style w:type="character" w:customStyle="1" w:styleId="43">
    <w:name w:val="fontstyle21"/>
    <w:qFormat/>
    <w:uiPriority w:val="0"/>
    <w:rPr>
      <w:rFonts w:hint="eastAsia" w:ascii="仿宋_GB2312" w:eastAsia="仿宋_GB2312"/>
      <w:color w:val="000000"/>
      <w:sz w:val="32"/>
      <w:szCs w:val="32"/>
    </w:rPr>
  </w:style>
  <w:style w:type="paragraph" w:customStyle="1" w:styleId="44">
    <w:name w:val="表格标题"/>
    <w:basedOn w:val="1"/>
    <w:qFormat/>
    <w:uiPriority w:val="0"/>
    <w:rPr>
      <w:rFonts w:ascii="Times New Roman" w:hAnsi="Times New Roman"/>
      <w:b/>
      <w:szCs w:val="24"/>
    </w:rPr>
  </w:style>
  <w:style w:type="paragraph" w:customStyle="1" w:styleId="45">
    <w:name w:val="表格内容"/>
    <w:basedOn w:val="1"/>
    <w:qFormat/>
    <w:uiPriority w:val="0"/>
    <w:pPr>
      <w:widowControl/>
      <w:spacing w:line="240" w:lineRule="auto"/>
      <w:textAlignment w:val="top"/>
    </w:pPr>
    <w:rPr>
      <w:rFonts w:cs="微软雅黑"/>
      <w:color w:val="000000"/>
      <w:kern w:val="0"/>
      <w:szCs w:val="20"/>
    </w:rPr>
  </w:style>
  <w:style w:type="paragraph" w:customStyle="1" w:styleId="46">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styleId="4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8">
    <w:name w:val="无间隔1"/>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2021&#23626;&#20013;&#1998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00616016427"/>
          <c:y val="0.172193436960277"/>
          <c:w val="0.440149776543061"/>
          <c:h val="0.629360967184803"/>
        </c:manualLayout>
      </c:layout>
      <c:pieChart>
        <c:varyColors val="1"/>
        <c:ser>
          <c:idx val="0"/>
          <c:order val="0"/>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Lbls>
            <c:dLbl>
              <c:idx val="0"/>
              <c:layout>
                <c:manualLayout>
                  <c:x val="0.0210753490288821"/>
                  <c:y val="-0.0036700770887883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54071552604054"/>
                  <c:y val="-0.046150726146491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433462536119553"/>
                  <c:y val="0.031824722718753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25262540199146"/>
                  <c:y val="-0.022399131504427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363540632194043"/>
                  <c:y val="-0.016162951572226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[2021届中专.xlsx]Sheet2!$L$16:$P$16</c:f>
              <c:strCache>
                <c:ptCount val="5"/>
                <c:pt idx="0">
                  <c:v>很满意</c:v>
                </c:pt>
                <c:pt idx="1">
                  <c:v>满意</c:v>
                </c:pt>
                <c:pt idx="2">
                  <c:v>一般</c:v>
                </c:pt>
                <c:pt idx="3">
                  <c:v>不满意</c:v>
                </c:pt>
                <c:pt idx="4">
                  <c:v>很不满意</c:v>
                </c:pt>
              </c:strCache>
            </c:strRef>
          </c:cat>
          <c:val>
            <c:numRef>
              <c:f>[2021届中专.xlsx]Sheet2!$L$17:$P$17</c:f>
              <c:numCache>
                <c:formatCode>General</c:formatCode>
                <c:ptCount val="5"/>
                <c:pt idx="0">
                  <c:v>331</c:v>
                </c:pt>
                <c:pt idx="1">
                  <c:v>621</c:v>
                </c:pt>
                <c:pt idx="2">
                  <c:v>89</c:v>
                </c:pt>
                <c:pt idx="3">
                  <c:v>31</c:v>
                </c:pt>
                <c:pt idx="4">
                  <c:v>18</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manualLayout>
          <c:xMode val="edge"/>
          <c:yMode val="edge"/>
          <c:x val="0.280798444341069"/>
          <c:y val="0.90437937636395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en-US" altLang="zh-CN"/>
              <a:t> </a:t>
            </a:r>
            <a:endParaRPr lang="en-US" altLang="zh-CN"/>
          </a:p>
        </c:rich>
      </c:tx>
      <c:layout>
        <c:manualLayout>
          <c:xMode val="edge"/>
          <c:yMode val="edge"/>
          <c:x val="0.368611111111111"/>
          <c:y val="0.0347222222222222"/>
        </c:manualLayout>
      </c:layout>
      <c:overlay val="0"/>
      <c:spPr>
        <a:noFill/>
        <a:ln>
          <a:noFill/>
        </a:ln>
        <a:effectLst/>
      </c:spPr>
    </c:title>
    <c:autoTitleDeleted val="0"/>
    <c:plotArea>
      <c:layout/>
      <c:doughnutChart>
        <c:varyColors val="1"/>
        <c:ser>
          <c:idx val="0"/>
          <c:order val="0"/>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Lbls>
            <c:dLbl>
              <c:idx val="0"/>
              <c:layout>
                <c:manualLayout>
                  <c:x val="0.10625"/>
                  <c:y val="0.0381944444444444"/>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14583333333333"/>
                  <c:y val="0.0104166666666667"/>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02083333333333"/>
                  <c:y val="-0.0798611111111121"/>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895833333333337"/>
                  <c:y val="-0.0902777777777778"/>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'[新建 Microsoft Office Excel 工作表.xlsx]Sheet1'!$D$10:$D$13</c:f>
              <c:strCache>
                <c:ptCount val="4"/>
                <c:pt idx="0">
                  <c:v>很满意</c:v>
                </c:pt>
                <c:pt idx="1">
                  <c:v>满意</c:v>
                </c:pt>
                <c:pt idx="2">
                  <c:v>一般</c:v>
                </c:pt>
                <c:pt idx="3">
                  <c:v>不满意</c:v>
                </c:pt>
              </c:strCache>
            </c:strRef>
          </c:cat>
          <c:val>
            <c:numRef>
              <c:f>'[新建 Microsoft Office Excel 工作表.xlsx]Sheet1'!$E$10:$E$13</c:f>
              <c:numCache>
                <c:formatCode>General</c:formatCode>
                <c:ptCount val="4"/>
                <c:pt idx="0">
                  <c:v>13</c:v>
                </c:pt>
                <c:pt idx="1">
                  <c:v>12</c:v>
                </c:pt>
                <c:pt idx="2">
                  <c:v>2</c:v>
                </c:pt>
                <c:pt idx="3">
                  <c:v>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5498</Words>
  <Characters>31344</Characters>
  <Lines>261</Lines>
  <Paragraphs>73</Paragraphs>
  <TotalTime>2</TotalTime>
  <ScaleCrop>false</ScaleCrop>
  <LinksUpToDate>false</LinksUpToDate>
  <CharactersWithSpaces>36769</CharactersWithSpaces>
  <Application>WPS Office_11.8.2.8576_F1E327BC-269C-435d-A152-05C5408002CA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2017-05-31T16:24:00Z</dcterms:created>
  <dc:creator>users</dc:creator>
  <cp:lastModifiedBy>284100</cp:lastModifiedBy>
  <cp:lastPrinted>2021-11-16T10:16:00Z</cp:lastPrinted>
  <dcterms:modified xsi:type="dcterms:W3CDTF">2023-04-26T09:30:34Z</dcterms:modified>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2052-11.8.2.8576</vt:lpwstr>
  </property>
  <property fmtid="{D5CDD505-2E9C-101B-9397-08002B2CF9AE}" pid="3" name="ICV">
    <vt:lpwstr>161D1BB7933C493F97053D06E285BA24</vt:lpwstr>
  </property>
</Properties>
</file>