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jc w:val="center"/>
        <w:rPr>
          <w:rFonts w:ascii="黑体" w:hAnsi="黑体" w:eastAsia="黑体"/>
          <w:sz w:val="72"/>
          <w:szCs w:val="72"/>
        </w:rPr>
      </w:pPr>
      <w:r>
        <w:rPr>
          <w:rFonts w:hint="eastAsia" w:ascii="黑体" w:hAnsi="黑体" w:eastAsia="黑体"/>
          <w:sz w:val="72"/>
          <w:szCs w:val="72"/>
        </w:rPr>
        <w:t>南阳市宛北中等专业学校职业教育质量年度报告</w:t>
      </w:r>
    </w:p>
    <w:p>
      <w:pPr>
        <w:jc w:val="center"/>
        <w:rPr>
          <w:rFonts w:ascii="黑体" w:hAnsi="黑体" w:eastAsia="黑体"/>
          <w:sz w:val="72"/>
          <w:szCs w:val="72"/>
        </w:rPr>
      </w:pPr>
    </w:p>
    <w:p>
      <w:pPr>
        <w:jc w:val="center"/>
        <w:rPr>
          <w:rFonts w:ascii="黑体" w:hAnsi="黑体" w:eastAsia="黑体"/>
          <w:b w:val="0"/>
          <w:bCs w:val="0"/>
          <w:color w:val="auto"/>
          <w:sz w:val="72"/>
          <w:szCs w:val="72"/>
        </w:rPr>
      </w:pPr>
      <w:r>
        <w:rPr>
          <w:rFonts w:hint="eastAsia" w:ascii="黑体" w:hAnsi="黑体" w:eastAsia="黑体"/>
          <w:b w:val="0"/>
          <w:bCs w:val="0"/>
          <w:color w:val="auto"/>
          <w:sz w:val="72"/>
          <w:szCs w:val="72"/>
        </w:rPr>
        <w:t>（202</w:t>
      </w:r>
      <w:r>
        <w:rPr>
          <w:rFonts w:hint="eastAsia" w:ascii="黑体" w:hAnsi="黑体" w:eastAsia="黑体"/>
          <w:b w:val="0"/>
          <w:bCs w:val="0"/>
          <w:color w:val="auto"/>
          <w:sz w:val="72"/>
          <w:szCs w:val="72"/>
          <w:lang w:val="en-US" w:eastAsia="zh-CN"/>
        </w:rPr>
        <w:t>1</w:t>
      </w:r>
      <w:r>
        <w:rPr>
          <w:rFonts w:hint="eastAsia" w:ascii="黑体" w:hAnsi="黑体" w:eastAsia="黑体"/>
          <w:b w:val="0"/>
          <w:bCs w:val="0"/>
          <w:color w:val="auto"/>
          <w:sz w:val="72"/>
          <w:szCs w:val="72"/>
        </w:rPr>
        <w:t>年）</w:t>
      </w: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tabs>
          <w:tab w:val="left" w:pos="3700"/>
        </w:tabs>
        <w:rPr>
          <w:rFonts w:ascii="黑体" w:hAnsi="黑体" w:eastAsia="黑体"/>
        </w:rPr>
      </w:pPr>
      <w:r>
        <w:rPr>
          <w:rFonts w:ascii="黑体" w:hAnsi="黑体" w:eastAsia="黑体"/>
        </w:rPr>
        <w:tab/>
      </w: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rPr>
          <w:rFonts w:ascii="黑体" w:hAnsi="黑体" w:eastAsia="黑体"/>
        </w:rPr>
      </w:pPr>
    </w:p>
    <w:p>
      <w:pPr>
        <w:jc w:val="center"/>
        <w:rPr>
          <w:rFonts w:ascii="黑体" w:hAnsi="黑体" w:eastAsia="黑体"/>
          <w:sz w:val="44"/>
          <w:szCs w:val="44"/>
        </w:rPr>
      </w:pPr>
      <w:r>
        <w:rPr>
          <w:rFonts w:hint="eastAsia" w:ascii="黑体" w:hAnsi="黑体" w:eastAsia="黑体"/>
          <w:sz w:val="44"/>
          <w:szCs w:val="44"/>
        </w:rPr>
        <w:t>南阳市宛北中等专业学校</w:t>
      </w:r>
    </w:p>
    <w:p/>
    <w:p/>
    <w:p>
      <w:pPr>
        <w:tabs>
          <w:tab w:val="center" w:pos="4153"/>
        </w:tabs>
        <w:rPr>
          <w:rFonts w:ascii="黑体" w:hAnsi="黑体" w:eastAsia="黑体"/>
          <w:sz w:val="30"/>
          <w:szCs w:val="30"/>
        </w:rPr>
      </w:pPr>
      <w:r>
        <w:br w:type="page"/>
      </w:r>
      <w:r>
        <w:tab/>
      </w:r>
      <w:r>
        <w:rPr>
          <w:rFonts w:hint="eastAsia" w:ascii="黑体" w:hAnsi="黑体" w:eastAsia="黑体"/>
          <w:sz w:val="30"/>
          <w:szCs w:val="30"/>
        </w:rPr>
        <w:t>目 录</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textAlignment w:val="auto"/>
        <w:rPr>
          <w:b/>
          <w:sz w:val="24"/>
          <w:szCs w:val="24"/>
        </w:rPr>
      </w:pPr>
      <w:r>
        <w:rPr>
          <w:rFonts w:hint="eastAsia"/>
          <w:b/>
          <w:sz w:val="24"/>
          <w:szCs w:val="24"/>
        </w:rPr>
        <w:t>第一部分 学校情况................................................................</w:t>
      </w:r>
      <w:r>
        <w:rPr>
          <w:b/>
          <w:sz w:val="24"/>
          <w:szCs w:val="24"/>
        </w:rPr>
        <w:t>……</w:t>
      </w:r>
      <w:r>
        <w:rPr>
          <w:rFonts w:hint="eastAsia"/>
          <w:b/>
          <w:sz w:val="24"/>
          <w:szCs w:val="24"/>
        </w:rPr>
        <w:t>.....................2</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一、学校概况................................................................</w:t>
      </w:r>
      <w:r>
        <w:rPr>
          <w:rFonts w:hint="eastAsia"/>
          <w:b/>
          <w:sz w:val="24"/>
          <w:szCs w:val="24"/>
        </w:rPr>
        <w:t>................................</w:t>
      </w:r>
      <w:r>
        <w:rPr>
          <w:rFonts w:hint="eastAsia"/>
          <w:sz w:val="24"/>
          <w:szCs w:val="24"/>
        </w:rPr>
        <w:t>2</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二、学生情况.............................................................................</w:t>
      </w:r>
      <w:r>
        <w:rPr>
          <w:rFonts w:hint="eastAsia"/>
          <w:b/>
          <w:sz w:val="24"/>
          <w:szCs w:val="24"/>
        </w:rPr>
        <w:t>....................</w:t>
      </w:r>
      <w:r>
        <w:rPr>
          <w:rFonts w:hint="eastAsia"/>
          <w:sz w:val="24"/>
          <w:szCs w:val="24"/>
        </w:rPr>
        <w:t>3</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三、教师队伍.................................................................................. </w:t>
      </w:r>
      <w:r>
        <w:rPr>
          <w:sz w:val="24"/>
          <w:szCs w:val="24"/>
        </w:rPr>
        <w:t>……………</w:t>
      </w:r>
      <w:r>
        <w:rPr>
          <w:rFonts w:hint="eastAsia"/>
          <w:sz w:val="24"/>
          <w:szCs w:val="24"/>
        </w:rPr>
        <w:t>.</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val="en-US" w:eastAsia="zh-CN"/>
        </w:rPr>
      </w:pPr>
      <w:r>
        <w:rPr>
          <w:rFonts w:hint="eastAsia"/>
          <w:sz w:val="24"/>
          <w:szCs w:val="24"/>
        </w:rPr>
        <w:t xml:space="preserve">四、设施设备.......................................................................................... </w:t>
      </w:r>
      <w:r>
        <w:rPr>
          <w:sz w:val="24"/>
          <w:szCs w:val="24"/>
        </w:rPr>
        <w:t>…</w:t>
      </w:r>
      <w:r>
        <w:rPr>
          <w:rFonts w:hint="eastAsia"/>
          <w:sz w:val="24"/>
          <w:szCs w:val="24"/>
        </w:rPr>
        <w:t>....</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eastAsia="宋体"/>
          <w:b/>
          <w:sz w:val="24"/>
          <w:szCs w:val="24"/>
          <w:lang w:eastAsia="zh-CN"/>
        </w:rPr>
      </w:pPr>
      <w:r>
        <w:rPr>
          <w:rFonts w:hint="eastAsia"/>
          <w:b/>
          <w:sz w:val="24"/>
          <w:szCs w:val="24"/>
        </w:rPr>
        <w:t>第二部分 学生发展 .....................................................................................</w:t>
      </w:r>
      <w:r>
        <w:rPr>
          <w:rFonts w:hint="eastAsia"/>
          <w:sz w:val="24"/>
          <w:szCs w:val="24"/>
        </w:rPr>
        <w:t>....</w:t>
      </w:r>
      <w:r>
        <w:rPr>
          <w:rFonts w:hint="eastAsia"/>
          <w:b/>
          <w:sz w:val="24"/>
          <w:szCs w:val="24"/>
          <w:lang w:val="en-US" w:eastAsia="zh-CN"/>
        </w:rPr>
        <w:t>5</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一、学生素质............................................................................................... . </w:t>
      </w:r>
      <w:r>
        <w:rPr>
          <w:rFonts w:hint="eastAsia"/>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二、在校体验............................................................................................... . </w:t>
      </w:r>
      <w:r>
        <w:rPr>
          <w:rFonts w:hint="eastAsia"/>
          <w:sz w:val="24"/>
          <w:szCs w:val="24"/>
          <w:lang w:val="en-US" w:eastAsia="zh-CN"/>
        </w:rPr>
        <w:t>5</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三、资助情况................................................................................................ .</w:t>
      </w:r>
      <w:r>
        <w:rPr>
          <w:rFonts w:hint="eastAsia"/>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四、就业质量..................................................................................................</w:t>
      </w:r>
      <w:r>
        <w:rPr>
          <w:rFonts w:hint="eastAsia"/>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五、职业发展............................................................................................. </w:t>
      </w:r>
      <w:r>
        <w:rPr>
          <w:sz w:val="24"/>
          <w:szCs w:val="24"/>
        </w:rPr>
        <w:t>…</w:t>
      </w:r>
      <w:r>
        <w:rPr>
          <w:rFonts w:hint="eastAsia"/>
          <w:sz w:val="24"/>
          <w:szCs w:val="24"/>
        </w:rPr>
        <w:t xml:space="preserve">. </w:t>
      </w:r>
      <w:r>
        <w:rPr>
          <w:rFonts w:hint="eastAsia"/>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eastAsia="宋体"/>
          <w:b/>
          <w:sz w:val="24"/>
          <w:szCs w:val="24"/>
          <w:lang w:eastAsia="zh-CN"/>
        </w:rPr>
      </w:pPr>
      <w:r>
        <w:rPr>
          <w:rFonts w:hint="eastAsia"/>
          <w:b/>
          <w:sz w:val="24"/>
          <w:szCs w:val="24"/>
        </w:rPr>
        <w:t xml:space="preserve">第三部分 质量保障措施 ................................................................... </w:t>
      </w:r>
      <w:r>
        <w:rPr>
          <w:b/>
          <w:sz w:val="24"/>
          <w:szCs w:val="24"/>
        </w:rPr>
        <w:t>……</w:t>
      </w:r>
      <w:r>
        <w:rPr>
          <w:rFonts w:hint="eastAsia"/>
          <w:b/>
          <w:sz w:val="24"/>
          <w:szCs w:val="24"/>
        </w:rPr>
        <w:t>.</w:t>
      </w:r>
      <w:r>
        <w:rPr>
          <w:rFonts w:hint="eastAsia"/>
          <w:sz w:val="24"/>
          <w:szCs w:val="24"/>
        </w:rPr>
        <w:t>.......</w:t>
      </w:r>
      <w:r>
        <w:rPr>
          <w:b/>
          <w:sz w:val="24"/>
          <w:szCs w:val="24"/>
        </w:rPr>
        <w:t xml:space="preserve"> </w:t>
      </w:r>
      <w:r>
        <w:rPr>
          <w:rFonts w:hint="eastAsia"/>
          <w:b/>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一、专业动态调整..................................................................................... </w:t>
      </w:r>
      <w:r>
        <w:rPr>
          <w:sz w:val="24"/>
          <w:szCs w:val="24"/>
        </w:rPr>
        <w:t>…</w:t>
      </w:r>
      <w:r>
        <w:rPr>
          <w:rFonts w:hint="eastAsia"/>
          <w:sz w:val="24"/>
          <w:szCs w:val="24"/>
        </w:rPr>
        <w:t xml:space="preserve">. </w:t>
      </w:r>
      <w:r>
        <w:rPr>
          <w:rFonts w:hint="eastAsia"/>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二、教育教学改革....................................................................................... </w:t>
      </w:r>
      <w:r>
        <w:rPr>
          <w:sz w:val="24"/>
          <w:szCs w:val="24"/>
        </w:rPr>
        <w:t>…</w:t>
      </w:r>
      <w:r>
        <w:rPr>
          <w:rFonts w:hint="eastAsia"/>
          <w:sz w:val="24"/>
          <w:szCs w:val="24"/>
          <w:lang w:val="en-US" w:eastAsia="zh-CN"/>
        </w:rPr>
        <w:t>8</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ind w:firstLine="480" w:firstLineChars="200"/>
        <w:textAlignment w:val="auto"/>
        <w:rPr>
          <w:rFonts w:hint="default" w:eastAsia="宋体"/>
          <w:sz w:val="24"/>
          <w:szCs w:val="24"/>
          <w:lang w:val="en-US" w:eastAsia="zh-CN"/>
        </w:rPr>
      </w:pPr>
      <w:r>
        <w:rPr>
          <w:rFonts w:hint="eastAsia"/>
          <w:sz w:val="24"/>
          <w:szCs w:val="24"/>
        </w:rPr>
        <w:t>三、教师培养培训..........................................................................................</w:t>
      </w:r>
      <w:r>
        <w:rPr>
          <w:rFonts w:hint="eastAsia"/>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default" w:eastAsia="宋体"/>
          <w:sz w:val="24"/>
          <w:szCs w:val="24"/>
          <w:lang w:val="en-US" w:eastAsia="zh-CN"/>
        </w:rPr>
      </w:pPr>
      <w:r>
        <w:rPr>
          <w:rFonts w:hint="eastAsia"/>
          <w:sz w:val="24"/>
          <w:szCs w:val="24"/>
        </w:rPr>
        <w:t>四、规范管理情况..........................................................................................</w:t>
      </w:r>
      <w:r>
        <w:rPr>
          <w:rFonts w:hint="eastAsia"/>
          <w:sz w:val="24"/>
          <w:szCs w:val="24"/>
          <w:lang w:val="en-US" w:eastAsia="zh-CN"/>
        </w:rPr>
        <w:t>12</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ind w:firstLine="480" w:firstLineChars="200"/>
        <w:textAlignment w:val="auto"/>
        <w:rPr>
          <w:rFonts w:hint="default" w:eastAsia="宋体"/>
          <w:sz w:val="24"/>
          <w:szCs w:val="24"/>
          <w:lang w:val="en-US" w:eastAsia="zh-CN"/>
        </w:rPr>
      </w:pPr>
      <w:r>
        <w:rPr>
          <w:rFonts w:hint="eastAsia"/>
          <w:sz w:val="24"/>
          <w:szCs w:val="24"/>
        </w:rPr>
        <w:t>五、德育工作情况..........................................................................................</w:t>
      </w:r>
      <w:r>
        <w:rPr>
          <w:rFonts w:hint="eastAsia"/>
          <w:sz w:val="24"/>
          <w:szCs w:val="24"/>
          <w:lang w:val="en-US" w:eastAsia="zh-CN"/>
        </w:rPr>
        <w:t>18</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六、党建情况..................................................................................................1</w:t>
      </w:r>
      <w:r>
        <w:rPr>
          <w:sz w:val="24"/>
          <w:szCs w:val="24"/>
        </w:rPr>
        <w:t>9</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eastAsia="宋体"/>
          <w:b/>
          <w:sz w:val="24"/>
          <w:szCs w:val="24"/>
          <w:lang w:eastAsia="zh-CN"/>
        </w:rPr>
      </w:pPr>
      <w:r>
        <w:rPr>
          <w:rFonts w:hint="eastAsia"/>
          <w:b/>
          <w:sz w:val="24"/>
          <w:szCs w:val="24"/>
        </w:rPr>
        <w:t xml:space="preserve">第四部分 校企合作 .................................................................................... . </w:t>
      </w:r>
      <w:r>
        <w:rPr>
          <w:b/>
          <w:sz w:val="24"/>
          <w:szCs w:val="24"/>
        </w:rPr>
        <w:t>…2</w:t>
      </w:r>
      <w:r>
        <w:rPr>
          <w:rFonts w:hint="eastAsia"/>
          <w:b/>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一、校企合作开展情况和效果.......................................................................</w:t>
      </w:r>
      <w:r>
        <w:rPr>
          <w:sz w:val="24"/>
          <w:szCs w:val="24"/>
        </w:rPr>
        <w:t>2</w:t>
      </w:r>
      <w:r>
        <w:rPr>
          <w:rFonts w:hint="eastAsia"/>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二、学生实习情况...........................................................................................</w:t>
      </w:r>
      <w:r>
        <w:rPr>
          <w:sz w:val="24"/>
          <w:szCs w:val="24"/>
        </w:rPr>
        <w:t>2</w:t>
      </w:r>
      <w:r>
        <w:rPr>
          <w:rFonts w:hint="eastAsia"/>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三、集团化办学情况.......................................................................................</w:t>
      </w:r>
      <w:r>
        <w:rPr>
          <w:sz w:val="24"/>
          <w:szCs w:val="24"/>
        </w:rPr>
        <w:t>2</w:t>
      </w:r>
      <w:r>
        <w:rPr>
          <w:rFonts w:hint="eastAsia"/>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264" w:lineRule="auto"/>
        <w:textAlignment w:val="auto"/>
        <w:rPr>
          <w:b/>
          <w:sz w:val="24"/>
          <w:szCs w:val="24"/>
        </w:rPr>
      </w:pPr>
      <w:r>
        <w:rPr>
          <w:rFonts w:hint="eastAsia"/>
          <w:b/>
          <w:sz w:val="24"/>
          <w:szCs w:val="24"/>
        </w:rPr>
        <w:t>第五部分 社会贡献</w:t>
      </w:r>
      <w:r>
        <w:rPr>
          <w:rFonts w:hint="eastAsia"/>
          <w:sz w:val="24"/>
          <w:szCs w:val="24"/>
        </w:rPr>
        <w:t>.................................................................................................</w:t>
      </w:r>
      <w:r>
        <w:rPr>
          <w:b/>
          <w:sz w:val="24"/>
          <w:szCs w:val="24"/>
        </w:rPr>
        <w:t>23</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一、技术技能人才培养...................................................................................</w:t>
      </w:r>
      <w:r>
        <w:rPr>
          <w:sz w:val="24"/>
          <w:szCs w:val="24"/>
        </w:rPr>
        <w:t>23</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二、社会服务............................................................................. </w:t>
      </w:r>
      <w:r>
        <w:rPr>
          <w:sz w:val="24"/>
          <w:szCs w:val="24"/>
        </w:rPr>
        <w:t>………</w:t>
      </w:r>
      <w:r>
        <w:rPr>
          <w:rFonts w:hint="eastAsia"/>
          <w:sz w:val="24"/>
          <w:szCs w:val="24"/>
        </w:rPr>
        <w:t>.. ..........</w:t>
      </w:r>
      <w:r>
        <w:rPr>
          <w:sz w:val="24"/>
          <w:szCs w:val="24"/>
        </w:rPr>
        <w:t>2</w:t>
      </w:r>
      <w:r>
        <w:rPr>
          <w:rFonts w:hint="eastAsia"/>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三、对口支援....................................................................................... </w:t>
      </w:r>
      <w:r>
        <w:rPr>
          <w:sz w:val="24"/>
          <w:szCs w:val="24"/>
        </w:rPr>
        <w:t>………</w:t>
      </w:r>
      <w:r>
        <w:rPr>
          <w:rFonts w:hint="eastAsia"/>
          <w:sz w:val="24"/>
          <w:szCs w:val="24"/>
        </w:rPr>
        <w:t xml:space="preserve">.. </w:t>
      </w:r>
      <w:r>
        <w:rPr>
          <w:sz w:val="24"/>
          <w:szCs w:val="24"/>
        </w:rPr>
        <w:t>2</w:t>
      </w:r>
      <w:r>
        <w:rPr>
          <w:rFonts w:hint="eastAsia"/>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264" w:lineRule="auto"/>
        <w:textAlignment w:val="auto"/>
        <w:rPr>
          <w:b/>
          <w:sz w:val="24"/>
          <w:szCs w:val="24"/>
        </w:rPr>
      </w:pPr>
      <w:r>
        <w:rPr>
          <w:rFonts w:hint="eastAsia"/>
          <w:b/>
          <w:sz w:val="24"/>
          <w:szCs w:val="24"/>
        </w:rPr>
        <w:t>第六部分 举办者履责 .............................................................................. ......</w:t>
      </w:r>
      <w:r>
        <w:rPr>
          <w:b/>
          <w:sz w:val="24"/>
          <w:szCs w:val="24"/>
        </w:rPr>
        <w:t xml:space="preserve"> 24</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一、经费..................................................................................................</w:t>
      </w:r>
      <w:r>
        <w:rPr>
          <w:sz w:val="24"/>
          <w:szCs w:val="24"/>
        </w:rPr>
        <w:t>…</w:t>
      </w:r>
      <w:r>
        <w:rPr>
          <w:rFonts w:hint="eastAsia"/>
          <w:sz w:val="24"/>
          <w:szCs w:val="24"/>
        </w:rPr>
        <w:t>......2</w:t>
      </w:r>
      <w:r>
        <w:rPr>
          <w:sz w:val="24"/>
          <w:szCs w:val="24"/>
        </w:rPr>
        <w:t>4</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 xml:space="preserve">二、政策措施............................................................................................. </w:t>
      </w:r>
      <w:r>
        <w:rPr>
          <w:sz w:val="24"/>
          <w:szCs w:val="24"/>
        </w:rPr>
        <w:t>…</w:t>
      </w:r>
      <w:r>
        <w:rPr>
          <w:rFonts w:hint="eastAsia"/>
          <w:sz w:val="24"/>
          <w:szCs w:val="24"/>
        </w:rPr>
        <w:t>..2</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eastAsia="宋体"/>
          <w:b/>
          <w:sz w:val="24"/>
          <w:szCs w:val="24"/>
          <w:lang w:eastAsia="zh-CN"/>
        </w:rPr>
      </w:pPr>
      <w:r>
        <w:rPr>
          <w:rFonts w:hint="eastAsia"/>
          <w:b/>
          <w:sz w:val="24"/>
          <w:szCs w:val="24"/>
        </w:rPr>
        <w:t>第七部分 特色创新 ...........................................................................</w:t>
      </w:r>
      <w:r>
        <w:rPr>
          <w:rFonts w:hint="eastAsia"/>
          <w:sz w:val="24"/>
          <w:szCs w:val="24"/>
        </w:rPr>
        <w:t>..</w:t>
      </w:r>
      <w:r>
        <w:rPr>
          <w:b/>
          <w:sz w:val="24"/>
          <w:szCs w:val="24"/>
        </w:rPr>
        <w:t>…</w:t>
      </w:r>
      <w:r>
        <w:rPr>
          <w:rFonts w:hint="eastAsia"/>
          <w:sz w:val="24"/>
          <w:szCs w:val="24"/>
        </w:rPr>
        <w:t>........</w:t>
      </w:r>
      <w:r>
        <w:rPr>
          <w:b/>
          <w:sz w:val="24"/>
          <w:szCs w:val="24"/>
        </w:rPr>
        <w:t>…</w:t>
      </w:r>
      <w:r>
        <w:rPr>
          <w:rFonts w:hint="eastAsia"/>
          <w:b/>
          <w:sz w:val="24"/>
          <w:szCs w:val="24"/>
        </w:rPr>
        <w:t>2</w:t>
      </w:r>
      <w:r>
        <w:rPr>
          <w:rFonts w:hint="eastAsia"/>
          <w:b/>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r>
        <w:rPr>
          <w:rFonts w:hint="eastAsia"/>
          <w:sz w:val="24"/>
          <w:szCs w:val="24"/>
        </w:rPr>
        <w:t>案例一：城市轨道交通运营管理专业学生技能课人人过关........................2</w:t>
      </w:r>
      <w:r>
        <w:rPr>
          <w:rFonts w:hint="eastAsia"/>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sz w:val="24"/>
          <w:szCs w:val="24"/>
        </w:rPr>
      </w:pPr>
      <w:r>
        <w:rPr>
          <w:rFonts w:hint="eastAsia"/>
          <w:sz w:val="24"/>
          <w:szCs w:val="24"/>
        </w:rPr>
        <w:t xml:space="preserve">案例二：平面设计专业学生技能课人人过关............................................ .. </w:t>
      </w:r>
      <w:r>
        <w:rPr>
          <w:sz w:val="24"/>
          <w:szCs w:val="24"/>
        </w:rPr>
        <w:t>27</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ind w:firstLine="480" w:firstLineChars="200"/>
        <w:textAlignment w:val="auto"/>
        <w:rPr>
          <w:rFonts w:hint="eastAsia" w:eastAsia="宋体"/>
          <w:sz w:val="24"/>
          <w:szCs w:val="24"/>
          <w:lang w:eastAsia="zh-CN"/>
        </w:rPr>
      </w:pPr>
      <w:bookmarkStart w:id="0" w:name="_Hlk62196207"/>
      <w:r>
        <w:rPr>
          <w:rFonts w:hint="eastAsia"/>
          <w:sz w:val="24"/>
          <w:szCs w:val="24"/>
        </w:rPr>
        <w:t>案例三：</w:t>
      </w:r>
      <w:bookmarkEnd w:id="0"/>
      <w:r>
        <w:rPr>
          <w:rFonts w:hint="eastAsia"/>
          <w:sz w:val="24"/>
          <w:szCs w:val="24"/>
        </w:rPr>
        <w:t>团委加强社团组建与管理 ....</w:t>
      </w:r>
      <w:bookmarkStart w:id="1" w:name="_Hlk62196328"/>
      <w:r>
        <w:rPr>
          <w:rFonts w:hint="eastAsia"/>
          <w:sz w:val="24"/>
          <w:szCs w:val="24"/>
        </w:rPr>
        <w:t>.....................................................</w:t>
      </w:r>
      <w:r>
        <w:rPr>
          <w:sz w:val="24"/>
          <w:szCs w:val="24"/>
        </w:rPr>
        <w:t xml:space="preserve"> </w:t>
      </w:r>
      <w:r>
        <w:rPr>
          <w:rFonts w:hint="eastAsia"/>
          <w:sz w:val="24"/>
          <w:szCs w:val="24"/>
        </w:rPr>
        <w:t xml:space="preserve">.. </w:t>
      </w:r>
      <w:r>
        <w:rPr>
          <w:sz w:val="24"/>
          <w:szCs w:val="24"/>
        </w:rPr>
        <w:t>2</w:t>
      </w:r>
      <w:bookmarkEnd w:id="1"/>
      <w:r>
        <w:rPr>
          <w:rFonts w:hint="eastAsia"/>
          <w:sz w:val="24"/>
          <w:szCs w:val="24"/>
          <w:lang w:val="en-US" w:eastAsia="zh-CN"/>
        </w:rPr>
        <w:t>9</w:t>
      </w:r>
    </w:p>
    <w:p>
      <w:pPr>
        <w:keepNext w:val="0"/>
        <w:keepLines w:val="0"/>
        <w:pageBreakBefore w:val="0"/>
        <w:widowControl w:val="0"/>
        <w:tabs>
          <w:tab w:val="left" w:pos="7513"/>
        </w:tabs>
        <w:kinsoku/>
        <w:wordWrap/>
        <w:overflowPunct/>
        <w:topLinePunct w:val="0"/>
        <w:autoSpaceDE/>
        <w:autoSpaceDN/>
        <w:bidi w:val="0"/>
        <w:adjustRightInd/>
        <w:snapToGrid/>
        <w:spacing w:line="264" w:lineRule="auto"/>
        <w:textAlignment w:val="auto"/>
        <w:rPr>
          <w:rFonts w:hint="eastAsia" w:eastAsia="宋体"/>
          <w:b/>
          <w:sz w:val="24"/>
          <w:szCs w:val="24"/>
          <w:lang w:eastAsia="zh-CN"/>
        </w:rPr>
      </w:pPr>
      <w:r>
        <w:rPr>
          <w:rFonts w:hint="eastAsia"/>
          <w:b/>
          <w:sz w:val="24"/>
          <w:szCs w:val="24"/>
        </w:rPr>
        <w:t>第八部分 众志抗疫................................................................................</w:t>
      </w:r>
      <w:r>
        <w:rPr>
          <w:b/>
          <w:sz w:val="24"/>
          <w:szCs w:val="24"/>
        </w:rPr>
        <w:t>………</w:t>
      </w:r>
      <w:r>
        <w:rPr>
          <w:rFonts w:hint="eastAsia"/>
          <w:b/>
          <w:sz w:val="24"/>
          <w:szCs w:val="24"/>
        </w:rPr>
        <w:t>.. 2</w:t>
      </w:r>
      <w:r>
        <w:rPr>
          <w:rFonts w:hint="eastAsia"/>
          <w:b/>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eastAsia="宋体"/>
          <w:b/>
          <w:sz w:val="24"/>
          <w:szCs w:val="24"/>
          <w:lang w:val="en-US" w:eastAsia="zh-CN"/>
        </w:rPr>
      </w:pPr>
      <w:bookmarkStart w:id="2" w:name="_Hlk61969719"/>
      <w:r>
        <w:rPr>
          <w:rFonts w:hint="eastAsia"/>
          <w:b/>
          <w:sz w:val="24"/>
          <w:szCs w:val="24"/>
        </w:rPr>
        <w:t>第九部分</w:t>
      </w:r>
      <w:bookmarkEnd w:id="2"/>
      <w:r>
        <w:rPr>
          <w:rFonts w:hint="eastAsia"/>
          <w:b/>
          <w:sz w:val="24"/>
          <w:szCs w:val="24"/>
        </w:rPr>
        <w:t xml:space="preserve"> 主要问题和改进措施 ...............................................</w:t>
      </w:r>
      <w:r>
        <w:rPr>
          <w:b/>
          <w:sz w:val="24"/>
          <w:szCs w:val="24"/>
        </w:rPr>
        <w:t>…</w:t>
      </w:r>
      <w:r>
        <w:rPr>
          <w:rFonts w:hint="eastAsia"/>
          <w:b/>
          <w:sz w:val="24"/>
          <w:szCs w:val="24"/>
        </w:rPr>
        <w:t xml:space="preserve">. </w:t>
      </w:r>
      <w:r>
        <w:rPr>
          <w:b/>
          <w:sz w:val="24"/>
          <w:szCs w:val="24"/>
        </w:rPr>
        <w:t>…</w:t>
      </w:r>
      <w:r>
        <w:rPr>
          <w:rFonts w:hint="eastAsia"/>
          <w:b/>
          <w:sz w:val="24"/>
          <w:szCs w:val="24"/>
        </w:rPr>
        <w:t>.</w:t>
      </w:r>
      <w:r>
        <w:rPr>
          <w:b/>
          <w:sz w:val="24"/>
          <w:szCs w:val="24"/>
        </w:rPr>
        <w:t>…</w:t>
      </w:r>
      <w:r>
        <w:rPr>
          <w:rFonts w:hint="eastAsia"/>
          <w:b/>
          <w:sz w:val="24"/>
          <w:szCs w:val="24"/>
        </w:rPr>
        <w:t>..</w:t>
      </w:r>
      <w:r>
        <w:rPr>
          <w:b/>
          <w:sz w:val="24"/>
          <w:szCs w:val="24"/>
        </w:rPr>
        <w:t>…</w:t>
      </w:r>
      <w:r>
        <w:rPr>
          <w:rFonts w:hint="eastAsia"/>
          <w:b/>
          <w:sz w:val="24"/>
          <w:szCs w:val="24"/>
        </w:rPr>
        <w:t xml:space="preserve"> </w:t>
      </w:r>
      <w:r>
        <w:rPr>
          <w:b/>
          <w:sz w:val="24"/>
          <w:szCs w:val="24"/>
        </w:rPr>
        <w:t>……</w:t>
      </w:r>
      <w:r>
        <w:rPr>
          <w:rFonts w:hint="eastAsia"/>
          <w:b/>
          <w:sz w:val="24"/>
          <w:szCs w:val="24"/>
        </w:rPr>
        <w:t>.</w:t>
      </w:r>
      <w:r>
        <w:rPr>
          <w:b/>
          <w:sz w:val="24"/>
          <w:szCs w:val="24"/>
        </w:rPr>
        <w:t xml:space="preserve"> </w:t>
      </w:r>
      <w:r>
        <w:rPr>
          <w:rFonts w:hint="eastAsia"/>
          <w:b/>
          <w:sz w:val="24"/>
          <w:szCs w:val="24"/>
          <w:lang w:val="en-US" w:eastAsia="zh-CN"/>
        </w:rPr>
        <w:t>31</w:t>
      </w:r>
    </w:p>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default" w:eastAsia="宋体"/>
          <w:sz w:val="24"/>
          <w:szCs w:val="24"/>
          <w:lang w:val="en-US" w:eastAsia="zh-CN"/>
        </w:rPr>
      </w:pPr>
      <w:r>
        <w:rPr>
          <w:rFonts w:hint="eastAsia"/>
          <w:sz w:val="24"/>
          <w:szCs w:val="24"/>
        </w:rPr>
        <w:t>一、存在的问题</w:t>
      </w:r>
      <w:bookmarkStart w:id="3" w:name="_Hlk61969826"/>
      <w:r>
        <w:rPr>
          <w:rFonts w:hint="eastAsia"/>
          <w:sz w:val="24"/>
          <w:szCs w:val="24"/>
        </w:rPr>
        <w:t>................................................................</w:t>
      </w:r>
      <w:r>
        <w:rPr>
          <w:b/>
          <w:sz w:val="24"/>
          <w:szCs w:val="24"/>
        </w:rPr>
        <w:t>…</w:t>
      </w:r>
      <w:r>
        <w:rPr>
          <w:rFonts w:hint="eastAsia"/>
          <w:sz w:val="24"/>
          <w:szCs w:val="24"/>
        </w:rPr>
        <w:t>...</w:t>
      </w:r>
      <w:r>
        <w:rPr>
          <w:b/>
          <w:sz w:val="24"/>
          <w:szCs w:val="24"/>
        </w:rPr>
        <w:t>…</w:t>
      </w:r>
      <w:r>
        <w:rPr>
          <w:rFonts w:hint="eastAsia"/>
          <w:sz w:val="24"/>
          <w:szCs w:val="24"/>
        </w:rPr>
        <w:t>.........</w:t>
      </w:r>
      <w:r>
        <w:rPr>
          <w:b/>
          <w:sz w:val="24"/>
          <w:szCs w:val="24"/>
        </w:rPr>
        <w:t>…</w:t>
      </w:r>
      <w:r>
        <w:rPr>
          <w:rFonts w:hint="eastAsia"/>
          <w:sz w:val="24"/>
          <w:szCs w:val="24"/>
        </w:rPr>
        <w:t>......</w:t>
      </w:r>
      <w:r>
        <w:rPr>
          <w:sz w:val="24"/>
          <w:szCs w:val="24"/>
        </w:rPr>
        <w:t>…</w:t>
      </w:r>
      <w:r>
        <w:rPr>
          <w:rFonts w:hint="eastAsia"/>
          <w:sz w:val="24"/>
          <w:szCs w:val="24"/>
        </w:rPr>
        <w:t xml:space="preserve"> </w:t>
      </w:r>
      <w:r>
        <w:rPr>
          <w:rFonts w:hint="eastAsia"/>
          <w:sz w:val="24"/>
          <w:szCs w:val="24"/>
          <w:lang w:val="en-US" w:eastAsia="zh-CN"/>
        </w:rPr>
        <w:t>31</w:t>
      </w:r>
    </w:p>
    <w:bookmarkEnd w:id="3"/>
    <w:p>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default" w:eastAsia="宋体"/>
          <w:sz w:val="24"/>
          <w:szCs w:val="24"/>
          <w:lang w:val="en-US" w:eastAsia="zh-CN"/>
        </w:rPr>
      </w:pPr>
      <w:r>
        <w:rPr>
          <w:rFonts w:hint="eastAsia"/>
          <w:sz w:val="24"/>
          <w:szCs w:val="24"/>
        </w:rPr>
        <w:t>二、改进措施................................................................</w:t>
      </w:r>
      <w:r>
        <w:rPr>
          <w:b/>
          <w:sz w:val="24"/>
          <w:szCs w:val="24"/>
        </w:rPr>
        <w:t>…</w:t>
      </w:r>
      <w:r>
        <w:rPr>
          <w:rFonts w:hint="eastAsia"/>
          <w:sz w:val="24"/>
          <w:szCs w:val="24"/>
        </w:rPr>
        <w:t>.............</w:t>
      </w:r>
      <w:r>
        <w:rPr>
          <w:b/>
          <w:sz w:val="24"/>
          <w:szCs w:val="24"/>
        </w:rPr>
        <w:t>…</w:t>
      </w:r>
      <w:r>
        <w:rPr>
          <w:rFonts w:hint="eastAsia"/>
          <w:sz w:val="24"/>
          <w:szCs w:val="24"/>
        </w:rPr>
        <w:t>............</w:t>
      </w:r>
      <w:r>
        <w:rPr>
          <w:sz w:val="24"/>
          <w:szCs w:val="24"/>
        </w:rPr>
        <w:t>…</w:t>
      </w:r>
      <w:r>
        <w:rPr>
          <w:rFonts w:hint="eastAsia"/>
          <w:sz w:val="24"/>
          <w:szCs w:val="24"/>
        </w:rPr>
        <w:t xml:space="preserve"> </w:t>
      </w:r>
      <w:r>
        <w:rPr>
          <w:rFonts w:hint="eastAsia"/>
          <w:sz w:val="24"/>
          <w:szCs w:val="24"/>
          <w:lang w:val="en-US" w:eastAsia="zh-CN"/>
        </w:rPr>
        <w:t>33</w:t>
      </w:r>
    </w:p>
    <w:p/>
    <w:p/>
    <w:p>
      <w:pPr>
        <w:spacing w:line="360" w:lineRule="auto"/>
        <w:jc w:val="center"/>
        <w:rPr>
          <w:rFonts w:ascii="黑体" w:hAnsi="黑体" w:eastAsia="黑体" w:cs="宋体"/>
          <w:sz w:val="30"/>
          <w:szCs w:val="30"/>
        </w:rPr>
      </w:pPr>
      <w:r>
        <w:rPr>
          <w:rFonts w:hint="eastAsia" w:ascii="黑体" w:hAnsi="黑体" w:eastAsia="黑体" w:cs="宋体"/>
          <w:sz w:val="30"/>
          <w:szCs w:val="30"/>
        </w:rPr>
        <w:t>前 言</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南阳市宛北中等专业学校（以下简称“宛北中专”），位于方城县花亭路488号，北临豫01线，占地113亩，建筑面积3.6万平方米。宛北中专最早追溯为清光绪三十二年（1906）的裕州师范传习所，1951年确名为方城县初级师范学校，1956年更名为河南省方城师范学校，1962年在对中等学校进行压缩调整中停办。1986年开始恢复筹建，1989年3月经省政府批准，定名为方城师范学校，同年8月经省政府同意，省教委批准，学校更名为南阳地区第五师范学校，1991年秋期在原54军386团团部所在地（即现在学校所在地）开始招生，1994年12月南阳撤地设市，学校改称为“南阳市第五师范学校”（以下简称“南阳五师”），2003年5月，伴随着全国师范教育结构的调整，中师停招，经南阳市人民政府批准，学校更名为“南阳市宛北中等专业学校”，编制96人，目前在编在岗教职工</w:t>
      </w:r>
      <w:r>
        <w:rPr>
          <w:rFonts w:hint="eastAsia" w:ascii="宋体" w:hAnsi="宋体" w:cs="宋体"/>
          <w:color w:val="auto"/>
          <w:sz w:val="24"/>
          <w:szCs w:val="24"/>
          <w:lang w:val="en-US" w:eastAsia="zh-CN"/>
        </w:rPr>
        <w:t>84</w:t>
      </w:r>
      <w:r>
        <w:rPr>
          <w:rFonts w:hint="eastAsia" w:ascii="宋体" w:hAnsi="宋体" w:cs="宋体"/>
          <w:sz w:val="24"/>
          <w:szCs w:val="24"/>
        </w:rPr>
        <w:t>人，学校先后荣获“省级卫生先进单位”、“市级文明单位”、“市级示范性中专”以及南阳市“</w:t>
      </w:r>
      <w:r>
        <w:rPr>
          <w:rFonts w:hint="eastAsia" w:ascii="宋体" w:hAnsi="宋体" w:cs="宋体"/>
          <w:sz w:val="24"/>
          <w:szCs w:val="24"/>
          <w:lang w:val="en-US" w:eastAsia="zh-CN"/>
        </w:rPr>
        <w:t>依法治校示范校</w:t>
      </w:r>
      <w:bookmarkStart w:id="9" w:name="_GoBack"/>
      <w:bookmarkEnd w:id="9"/>
      <w:r>
        <w:rPr>
          <w:rFonts w:hint="eastAsia" w:ascii="宋体" w:hAnsi="宋体" w:cs="宋体"/>
          <w:sz w:val="24"/>
          <w:szCs w:val="24"/>
        </w:rPr>
        <w:t>”、“语言文字工作先进单位”等荣誉称号。</w:t>
      </w:r>
    </w:p>
    <w:p>
      <w:pPr>
        <w:spacing w:line="360" w:lineRule="auto"/>
        <w:ind w:firstLine="480" w:firstLineChars="200"/>
        <w:rPr>
          <w:rFonts w:hint="eastAsia" w:ascii="宋体" w:hAnsi="宋体" w:cs="宋体"/>
          <w:sz w:val="24"/>
          <w:szCs w:val="24"/>
        </w:rPr>
      </w:pPr>
    </w:p>
    <w:p>
      <w:pPr>
        <w:numPr>
          <w:ilvl w:val="0"/>
          <w:numId w:val="1"/>
        </w:numPr>
        <w:spacing w:line="360" w:lineRule="auto"/>
        <w:jc w:val="center"/>
        <w:rPr>
          <w:rFonts w:hint="eastAsia" w:ascii="黑体" w:hAnsi="黑体" w:eastAsia="黑体" w:cs="宋体"/>
          <w:sz w:val="30"/>
          <w:szCs w:val="30"/>
        </w:rPr>
      </w:pPr>
      <w:r>
        <w:rPr>
          <w:rFonts w:hint="eastAsia" w:ascii="黑体" w:hAnsi="黑体" w:eastAsia="黑体" w:cs="宋体"/>
          <w:sz w:val="30"/>
          <w:szCs w:val="30"/>
        </w:rPr>
        <w:t>学校基本信息</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一、学校概况</w:t>
      </w:r>
    </w:p>
    <w:p>
      <w:pPr>
        <w:spacing w:line="360" w:lineRule="auto"/>
        <w:ind w:firstLine="480" w:firstLineChars="200"/>
        <w:rPr>
          <w:rFonts w:ascii="宋体" w:hAnsi="宋体" w:cs="宋体"/>
          <w:sz w:val="24"/>
          <w:szCs w:val="24"/>
        </w:rPr>
      </w:pPr>
      <w:r>
        <w:rPr>
          <w:rFonts w:hint="eastAsia" w:ascii="宋体" w:hAnsi="宋体" w:cs="宋体"/>
          <w:sz w:val="24"/>
          <w:szCs w:val="24"/>
        </w:rPr>
        <w:t>（一）校名、校址及隶属关系</w:t>
      </w:r>
    </w:p>
    <w:p>
      <w:pPr>
        <w:spacing w:line="360" w:lineRule="auto"/>
        <w:ind w:firstLine="480" w:firstLineChars="200"/>
        <w:rPr>
          <w:rFonts w:ascii="宋体" w:hAnsi="宋体" w:cs="宋体"/>
          <w:sz w:val="24"/>
          <w:szCs w:val="24"/>
        </w:rPr>
      </w:pPr>
      <w:r>
        <w:rPr>
          <w:rFonts w:hint="eastAsia" w:ascii="宋体" w:hAnsi="宋体" w:cs="宋体"/>
          <w:sz w:val="24"/>
          <w:szCs w:val="24"/>
        </w:rPr>
        <w:t>学校名称：南阳市宛北中等专业学校</w:t>
      </w:r>
    </w:p>
    <w:p>
      <w:pPr>
        <w:spacing w:line="360" w:lineRule="auto"/>
        <w:ind w:firstLine="480" w:firstLineChars="200"/>
        <w:rPr>
          <w:rFonts w:ascii="宋体" w:hAnsi="宋体" w:cs="宋体"/>
          <w:sz w:val="24"/>
          <w:szCs w:val="24"/>
        </w:rPr>
      </w:pPr>
      <w:r>
        <w:rPr>
          <w:rFonts w:hint="eastAsia" w:ascii="宋体" w:hAnsi="宋体" w:cs="宋体"/>
          <w:sz w:val="24"/>
          <w:szCs w:val="24"/>
        </w:rPr>
        <w:t>学校性质：普通中等职业学校</w:t>
      </w:r>
    </w:p>
    <w:p>
      <w:pPr>
        <w:spacing w:line="360" w:lineRule="auto"/>
        <w:ind w:firstLine="480" w:firstLineChars="200"/>
        <w:rPr>
          <w:rFonts w:ascii="宋体" w:hAnsi="宋体" w:cs="宋体"/>
          <w:sz w:val="24"/>
          <w:szCs w:val="24"/>
        </w:rPr>
      </w:pPr>
      <w:r>
        <w:rPr>
          <w:rFonts w:hint="eastAsia" w:ascii="宋体" w:hAnsi="宋体" w:cs="宋体"/>
          <w:sz w:val="24"/>
          <w:szCs w:val="24"/>
        </w:rPr>
        <w:t>校址：河南省方城县花亭路488号</w:t>
      </w:r>
    </w:p>
    <w:p>
      <w:pPr>
        <w:spacing w:line="360" w:lineRule="auto"/>
        <w:ind w:firstLine="480" w:firstLineChars="200"/>
        <w:rPr>
          <w:rFonts w:ascii="宋体" w:hAnsi="宋体" w:cs="宋体"/>
          <w:sz w:val="24"/>
          <w:szCs w:val="24"/>
        </w:rPr>
      </w:pPr>
      <w:r>
        <w:rPr>
          <w:rFonts w:hint="eastAsia" w:ascii="宋体" w:hAnsi="宋体" w:cs="宋体"/>
          <w:sz w:val="24"/>
          <w:szCs w:val="24"/>
        </w:rPr>
        <w:t>主管部门：南阳市教育局</w:t>
      </w:r>
    </w:p>
    <w:p>
      <w:pPr>
        <w:spacing w:line="360" w:lineRule="auto"/>
        <w:ind w:firstLine="480" w:firstLineChars="200"/>
        <w:rPr>
          <w:rFonts w:ascii="宋体" w:hAnsi="宋体" w:cs="宋体"/>
          <w:sz w:val="24"/>
          <w:szCs w:val="24"/>
        </w:rPr>
      </w:pPr>
      <w:r>
        <w:rPr>
          <w:rFonts w:hint="eastAsia" w:ascii="宋体" w:hAnsi="宋体" w:cs="宋体"/>
          <w:sz w:val="24"/>
          <w:szCs w:val="24"/>
        </w:rPr>
        <w:t>（二）办学定位及培养目标</w:t>
      </w:r>
    </w:p>
    <w:p>
      <w:pPr>
        <w:spacing w:line="360" w:lineRule="auto"/>
        <w:ind w:firstLine="480" w:firstLineChars="200"/>
        <w:rPr>
          <w:rFonts w:ascii="宋体" w:hAnsi="宋体" w:cs="宋体"/>
          <w:sz w:val="24"/>
          <w:szCs w:val="24"/>
        </w:rPr>
      </w:pPr>
      <w:r>
        <w:rPr>
          <w:rFonts w:hint="eastAsia" w:ascii="宋体" w:hAnsi="宋体" w:cs="宋体"/>
          <w:sz w:val="24"/>
          <w:szCs w:val="24"/>
        </w:rPr>
        <w:t>南阳市宛北中等专业学校是一所普通中等职业学校，是一所以</w:t>
      </w:r>
      <w:r>
        <w:rPr>
          <w:rFonts w:hint="eastAsia" w:ascii="宋体" w:hAnsi="宋体" w:cs="宋体"/>
          <w:sz w:val="24"/>
          <w:szCs w:val="24"/>
          <w:lang w:val="en-US" w:eastAsia="zh-CN"/>
        </w:rPr>
        <w:t>幼儿保</w:t>
      </w:r>
      <w:r>
        <w:rPr>
          <w:rFonts w:hint="eastAsia" w:ascii="宋体" w:hAnsi="宋体" w:cs="宋体"/>
          <w:sz w:val="24"/>
          <w:szCs w:val="24"/>
        </w:rPr>
        <w:t>育、计算机</w:t>
      </w:r>
      <w:r>
        <w:rPr>
          <w:rFonts w:hint="eastAsia" w:ascii="宋体" w:hAnsi="宋体" w:cs="宋体"/>
          <w:sz w:val="24"/>
          <w:szCs w:val="24"/>
          <w:lang w:val="en-US" w:eastAsia="zh-CN"/>
        </w:rPr>
        <w:t>应用</w:t>
      </w:r>
      <w:r>
        <w:rPr>
          <w:rFonts w:hint="eastAsia" w:ascii="宋体" w:hAnsi="宋体" w:cs="宋体"/>
          <w:sz w:val="24"/>
          <w:szCs w:val="24"/>
        </w:rPr>
        <w:t>、工艺美术、电子商务等专业统筹协调发展的市级示范性学校。学校坚持以立德树人为根本任务，以服务发展为宗旨，以促进就业为导向，不断完善现代职业教育体系，强化产教融合、校企合作，推进办学模式、人才培养模式、课程体系和评价体系全面改革，培养出大批有扎实专业基础、过硬实践技能、勇于创新、与时俱进的高素质技术技能型专门人才，办学成效显著。</w:t>
      </w:r>
    </w:p>
    <w:p>
      <w:pPr>
        <w:spacing w:line="360" w:lineRule="auto"/>
        <w:ind w:firstLine="480" w:firstLineChars="200"/>
        <w:rPr>
          <w:rFonts w:ascii="宋体" w:hAnsi="宋体" w:cs="宋体"/>
          <w:sz w:val="24"/>
          <w:szCs w:val="24"/>
        </w:rPr>
      </w:pPr>
      <w:r>
        <w:rPr>
          <w:rFonts w:hint="eastAsia" w:ascii="宋体" w:hAnsi="宋体" w:cs="宋体"/>
          <w:sz w:val="24"/>
          <w:szCs w:val="24"/>
        </w:rPr>
        <w:t>(三）基本办学条件</w:t>
      </w:r>
    </w:p>
    <w:p>
      <w:pPr>
        <w:spacing w:line="360" w:lineRule="auto"/>
        <w:ind w:firstLine="480" w:firstLineChars="200"/>
        <w:rPr>
          <w:rFonts w:ascii="宋体" w:hAnsi="宋体" w:cs="宋体"/>
          <w:sz w:val="24"/>
          <w:szCs w:val="24"/>
        </w:rPr>
      </w:pPr>
      <w:r>
        <w:rPr>
          <w:rFonts w:hint="eastAsia" w:ascii="宋体" w:hAnsi="宋体" w:cs="宋体"/>
          <w:sz w:val="24"/>
          <w:szCs w:val="24"/>
        </w:rPr>
        <w:t>1、学校占地及建筑面积</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学校占地113亩，学校总建筑面积 3.</w:t>
      </w:r>
      <w:r>
        <w:rPr>
          <w:rFonts w:hint="eastAsia" w:ascii="宋体" w:hAnsi="宋体" w:cs="宋体"/>
          <w:color w:val="auto"/>
          <w:sz w:val="24"/>
          <w:szCs w:val="24"/>
          <w:lang w:val="en-US" w:eastAsia="zh-CN"/>
        </w:rPr>
        <w:t>443</w:t>
      </w:r>
      <w:r>
        <w:rPr>
          <w:rFonts w:hint="eastAsia" w:ascii="宋体" w:hAnsi="宋体" w:cs="宋体"/>
          <w:color w:val="auto"/>
          <w:sz w:val="24"/>
          <w:szCs w:val="24"/>
        </w:rPr>
        <w:t xml:space="preserve">万平方米，其中教学科研及辅助用房达 </w:t>
      </w:r>
      <w:r>
        <w:rPr>
          <w:rFonts w:hint="eastAsia" w:ascii="宋体" w:hAnsi="宋体" w:cs="宋体"/>
          <w:color w:val="auto"/>
          <w:sz w:val="24"/>
          <w:szCs w:val="24"/>
          <w:lang w:val="en-US" w:eastAsia="zh-CN"/>
        </w:rPr>
        <w:t>0.913</w:t>
      </w:r>
      <w:r>
        <w:rPr>
          <w:rFonts w:hint="eastAsia" w:ascii="宋体" w:hAnsi="宋体" w:cs="宋体"/>
          <w:color w:val="auto"/>
          <w:sz w:val="24"/>
          <w:szCs w:val="24"/>
        </w:rPr>
        <w:t xml:space="preserve">万平方米,学校评估总值近 </w:t>
      </w:r>
      <w:r>
        <w:rPr>
          <w:rFonts w:ascii="宋体" w:hAnsi="宋体" w:cs="宋体"/>
          <w:color w:val="auto"/>
          <w:sz w:val="24"/>
          <w:szCs w:val="24"/>
        </w:rPr>
        <w:t>6000</w:t>
      </w:r>
      <w:r>
        <w:rPr>
          <w:rFonts w:hint="eastAsia" w:ascii="宋体" w:hAnsi="宋体" w:cs="宋体"/>
          <w:color w:val="auto"/>
          <w:sz w:val="24"/>
          <w:szCs w:val="24"/>
        </w:rPr>
        <w:t>万元。</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2、教学、科研设备总值</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教学科研设备总价值 </w:t>
      </w:r>
      <w:r>
        <w:rPr>
          <w:rFonts w:ascii="宋体" w:hAnsi="宋体" w:cs="宋体"/>
          <w:color w:val="auto"/>
          <w:sz w:val="24"/>
          <w:szCs w:val="24"/>
        </w:rPr>
        <w:t>4</w:t>
      </w:r>
      <w:r>
        <w:rPr>
          <w:rFonts w:hint="eastAsia" w:ascii="宋体" w:hAnsi="宋体" w:cs="宋体"/>
          <w:color w:val="auto"/>
          <w:sz w:val="24"/>
          <w:szCs w:val="24"/>
          <w:lang w:val="en-US" w:eastAsia="zh-CN"/>
        </w:rPr>
        <w:t>6</w:t>
      </w:r>
      <w:r>
        <w:rPr>
          <w:rFonts w:ascii="宋体" w:hAnsi="宋体" w:cs="宋体"/>
          <w:color w:val="auto"/>
          <w:sz w:val="24"/>
          <w:szCs w:val="24"/>
        </w:rPr>
        <w:t>4.</w:t>
      </w:r>
      <w:r>
        <w:rPr>
          <w:rFonts w:hint="eastAsia" w:ascii="宋体" w:hAnsi="宋体" w:cs="宋体"/>
          <w:color w:val="auto"/>
          <w:sz w:val="24"/>
          <w:szCs w:val="24"/>
          <w:lang w:val="en-US" w:eastAsia="zh-CN"/>
        </w:rPr>
        <w:t>7</w:t>
      </w:r>
      <w:r>
        <w:rPr>
          <w:rFonts w:hint="eastAsia" w:ascii="宋体" w:hAnsi="宋体" w:cs="宋体"/>
          <w:color w:val="auto"/>
          <w:sz w:val="24"/>
          <w:szCs w:val="24"/>
        </w:rPr>
        <w:t>万元，生均仪器设备值</w:t>
      </w:r>
      <w:r>
        <w:rPr>
          <w:rFonts w:hint="eastAsia" w:ascii="宋体" w:hAnsi="宋体" w:cs="宋体"/>
          <w:color w:val="auto"/>
          <w:sz w:val="24"/>
          <w:szCs w:val="24"/>
          <w:lang w:val="en-US" w:eastAsia="zh-CN"/>
        </w:rPr>
        <w:t>2063</w:t>
      </w:r>
      <w:r>
        <w:rPr>
          <w:rFonts w:hint="eastAsia" w:ascii="宋体" w:hAnsi="宋体" w:cs="宋体"/>
          <w:color w:val="auto"/>
          <w:sz w:val="24"/>
          <w:szCs w:val="24"/>
        </w:rPr>
        <w:t>元。纸质图书总值20万元，生均纸质图书值</w:t>
      </w:r>
      <w:r>
        <w:rPr>
          <w:rFonts w:hint="eastAsia" w:ascii="宋体" w:hAnsi="宋体" w:cs="宋体"/>
          <w:color w:val="auto"/>
          <w:sz w:val="24"/>
          <w:szCs w:val="24"/>
          <w:lang w:val="en-US" w:eastAsia="zh-CN"/>
        </w:rPr>
        <w:t>88</w:t>
      </w:r>
      <w:r>
        <w:rPr>
          <w:rFonts w:hint="eastAsia" w:ascii="宋体" w:hAnsi="宋体" w:cs="宋体"/>
          <w:color w:val="auto"/>
          <w:sz w:val="24"/>
          <w:szCs w:val="24"/>
        </w:rPr>
        <w:t xml:space="preserve">元，计算机、一体机等 </w:t>
      </w:r>
      <w:r>
        <w:rPr>
          <w:rFonts w:hint="eastAsia" w:ascii="宋体" w:hAnsi="宋体" w:cs="宋体"/>
          <w:color w:val="auto"/>
          <w:sz w:val="24"/>
          <w:szCs w:val="24"/>
          <w:lang w:val="en-US" w:eastAsia="zh-CN"/>
        </w:rPr>
        <w:t>455</w:t>
      </w:r>
      <w:r>
        <w:rPr>
          <w:rFonts w:hint="eastAsia" w:ascii="宋体" w:hAnsi="宋体" w:cs="宋体"/>
          <w:color w:val="auto"/>
          <w:sz w:val="24"/>
          <w:szCs w:val="24"/>
        </w:rPr>
        <w:t xml:space="preserve"> 余台。</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3、校内实训基地数量及规模</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校内实训基地1</w:t>
      </w:r>
      <w:r>
        <w:rPr>
          <w:rFonts w:ascii="宋体" w:hAnsi="宋体" w:cs="宋体"/>
          <w:color w:val="auto"/>
          <w:sz w:val="24"/>
          <w:szCs w:val="24"/>
        </w:rPr>
        <w:t>9</w:t>
      </w:r>
      <w:r>
        <w:rPr>
          <w:rFonts w:hint="eastAsia" w:ascii="宋体" w:hAnsi="宋体" w:cs="宋体"/>
          <w:color w:val="auto"/>
          <w:sz w:val="24"/>
          <w:szCs w:val="24"/>
        </w:rPr>
        <w:t>个，可提供的工位数达8</w:t>
      </w:r>
      <w:r>
        <w:rPr>
          <w:rFonts w:ascii="宋体" w:hAnsi="宋体" w:cs="宋体"/>
          <w:color w:val="auto"/>
          <w:sz w:val="24"/>
          <w:szCs w:val="24"/>
        </w:rPr>
        <w:t>00</w:t>
      </w:r>
      <w:r>
        <w:rPr>
          <w:rFonts w:hint="eastAsia" w:ascii="宋体" w:hAnsi="宋体" w:cs="宋体"/>
          <w:color w:val="auto"/>
          <w:sz w:val="24"/>
          <w:szCs w:val="24"/>
        </w:rPr>
        <w:t>个。</w:t>
      </w:r>
    </w:p>
    <w:p>
      <w:pPr>
        <w:spacing w:line="360" w:lineRule="auto"/>
        <w:ind w:firstLine="480" w:firstLineChars="200"/>
        <w:rPr>
          <w:rFonts w:hint="eastAsia" w:ascii="宋体" w:hAnsi="宋体" w:cs="宋体"/>
          <w:color w:val="00B050"/>
          <w:sz w:val="24"/>
          <w:szCs w:val="24"/>
        </w:rPr>
      </w:pP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二、学生情况</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202</w:t>
      </w:r>
      <w:r>
        <w:rPr>
          <w:rFonts w:hint="eastAsia" w:ascii="宋体" w:hAnsi="宋体" w:cs="宋体"/>
          <w:color w:val="auto"/>
          <w:sz w:val="24"/>
          <w:szCs w:val="24"/>
          <w:lang w:val="en-US" w:eastAsia="zh-CN"/>
        </w:rPr>
        <w:t>1</w:t>
      </w:r>
      <w:r>
        <w:rPr>
          <w:rFonts w:hint="eastAsia" w:ascii="宋体" w:hAnsi="宋体" w:cs="宋体"/>
          <w:color w:val="auto"/>
          <w:sz w:val="24"/>
          <w:szCs w:val="24"/>
        </w:rPr>
        <w:t>年，学校招收新生7</w:t>
      </w:r>
      <w:r>
        <w:rPr>
          <w:rFonts w:hint="eastAsia" w:ascii="宋体" w:hAnsi="宋体" w:cs="宋体"/>
          <w:color w:val="auto"/>
          <w:sz w:val="24"/>
          <w:szCs w:val="24"/>
          <w:lang w:val="en-US" w:eastAsia="zh-CN"/>
        </w:rPr>
        <w:t>52</w:t>
      </w:r>
      <w:r>
        <w:rPr>
          <w:rFonts w:hint="eastAsia" w:ascii="宋体" w:hAnsi="宋体" w:cs="宋体"/>
          <w:color w:val="auto"/>
          <w:sz w:val="24"/>
          <w:szCs w:val="24"/>
        </w:rPr>
        <w:t>人； 在校生规模 22</w:t>
      </w:r>
      <w:r>
        <w:rPr>
          <w:rFonts w:hint="eastAsia" w:ascii="宋体" w:hAnsi="宋体" w:cs="宋体"/>
          <w:color w:val="auto"/>
          <w:sz w:val="24"/>
          <w:szCs w:val="24"/>
          <w:lang w:val="en-US" w:eastAsia="zh-CN"/>
        </w:rPr>
        <w:t>52</w:t>
      </w:r>
      <w:r>
        <w:rPr>
          <w:rFonts w:hint="eastAsia" w:ascii="宋体" w:hAnsi="宋体" w:cs="宋体"/>
          <w:color w:val="auto"/>
          <w:sz w:val="24"/>
          <w:szCs w:val="24"/>
        </w:rPr>
        <w:t>人，其中“3+2”学生</w:t>
      </w:r>
      <w:r>
        <w:rPr>
          <w:rFonts w:hint="eastAsia" w:ascii="宋体" w:hAnsi="宋体" w:cs="宋体"/>
          <w:color w:val="auto"/>
          <w:sz w:val="24"/>
          <w:szCs w:val="24"/>
          <w:lang w:val="en-US" w:eastAsia="zh-CN"/>
        </w:rPr>
        <w:t>462</w:t>
      </w:r>
      <w:r>
        <w:rPr>
          <w:rFonts w:hint="eastAsia" w:ascii="宋体" w:hAnsi="宋体" w:cs="宋体"/>
          <w:color w:val="auto"/>
          <w:sz w:val="24"/>
          <w:szCs w:val="24"/>
        </w:rPr>
        <w:t>人，三年制中职学生1</w:t>
      </w:r>
      <w:r>
        <w:rPr>
          <w:rFonts w:hint="eastAsia" w:ascii="宋体" w:hAnsi="宋体" w:cs="宋体"/>
          <w:color w:val="auto"/>
          <w:sz w:val="24"/>
          <w:szCs w:val="24"/>
          <w:lang w:val="en-US" w:eastAsia="zh-CN"/>
        </w:rPr>
        <w:t>790</w:t>
      </w:r>
      <w:r>
        <w:rPr>
          <w:rFonts w:hint="eastAsia" w:ascii="宋体" w:hAnsi="宋体" w:cs="宋体"/>
          <w:color w:val="auto"/>
          <w:sz w:val="24"/>
          <w:szCs w:val="24"/>
        </w:rPr>
        <w:t>人，成人函授生</w:t>
      </w:r>
      <w:r>
        <w:rPr>
          <w:rFonts w:ascii="宋体" w:hAnsi="宋体" w:cs="宋体"/>
          <w:color w:val="auto"/>
          <w:sz w:val="24"/>
          <w:szCs w:val="24"/>
        </w:rPr>
        <w:t>3</w:t>
      </w:r>
      <w:r>
        <w:rPr>
          <w:rFonts w:hint="eastAsia" w:ascii="宋体" w:hAnsi="宋体" w:cs="宋体"/>
          <w:color w:val="auto"/>
          <w:sz w:val="24"/>
          <w:szCs w:val="24"/>
          <w:lang w:val="en-US" w:eastAsia="zh-CN"/>
        </w:rPr>
        <w:t>3</w:t>
      </w:r>
      <w:r>
        <w:rPr>
          <w:rFonts w:hint="eastAsia" w:ascii="宋体" w:hAnsi="宋体" w:cs="宋体"/>
          <w:color w:val="auto"/>
          <w:sz w:val="24"/>
          <w:szCs w:val="24"/>
        </w:rPr>
        <w:t xml:space="preserve">人，毕业生 </w:t>
      </w:r>
      <w:r>
        <w:rPr>
          <w:rFonts w:hint="eastAsia" w:ascii="宋体" w:hAnsi="宋体" w:cs="宋体"/>
          <w:color w:val="auto"/>
          <w:sz w:val="24"/>
          <w:szCs w:val="24"/>
          <w:lang w:val="en-US" w:eastAsia="zh-CN"/>
        </w:rPr>
        <w:t>726</w:t>
      </w:r>
      <w:r>
        <w:rPr>
          <w:rFonts w:hint="eastAsia" w:ascii="宋体" w:hAnsi="宋体" w:cs="宋体"/>
          <w:color w:val="auto"/>
          <w:sz w:val="24"/>
          <w:szCs w:val="24"/>
        </w:rPr>
        <w:t>人； 学生巩固率9</w:t>
      </w:r>
      <w:r>
        <w:rPr>
          <w:rFonts w:hint="eastAsia" w:ascii="宋体" w:hAnsi="宋体" w:cs="宋体"/>
          <w:color w:val="auto"/>
          <w:sz w:val="24"/>
          <w:szCs w:val="24"/>
          <w:lang w:val="en-US" w:eastAsia="zh-CN"/>
        </w:rPr>
        <w:t>0</w:t>
      </w:r>
      <w:r>
        <w:rPr>
          <w:rFonts w:hint="eastAsia" w:ascii="宋体" w:hAnsi="宋体" w:cs="宋体"/>
          <w:color w:val="auto"/>
          <w:sz w:val="24"/>
          <w:szCs w:val="24"/>
        </w:rPr>
        <w:t>%；开展各类培训</w:t>
      </w:r>
      <w:r>
        <w:rPr>
          <w:rFonts w:ascii="宋体" w:hAnsi="宋体" w:cs="宋体"/>
          <w:color w:val="auto"/>
          <w:sz w:val="24"/>
          <w:szCs w:val="24"/>
        </w:rPr>
        <w:t>1</w:t>
      </w:r>
      <w:r>
        <w:rPr>
          <w:rFonts w:hint="eastAsia" w:ascii="宋体" w:hAnsi="宋体" w:cs="宋体"/>
          <w:color w:val="auto"/>
          <w:sz w:val="24"/>
          <w:szCs w:val="24"/>
        </w:rPr>
        <w:t>000人次。202</w:t>
      </w:r>
      <w:r>
        <w:rPr>
          <w:rFonts w:hint="eastAsia" w:ascii="宋体" w:hAnsi="宋体" w:cs="宋体"/>
          <w:color w:val="auto"/>
          <w:sz w:val="24"/>
          <w:szCs w:val="24"/>
          <w:lang w:val="en-US" w:eastAsia="zh-CN"/>
        </w:rPr>
        <w:t>1</w:t>
      </w:r>
      <w:r>
        <w:rPr>
          <w:rFonts w:hint="eastAsia" w:ascii="宋体" w:hAnsi="宋体" w:cs="宋体"/>
          <w:color w:val="auto"/>
          <w:sz w:val="24"/>
          <w:szCs w:val="24"/>
        </w:rPr>
        <w:t>年在校生规模比20</w:t>
      </w:r>
      <w:r>
        <w:rPr>
          <w:rFonts w:hint="eastAsia" w:ascii="宋体" w:hAnsi="宋体" w:cs="宋体"/>
          <w:color w:val="auto"/>
          <w:sz w:val="24"/>
          <w:szCs w:val="24"/>
          <w:lang w:val="en-US" w:eastAsia="zh-CN"/>
        </w:rPr>
        <w:t>20</w:t>
      </w:r>
      <w:r>
        <w:rPr>
          <w:rFonts w:hint="eastAsia" w:ascii="宋体" w:hAnsi="宋体" w:cs="宋体"/>
          <w:color w:val="auto"/>
          <w:sz w:val="24"/>
          <w:szCs w:val="24"/>
        </w:rPr>
        <w:t>年有所有提高。</w:t>
      </w:r>
    </w:p>
    <w:p>
      <w:pPr>
        <w:spacing w:line="360" w:lineRule="auto"/>
        <w:jc w:val="center"/>
        <w:rPr>
          <w:rFonts w:ascii="宋体" w:hAnsi="宋体" w:cs="宋体"/>
          <w:sz w:val="24"/>
          <w:szCs w:val="24"/>
        </w:rPr>
      </w:pPr>
      <w:r>
        <w:rPr>
          <w:rFonts w:hint="eastAsia" w:ascii="宋体" w:hAnsi="宋体" w:cs="宋体"/>
          <w:sz w:val="24"/>
          <w:szCs w:val="24"/>
        </w:rPr>
        <w:t>在校生规模</w:t>
      </w:r>
    </w:p>
    <w:p>
      <w:pPr>
        <w:spacing w:line="360" w:lineRule="auto"/>
        <w:jc w:val="center"/>
        <w:rPr>
          <w:rFonts w:ascii="宋体" w:hAnsi="宋体" w:cs="宋体"/>
          <w:sz w:val="24"/>
          <w:szCs w:val="24"/>
        </w:rPr>
      </w:pPr>
      <w:r>
        <w:rPr>
          <w:rFonts w:hint="eastAsia" w:eastAsiaTheme="minorEastAsia"/>
          <w:sz w:val="24"/>
          <w:szCs w:val="24"/>
          <w:lang w:eastAsia="zh-CN"/>
        </w:rPr>
        <w:drawing>
          <wp:inline distT="0" distB="0" distL="114300" distR="114300">
            <wp:extent cx="5501005" cy="3957955"/>
            <wp:effectExtent l="5080" t="4445" r="18415"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三、教师队伍</w:t>
      </w:r>
    </w:p>
    <w:p>
      <w:pPr>
        <w:spacing w:line="360" w:lineRule="auto"/>
        <w:ind w:firstLine="480" w:firstLineChars="200"/>
        <w:rPr>
          <w:rFonts w:ascii="宋体" w:hAnsi="宋体" w:cs="宋体"/>
          <w:sz w:val="24"/>
          <w:szCs w:val="24"/>
        </w:rPr>
      </w:pPr>
      <w:r>
        <w:rPr>
          <w:rFonts w:hint="eastAsia" w:ascii="宋体" w:hAnsi="宋体" w:cs="宋体"/>
          <w:sz w:val="24"/>
          <w:szCs w:val="24"/>
        </w:rPr>
        <w:t>教师是学校核心竞争力的重要组成部分，打造一流的师资队伍是我校一贯的追求，也是我校办学质量不断提高的最有力的支撑</w:t>
      </w:r>
      <w:r>
        <w:rPr>
          <w:rFonts w:hint="eastAsia" w:ascii="宋体" w:hAnsi="宋体" w:cs="宋体"/>
          <w:color w:val="auto"/>
          <w:sz w:val="24"/>
          <w:szCs w:val="24"/>
        </w:rPr>
        <w:t>。学校现有教职工 8</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人，专任教师 7</w:t>
      </w:r>
      <w:r>
        <w:rPr>
          <w:rFonts w:hint="eastAsia" w:ascii="宋体" w:hAnsi="宋体" w:cs="宋体"/>
          <w:color w:val="auto"/>
          <w:sz w:val="24"/>
          <w:szCs w:val="24"/>
          <w:lang w:val="en-US" w:eastAsia="zh-CN"/>
        </w:rPr>
        <w:t>3</w:t>
      </w:r>
      <w:r>
        <w:rPr>
          <w:rFonts w:hint="eastAsia" w:ascii="宋体" w:hAnsi="宋体" w:cs="宋体"/>
          <w:color w:val="auto"/>
          <w:sz w:val="24"/>
          <w:szCs w:val="24"/>
        </w:rPr>
        <w:t>人，副高级职称 26人，讲师 32人，技师 3 人，硕士研究生 3 人，外聘教师</w:t>
      </w:r>
      <w:r>
        <w:rPr>
          <w:rFonts w:hint="eastAsia" w:ascii="宋体" w:hAnsi="宋体" w:cs="宋体"/>
          <w:color w:val="auto"/>
          <w:sz w:val="24"/>
          <w:szCs w:val="24"/>
          <w:lang w:val="en-US" w:eastAsia="zh-CN"/>
        </w:rPr>
        <w:t>6</w:t>
      </w:r>
      <w:r>
        <w:rPr>
          <w:rFonts w:hint="eastAsia" w:ascii="宋体" w:hAnsi="宋体" w:cs="宋体"/>
          <w:color w:val="auto"/>
          <w:sz w:val="24"/>
          <w:szCs w:val="24"/>
        </w:rPr>
        <w:t>人。202</w:t>
      </w:r>
      <w:r>
        <w:rPr>
          <w:rFonts w:hint="eastAsia" w:ascii="宋体" w:hAnsi="宋体" w:cs="宋体"/>
          <w:color w:val="auto"/>
          <w:sz w:val="24"/>
          <w:szCs w:val="24"/>
          <w:lang w:val="en-US" w:eastAsia="zh-CN"/>
        </w:rPr>
        <w:t>1</w:t>
      </w:r>
      <w:r>
        <w:rPr>
          <w:rFonts w:hint="eastAsia" w:ascii="宋体" w:hAnsi="宋体" w:cs="宋体"/>
          <w:color w:val="auto"/>
          <w:sz w:val="24"/>
          <w:szCs w:val="24"/>
        </w:rPr>
        <w:t>年河南省 “双师型”教师</w:t>
      </w:r>
      <w:r>
        <w:rPr>
          <w:rFonts w:hint="eastAsia" w:ascii="宋体" w:hAnsi="宋体" w:cs="宋体"/>
          <w:color w:val="auto"/>
          <w:sz w:val="24"/>
          <w:szCs w:val="24"/>
          <w:lang w:val="en-US" w:eastAsia="zh-CN"/>
        </w:rPr>
        <w:t>培训</w:t>
      </w:r>
      <w:r>
        <w:rPr>
          <w:rFonts w:hint="eastAsia" w:ascii="宋体" w:hAnsi="宋体" w:cs="宋体"/>
          <w:color w:val="auto"/>
          <w:sz w:val="24"/>
          <w:szCs w:val="24"/>
        </w:rPr>
        <w:t xml:space="preserve">，我校有 </w:t>
      </w:r>
      <w:r>
        <w:rPr>
          <w:rFonts w:hint="eastAsia" w:ascii="宋体" w:hAnsi="宋体" w:cs="宋体"/>
          <w:color w:val="auto"/>
          <w:sz w:val="24"/>
          <w:szCs w:val="24"/>
          <w:lang w:val="en-US" w:eastAsia="zh-CN"/>
        </w:rPr>
        <w:t>10</w:t>
      </w:r>
      <w:r>
        <w:rPr>
          <w:rFonts w:hint="eastAsia" w:ascii="宋体" w:hAnsi="宋体" w:cs="宋体"/>
          <w:color w:val="auto"/>
          <w:sz w:val="24"/>
          <w:szCs w:val="24"/>
        </w:rPr>
        <w:t xml:space="preserve"> 人进行</w:t>
      </w:r>
      <w:r>
        <w:rPr>
          <w:rFonts w:hint="eastAsia" w:ascii="宋体" w:hAnsi="宋体" w:cs="宋体"/>
          <w:color w:val="auto"/>
          <w:sz w:val="24"/>
          <w:szCs w:val="24"/>
          <w:lang w:val="en-US" w:eastAsia="zh-CN"/>
        </w:rPr>
        <w:t>培训。</w:t>
      </w:r>
      <w:r>
        <w:rPr>
          <w:rFonts w:hint="eastAsia" w:ascii="宋体" w:hAnsi="宋体" w:cs="宋体"/>
          <w:color w:val="auto"/>
          <w:sz w:val="24"/>
          <w:szCs w:val="24"/>
        </w:rPr>
        <w:t>目前，学校已形成了省级培训、市级培训、双师培训、校本培训为一体的师资培</w:t>
      </w:r>
      <w:r>
        <w:rPr>
          <w:rFonts w:hint="eastAsia" w:ascii="宋体" w:hAnsi="宋体" w:cs="宋体"/>
          <w:sz w:val="24"/>
          <w:szCs w:val="24"/>
        </w:rPr>
        <w:t>训模式，初步形成了以高级教师为龙头、以“双师型”教师为主干、以青年教师为基础的优秀教师队伍，涌现出一批师德高尚、业务精湛的骨干教师。</w:t>
      </w:r>
    </w:p>
    <w:p>
      <w:pPr>
        <w:spacing w:line="360" w:lineRule="auto"/>
        <w:ind w:firstLine="480" w:firstLineChars="200"/>
        <w:rPr>
          <w:rFonts w:ascii="宋体" w:hAnsi="宋体" w:cs="宋体"/>
          <w:sz w:val="24"/>
          <w:szCs w:val="24"/>
        </w:rPr>
      </w:pPr>
    </w:p>
    <w:p>
      <w:pPr>
        <w:spacing w:line="360" w:lineRule="auto"/>
        <w:jc w:val="center"/>
        <w:rPr>
          <w:rFonts w:ascii="宋体" w:hAnsi="宋体" w:cs="宋体"/>
          <w:sz w:val="24"/>
          <w:szCs w:val="24"/>
        </w:rPr>
      </w:pPr>
      <w:r>
        <w:rPr>
          <w:rFonts w:hint="eastAsia" w:ascii="宋体" w:hAnsi="宋体" w:cs="宋体"/>
          <w:sz w:val="24"/>
          <w:szCs w:val="24"/>
        </w:rPr>
        <w:t>教师占比表（%）</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134"/>
        <w:gridCol w:w="1497"/>
        <w:gridCol w:w="1300"/>
        <w:gridCol w:w="1583"/>
        <w:gridCol w:w="1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trPr>
        <w:tc>
          <w:tcPr>
            <w:tcW w:w="1242"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教师变化</w:t>
            </w:r>
          </w:p>
        </w:tc>
        <w:tc>
          <w:tcPr>
            <w:tcW w:w="1134"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生师比例</w:t>
            </w:r>
          </w:p>
        </w:tc>
        <w:tc>
          <w:tcPr>
            <w:tcW w:w="1497"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“双师型”教师比例</w:t>
            </w:r>
          </w:p>
        </w:tc>
        <w:tc>
          <w:tcPr>
            <w:tcW w:w="1300"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专任教师本科以上比例</w:t>
            </w:r>
          </w:p>
        </w:tc>
        <w:tc>
          <w:tcPr>
            <w:tcW w:w="1583"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专任教师硕士比例</w:t>
            </w:r>
          </w:p>
        </w:tc>
        <w:tc>
          <w:tcPr>
            <w:tcW w:w="1533"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专任教师高级职称比例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42"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lang w:val="en-US" w:eastAsia="zh-CN"/>
              </w:rPr>
              <w:t>20</w:t>
            </w:r>
            <w:r>
              <w:rPr>
                <w:rFonts w:hint="eastAsia" w:ascii="宋体" w:hAnsi="宋体" w:cs="宋体"/>
                <w:color w:val="auto"/>
                <w:sz w:val="24"/>
                <w:szCs w:val="24"/>
              </w:rPr>
              <w:t>年</w:t>
            </w:r>
          </w:p>
        </w:tc>
        <w:tc>
          <w:tcPr>
            <w:tcW w:w="1134" w:type="dxa"/>
            <w:vAlign w:val="center"/>
          </w:tcPr>
          <w:p>
            <w:pPr>
              <w:spacing w:line="360" w:lineRule="auto"/>
              <w:jc w:val="center"/>
              <w:rPr>
                <w:rFonts w:ascii="宋体" w:hAnsi="宋体" w:cs="宋体"/>
                <w:color w:val="auto"/>
                <w:sz w:val="24"/>
                <w:szCs w:val="24"/>
              </w:rPr>
            </w:pPr>
            <w:r>
              <w:rPr>
                <w:rFonts w:ascii="宋体" w:hAnsi="宋体" w:cs="宋体"/>
                <w:color w:val="auto"/>
                <w:sz w:val="24"/>
                <w:szCs w:val="24"/>
              </w:rPr>
              <w:t>27.44</w:t>
            </w: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 xml:space="preserve">                                                        </w:t>
            </w:r>
          </w:p>
        </w:tc>
        <w:tc>
          <w:tcPr>
            <w:tcW w:w="1497"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4</w:t>
            </w:r>
            <w:r>
              <w:rPr>
                <w:rFonts w:ascii="宋体" w:hAnsi="宋体" w:cs="宋体"/>
                <w:color w:val="auto"/>
                <w:sz w:val="24"/>
                <w:szCs w:val="24"/>
              </w:rPr>
              <w:t>7.56</w:t>
            </w:r>
            <w:r>
              <w:rPr>
                <w:rFonts w:hint="eastAsia" w:ascii="宋体" w:hAnsi="宋体" w:cs="宋体"/>
                <w:color w:val="auto"/>
                <w:sz w:val="24"/>
                <w:szCs w:val="24"/>
              </w:rPr>
              <w:t>%</w:t>
            </w:r>
          </w:p>
        </w:tc>
        <w:tc>
          <w:tcPr>
            <w:tcW w:w="1300"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100%</w:t>
            </w:r>
          </w:p>
        </w:tc>
        <w:tc>
          <w:tcPr>
            <w:tcW w:w="1583" w:type="dxa"/>
            <w:vAlign w:val="center"/>
          </w:tcPr>
          <w:p>
            <w:pPr>
              <w:spacing w:line="360" w:lineRule="auto"/>
              <w:jc w:val="center"/>
              <w:rPr>
                <w:rFonts w:ascii="宋体" w:hAnsi="宋体" w:cs="宋体"/>
                <w:color w:val="auto"/>
                <w:sz w:val="24"/>
                <w:szCs w:val="24"/>
              </w:rPr>
            </w:pPr>
            <w:r>
              <w:rPr>
                <w:rFonts w:ascii="宋体" w:hAnsi="宋体" w:cs="宋体"/>
                <w:color w:val="auto"/>
                <w:sz w:val="24"/>
                <w:szCs w:val="24"/>
              </w:rPr>
              <w:t>4.05</w:t>
            </w:r>
            <w:r>
              <w:rPr>
                <w:rFonts w:hint="eastAsia" w:ascii="宋体" w:hAnsi="宋体" w:cs="宋体"/>
                <w:color w:val="auto"/>
                <w:sz w:val="24"/>
                <w:szCs w:val="24"/>
              </w:rPr>
              <w:t>%</w:t>
            </w:r>
          </w:p>
        </w:tc>
        <w:tc>
          <w:tcPr>
            <w:tcW w:w="1533"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42"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1</w:t>
            </w:r>
            <w:r>
              <w:rPr>
                <w:rFonts w:hint="eastAsia" w:ascii="宋体" w:hAnsi="宋体" w:cs="宋体"/>
                <w:color w:val="auto"/>
                <w:sz w:val="24"/>
                <w:szCs w:val="24"/>
              </w:rPr>
              <w:t>年</w:t>
            </w:r>
          </w:p>
        </w:tc>
        <w:tc>
          <w:tcPr>
            <w:tcW w:w="1134"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lang w:val="en-US" w:eastAsia="zh-CN"/>
              </w:rPr>
              <w:t>32.14:1</w:t>
            </w:r>
            <w:r>
              <w:rPr>
                <w:rFonts w:hint="eastAsia" w:ascii="宋体" w:hAnsi="宋体" w:cs="宋体"/>
                <w:color w:val="auto"/>
                <w:sz w:val="24"/>
                <w:szCs w:val="24"/>
              </w:rPr>
              <w:t xml:space="preserve">                                                                                                                                                                                                                                                      </w:t>
            </w:r>
          </w:p>
        </w:tc>
        <w:tc>
          <w:tcPr>
            <w:tcW w:w="1497"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36.99%</w:t>
            </w:r>
          </w:p>
        </w:tc>
        <w:tc>
          <w:tcPr>
            <w:tcW w:w="1300"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100%</w:t>
            </w:r>
          </w:p>
        </w:tc>
        <w:tc>
          <w:tcPr>
            <w:tcW w:w="1583"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4.11%</w:t>
            </w:r>
          </w:p>
        </w:tc>
        <w:tc>
          <w:tcPr>
            <w:tcW w:w="1533"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42" w:type="dxa"/>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增长</w:t>
            </w:r>
          </w:p>
        </w:tc>
        <w:tc>
          <w:tcPr>
            <w:tcW w:w="1134"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-4.7</w:t>
            </w:r>
          </w:p>
        </w:tc>
        <w:tc>
          <w:tcPr>
            <w:tcW w:w="1497"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-10.57%</w:t>
            </w:r>
          </w:p>
        </w:tc>
        <w:tc>
          <w:tcPr>
            <w:tcW w:w="1300"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w:t>
            </w:r>
          </w:p>
        </w:tc>
        <w:tc>
          <w:tcPr>
            <w:tcW w:w="1583"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0.06%</w:t>
            </w:r>
          </w:p>
        </w:tc>
        <w:tc>
          <w:tcPr>
            <w:tcW w:w="1533" w:type="dxa"/>
            <w:vAlign w:val="center"/>
          </w:tcPr>
          <w:p>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r>
    </w:tbl>
    <w:p>
      <w:pPr>
        <w:spacing w:line="360" w:lineRule="auto"/>
        <w:ind w:left="420"/>
        <w:rPr>
          <w:rFonts w:ascii="宋体" w:hAnsi="宋体" w:cs="宋体"/>
          <w:sz w:val="24"/>
          <w:szCs w:val="24"/>
        </w:rPr>
      </w:pPr>
    </w:p>
    <w:p>
      <w:pPr>
        <w:numPr>
          <w:ilvl w:val="0"/>
          <w:numId w:val="2"/>
        </w:numPr>
        <w:spacing w:line="360" w:lineRule="auto"/>
        <w:ind w:firstLine="482" w:firstLineChars="200"/>
        <w:rPr>
          <w:rFonts w:ascii="宋体" w:hAnsi="宋体" w:cs="宋体"/>
          <w:b/>
          <w:bCs/>
          <w:sz w:val="24"/>
          <w:szCs w:val="24"/>
        </w:rPr>
      </w:pPr>
      <w:r>
        <w:rPr>
          <w:rFonts w:hint="eastAsia" w:ascii="宋体" w:hAnsi="宋体" w:cs="宋体"/>
          <w:b/>
          <w:bCs/>
          <w:sz w:val="24"/>
          <w:szCs w:val="24"/>
        </w:rPr>
        <w:t>设施设备</w:t>
      </w:r>
      <w:r>
        <w:rPr>
          <w:rFonts w:hint="eastAsia" w:ascii="宋体" w:hAnsi="宋体" w:cs="宋体"/>
          <w:b/>
          <w:bCs/>
          <w:sz w:val="24"/>
          <w:szCs w:val="24"/>
        </w:rPr>
        <w:tab/>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1"/>
        <w:gridCol w:w="1163"/>
        <w:gridCol w:w="992"/>
        <w:gridCol w:w="1134"/>
        <w:gridCol w:w="1559"/>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0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项目名称</w:t>
            </w: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专业</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工位总数</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专业生数</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总值</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生均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0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实训实习工位数</w:t>
            </w: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工艺美术</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300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color w:val="auto"/>
                <w:sz w:val="24"/>
                <w:szCs w:val="24"/>
                <w:lang w:val="en-US" w:eastAsia="zh-CN" w:bidi="en-US"/>
              </w:rPr>
            </w:pPr>
            <w:r>
              <w:rPr>
                <w:rFonts w:hint="eastAsia" w:ascii="宋体" w:hAnsi="宋体" w:cs="宋体"/>
                <w:color w:val="auto"/>
                <w:sz w:val="24"/>
                <w:szCs w:val="24"/>
                <w:lang w:val="en-US" w:eastAsia="zh-CN"/>
              </w:rPr>
              <w:t>678</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9万</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0.4</w:t>
            </w:r>
            <w:r>
              <w:rPr>
                <w:rFonts w:hint="eastAsia" w:ascii="宋体" w:hAnsi="宋体" w:cs="宋体"/>
                <w:color w:val="auto"/>
                <w:sz w:val="24"/>
                <w:szCs w:val="24"/>
                <w:lang w:val="en-US" w:eastAsia="zh-CN"/>
              </w:rPr>
              <w:t>4</w:t>
            </w:r>
            <w:r>
              <w:rPr>
                <w:rFonts w:hint="eastAsia" w:ascii="宋体" w:hAnsi="宋体" w:cs="宋体"/>
                <w:color w:val="auto"/>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0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计算机应用</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170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color w:val="auto"/>
                <w:sz w:val="24"/>
                <w:szCs w:val="24"/>
                <w:lang w:val="en-US" w:eastAsia="zh-CN" w:bidi="en-US"/>
              </w:rPr>
            </w:pPr>
            <w:r>
              <w:rPr>
                <w:rFonts w:hint="eastAsia" w:ascii="宋体" w:hAnsi="宋体" w:cs="宋体"/>
                <w:color w:val="auto"/>
                <w:sz w:val="24"/>
                <w:szCs w:val="24"/>
                <w:lang w:val="en-US" w:eastAsia="zh-CN"/>
              </w:rPr>
              <w:t>271</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75.52万</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lang w:val="en-US" w:eastAsia="zh-CN"/>
              </w:rPr>
              <w:t>0.63</w:t>
            </w:r>
            <w:r>
              <w:rPr>
                <w:rFonts w:hint="eastAsia" w:ascii="宋体" w:hAnsi="宋体" w:cs="宋体"/>
                <w:color w:val="auto"/>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60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幼教</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300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color w:val="auto"/>
                <w:sz w:val="24"/>
                <w:szCs w:val="24"/>
                <w:lang w:val="en-US" w:eastAsia="zh-CN" w:bidi="en-US"/>
              </w:rPr>
            </w:pPr>
            <w:r>
              <w:rPr>
                <w:rFonts w:hint="eastAsia" w:ascii="宋体" w:hAnsi="宋体" w:cs="宋体"/>
                <w:color w:val="auto"/>
                <w:sz w:val="24"/>
                <w:szCs w:val="24"/>
                <w:lang w:val="en-US" w:eastAsia="zh-CN" w:bidi="en-US"/>
              </w:rPr>
              <w:t>867</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47.6万</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0.</w:t>
            </w:r>
            <w:r>
              <w:rPr>
                <w:rFonts w:hint="eastAsia" w:ascii="宋体" w:hAnsi="宋体" w:cs="宋体"/>
                <w:color w:val="auto"/>
                <w:sz w:val="24"/>
                <w:szCs w:val="24"/>
                <w:lang w:val="en-US" w:eastAsia="zh-CN"/>
              </w:rPr>
              <w:t>35</w:t>
            </w:r>
            <w:r>
              <w:rPr>
                <w:rFonts w:hint="eastAsia" w:ascii="宋体" w:hAnsi="宋体" w:cs="宋体"/>
                <w:color w:val="auto"/>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56"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教学仪器</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color w:val="auto"/>
                <w:sz w:val="24"/>
                <w:szCs w:val="24"/>
                <w:lang w:val="en-US" w:eastAsia="zh-CN" w:bidi="en-US"/>
              </w:rPr>
            </w:pPr>
            <w:r>
              <w:rPr>
                <w:rFonts w:hint="eastAsia" w:ascii="宋体" w:hAnsi="宋体" w:cs="宋体"/>
                <w:color w:val="auto"/>
                <w:sz w:val="24"/>
                <w:szCs w:val="24"/>
                <w:lang w:val="en-US" w:eastAsia="zh-CN"/>
              </w:rPr>
              <w:t>1816</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4</w:t>
            </w:r>
            <w:r>
              <w:rPr>
                <w:rFonts w:hint="eastAsia" w:ascii="宋体" w:hAnsi="宋体" w:cs="宋体"/>
                <w:color w:val="auto"/>
                <w:sz w:val="24"/>
                <w:szCs w:val="24"/>
                <w:lang w:val="en-US" w:eastAsia="zh-CN"/>
              </w:rPr>
              <w:t>64.7</w:t>
            </w:r>
            <w:r>
              <w:rPr>
                <w:rFonts w:hint="eastAsia" w:ascii="宋体" w:hAnsi="宋体" w:cs="宋体"/>
                <w:color w:val="auto"/>
                <w:sz w:val="24"/>
                <w:szCs w:val="24"/>
              </w:rPr>
              <w:t>万</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0.</w:t>
            </w:r>
            <w:r>
              <w:rPr>
                <w:rFonts w:hint="eastAsia" w:ascii="宋体" w:hAnsi="宋体" w:cs="宋体"/>
                <w:color w:val="auto"/>
                <w:sz w:val="24"/>
                <w:szCs w:val="24"/>
                <w:lang w:val="en-US" w:eastAsia="zh-CN"/>
              </w:rPr>
              <w:t>26</w:t>
            </w:r>
            <w:r>
              <w:rPr>
                <w:rFonts w:hint="eastAsia" w:ascii="宋体" w:hAnsi="宋体" w:cs="宋体"/>
                <w:color w:val="auto"/>
                <w:sz w:val="24"/>
                <w:szCs w:val="24"/>
              </w:rPr>
              <w:t>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56"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纸质图书</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s="宋体"/>
                <w:color w:val="auto"/>
                <w:sz w:val="24"/>
                <w:szCs w:val="24"/>
                <w:lang w:val="en-US" w:eastAsia="zh-CN" w:bidi="en-US"/>
              </w:rPr>
            </w:pPr>
            <w:r>
              <w:rPr>
                <w:rFonts w:hint="eastAsia" w:ascii="宋体" w:hAnsi="宋体" w:cs="宋体"/>
                <w:color w:val="auto"/>
                <w:sz w:val="24"/>
                <w:szCs w:val="24"/>
                <w:lang w:val="en-US" w:eastAsia="zh-CN"/>
              </w:rPr>
              <w:t>1816</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20万</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auto"/>
                <w:sz w:val="24"/>
                <w:szCs w:val="24"/>
                <w:lang w:bidi="en-US"/>
              </w:rPr>
            </w:pPr>
            <w:r>
              <w:rPr>
                <w:rFonts w:hint="eastAsia" w:ascii="宋体" w:hAnsi="宋体" w:cs="宋体"/>
                <w:color w:val="auto"/>
                <w:sz w:val="24"/>
                <w:szCs w:val="24"/>
              </w:rPr>
              <w:t>0.00</w:t>
            </w:r>
            <w:r>
              <w:rPr>
                <w:rFonts w:hint="eastAsia" w:ascii="宋体" w:hAnsi="宋体" w:cs="宋体"/>
                <w:color w:val="auto"/>
                <w:sz w:val="24"/>
                <w:szCs w:val="24"/>
                <w:lang w:val="en-US" w:eastAsia="zh-CN"/>
              </w:rPr>
              <w:t>11</w:t>
            </w:r>
            <w:r>
              <w:rPr>
                <w:rFonts w:hint="eastAsia" w:ascii="宋体" w:hAnsi="宋体" w:cs="宋体"/>
                <w:color w:val="auto"/>
                <w:sz w:val="24"/>
                <w:szCs w:val="24"/>
              </w:rPr>
              <w:t>万</w:t>
            </w:r>
          </w:p>
        </w:tc>
      </w:tr>
    </w:tbl>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Pr>
        <w:numPr>
          <w:ilvl w:val="0"/>
          <w:numId w:val="3"/>
        </w:numPr>
        <w:spacing w:line="360" w:lineRule="auto"/>
        <w:jc w:val="center"/>
        <w:rPr>
          <w:rFonts w:hint="eastAsia" w:ascii="黑体" w:hAnsi="黑体" w:eastAsia="黑体" w:cs="宋体"/>
          <w:b w:val="0"/>
          <w:bCs w:val="0"/>
          <w:sz w:val="30"/>
          <w:szCs w:val="30"/>
        </w:rPr>
      </w:pPr>
      <w:r>
        <w:rPr>
          <w:rFonts w:hint="eastAsia" w:ascii="黑体" w:hAnsi="黑体" w:eastAsia="黑体" w:cs="宋体"/>
          <w:b w:val="0"/>
          <w:bCs w:val="0"/>
          <w:sz w:val="30"/>
          <w:szCs w:val="30"/>
        </w:rPr>
        <w:t>学生发展</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一、学生素质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学校坚持“知行合一、德技双馨”的校训，立德树人，培养既掌握一技之长又具有良好道德品质的高素质劳动者。学生整体思想政治状况较好。学生的文化课合格率9</w:t>
      </w:r>
      <w:r>
        <w:rPr>
          <w:rFonts w:hint="eastAsia" w:ascii="宋体" w:hAnsi="宋体" w:eastAsia="宋体" w:cs="宋体"/>
          <w:sz w:val="24"/>
          <w:szCs w:val="24"/>
          <w:lang w:val="en-US" w:eastAsia="zh-CN"/>
        </w:rPr>
        <w:t>2</w:t>
      </w:r>
      <w:r>
        <w:rPr>
          <w:rFonts w:hint="eastAsia" w:ascii="宋体" w:hAnsi="宋体" w:eastAsia="宋体" w:cs="宋体"/>
          <w:sz w:val="24"/>
          <w:szCs w:val="24"/>
        </w:rPr>
        <w:t>%，专业技能合格率99.5%。</w:t>
      </w:r>
    </w:p>
    <w:p>
      <w:pPr>
        <w:spacing w:line="360" w:lineRule="auto"/>
        <w:ind w:firstLine="480" w:firstLineChars="200"/>
        <w:rPr>
          <w:rFonts w:hint="eastAsia" w:ascii="宋体" w:hAnsi="宋体" w:eastAsia="宋体" w:cs="宋体"/>
          <w:sz w:val="24"/>
          <w:szCs w:val="2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二、在校体验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根据学校管理规定，每个学生在学期发放相关调查表对学校各项工作满意度进行调查，通过随机取样进行数据分析，学生理论学习满意度为 9</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%、专业学习满意</w:t>
      </w:r>
      <w:r>
        <w:rPr>
          <w:rFonts w:hint="eastAsia" w:ascii="宋体" w:hAnsi="宋体" w:eastAsia="宋体" w:cs="宋体"/>
          <w:sz w:val="24"/>
          <w:szCs w:val="24"/>
          <w:lang w:val="en-US" w:eastAsia="zh-CN"/>
        </w:rPr>
        <w:t>度为</w:t>
      </w:r>
      <w:r>
        <w:rPr>
          <w:rFonts w:hint="eastAsia" w:ascii="宋体" w:hAnsi="宋体" w:eastAsia="宋体" w:cs="宋体"/>
          <w:sz w:val="24"/>
          <w:szCs w:val="24"/>
        </w:rPr>
        <w:t>9</w:t>
      </w:r>
      <w:r>
        <w:rPr>
          <w:rFonts w:hint="eastAsia" w:ascii="宋体" w:hAnsi="宋体" w:eastAsia="宋体" w:cs="宋体"/>
          <w:sz w:val="24"/>
          <w:szCs w:val="24"/>
          <w:lang w:val="en-US" w:eastAsia="zh-CN"/>
        </w:rPr>
        <w:t>7.5</w:t>
      </w:r>
      <w:r>
        <w:rPr>
          <w:rFonts w:hint="eastAsia" w:ascii="宋体" w:hAnsi="宋体" w:eastAsia="宋体" w:cs="宋体"/>
          <w:sz w:val="24"/>
          <w:szCs w:val="24"/>
        </w:rPr>
        <w:t>%、实习实训满意度为9</w:t>
      </w:r>
      <w:r>
        <w:rPr>
          <w:rFonts w:hint="eastAsia" w:ascii="宋体" w:hAnsi="宋体" w:eastAsia="宋体" w:cs="宋体"/>
          <w:sz w:val="24"/>
          <w:szCs w:val="24"/>
          <w:lang w:val="en-US" w:eastAsia="zh-CN"/>
        </w:rPr>
        <w:t>4</w:t>
      </w:r>
      <w:r>
        <w:rPr>
          <w:rFonts w:hint="eastAsia" w:ascii="宋体" w:hAnsi="宋体" w:eastAsia="宋体" w:cs="宋体"/>
          <w:sz w:val="24"/>
          <w:szCs w:val="24"/>
        </w:rPr>
        <w:t>%、校园文化与社团活动满意度为9</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 生活满意度9</w:t>
      </w:r>
      <w:r>
        <w:rPr>
          <w:rFonts w:hint="eastAsia" w:ascii="宋体" w:hAnsi="宋体" w:eastAsia="宋体" w:cs="宋体"/>
          <w:sz w:val="24"/>
          <w:szCs w:val="24"/>
          <w:lang w:val="en-US" w:eastAsia="zh-CN"/>
        </w:rPr>
        <w:t>5</w:t>
      </w:r>
      <w:r>
        <w:rPr>
          <w:rFonts w:hint="eastAsia" w:ascii="宋体" w:hAnsi="宋体" w:eastAsia="宋体" w:cs="宋体"/>
          <w:sz w:val="24"/>
          <w:szCs w:val="24"/>
        </w:rPr>
        <w:t>%、 校园安全满意度为99%，毕业生对学校满意度为 9</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%。受到了社会、家长和学生的一致好评。</w:t>
      </w:r>
    </w:p>
    <w:p>
      <w:pPr>
        <w:spacing w:line="360" w:lineRule="auto"/>
        <w:ind w:firstLine="480" w:firstLineChars="200"/>
        <w:rPr>
          <w:rFonts w:hint="eastAsia" w:ascii="宋体" w:hAnsi="宋体" w:eastAsia="宋体" w:cs="宋体"/>
          <w:sz w:val="24"/>
          <w:szCs w:val="2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三、资助情况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校对中职学生国家免学费、助学金工作高度重视，坚持把这项工作放在突出位置抓好落实。成立了以校长任组长的资助工作领导小组，校长为第一责任人；成立有“资助办”，学生科科长兼任资助办主任。学校制定了《南阳市宛北中专经济困难学生认定办法》、《南阳市宛北中专国家助学金评选实施办法》，构建了完善的助学工作体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学校严格按照国家有关中职免学费政策，不收学生任何形式的学费；严格执行国家、省有关助学金政策，准确把握资助对象，用足政策，及时足额发放助学金。助学金的发放严格按申请、公示、审核程序进行，并及时足额发放到位。</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sz w:val="24"/>
          <w:szCs w:val="24"/>
        </w:rPr>
        <w:t>我校高度重视建档立卡户学生受助情况，保证我校所有建档立卡户子女都能享受到助学金。逐一发放建档立卡户明白卡，引导学生正确申请“雨露计划”。成立由主管校长任组长的建档立卡户受助工作小组，专门负责建档立卡户受助的相关工作。按照省、市资助管理部门要求，逐人逐户发放建档立卡户温馨告知书，并由学生、家长、帮扶人或扶贫第一书记签字确认。坚决按照省、市资助管理部门对建档立卡户贫困家庭相关工作意见执行，确保建档立卡贫困家庭学生百分之</w:t>
      </w:r>
      <w:r>
        <w:rPr>
          <w:rFonts w:hint="eastAsia" w:ascii="宋体" w:hAnsi="宋体" w:eastAsia="宋体" w:cs="宋体"/>
          <w:color w:val="auto"/>
          <w:sz w:val="24"/>
          <w:szCs w:val="24"/>
        </w:rPr>
        <w:t>百受助，本年度共申报享受免学费学生</w:t>
      </w:r>
      <w:r>
        <w:rPr>
          <w:rFonts w:hint="eastAsia" w:ascii="宋体" w:hAnsi="宋体" w:eastAsia="宋体" w:cs="宋体"/>
          <w:color w:val="auto"/>
          <w:sz w:val="24"/>
          <w:szCs w:val="24"/>
          <w:lang w:val="en-US" w:eastAsia="zh-CN"/>
        </w:rPr>
        <w:t>4081</w:t>
      </w:r>
      <w:r>
        <w:rPr>
          <w:rFonts w:hint="eastAsia" w:ascii="宋体" w:hAnsi="宋体" w:eastAsia="宋体" w:cs="宋体"/>
          <w:color w:val="auto"/>
          <w:sz w:val="24"/>
          <w:szCs w:val="24"/>
        </w:rPr>
        <w:t>人次，享受助学金</w:t>
      </w:r>
      <w:r>
        <w:rPr>
          <w:rFonts w:hint="eastAsia" w:ascii="宋体" w:hAnsi="宋体" w:eastAsia="宋体" w:cs="宋体"/>
          <w:color w:val="auto"/>
          <w:sz w:val="24"/>
          <w:szCs w:val="24"/>
          <w:lang w:val="en-US" w:eastAsia="zh-CN"/>
        </w:rPr>
        <w:t>446</w:t>
      </w:r>
      <w:r>
        <w:rPr>
          <w:rFonts w:hint="eastAsia" w:ascii="宋体" w:hAnsi="宋体" w:eastAsia="宋体" w:cs="宋体"/>
          <w:color w:val="auto"/>
          <w:sz w:val="24"/>
          <w:szCs w:val="24"/>
        </w:rPr>
        <w:t>人次，共为</w:t>
      </w:r>
      <w:r>
        <w:rPr>
          <w:rFonts w:hint="eastAsia" w:ascii="宋体" w:hAnsi="宋体" w:eastAsia="宋体" w:cs="宋体"/>
          <w:color w:val="auto"/>
          <w:sz w:val="24"/>
          <w:szCs w:val="24"/>
          <w:lang w:val="en-US" w:eastAsia="zh-CN"/>
        </w:rPr>
        <w:t>117</w:t>
      </w:r>
      <w:r>
        <w:rPr>
          <w:rFonts w:hint="eastAsia" w:ascii="宋体" w:hAnsi="宋体" w:eastAsia="宋体" w:cs="宋体"/>
          <w:color w:val="auto"/>
          <w:sz w:val="24"/>
          <w:szCs w:val="24"/>
        </w:rPr>
        <w:t>人次建档立卡贫困户家庭学生建立资助档案。根据上级安排，我校申报了</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名学生享受国家中职奖学金，每人6000元奖学金，已经发放到位。</w:t>
      </w:r>
    </w:p>
    <w:p>
      <w:pPr>
        <w:spacing w:line="360" w:lineRule="auto"/>
        <w:ind w:firstLine="480" w:firstLineChars="200"/>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四、就业质量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学校同时联系8家优质幼儿园安排1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级学前教育专业学生进行顶岗实习；积极组织201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级学前教育专业毕业生供需见面会，邀请幼儿园30余家到校招聘，给学生提供更多的就业机会；联系多家幼儿园和优秀企业，安排学生实习就业， 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年毕业生就业情况与 20</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年相比总体有所提升，就业率及升入高等院校人数比例皆呈现上升趋势。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五、职业发展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强化学生综合职业能力的培养。 通过《国学诵读》、《诗歌欣赏》等多门人文类选修课程学习和参加第二课堂、社会实践等多种形式的课外活动，学生的人文素养和协调沟通能力得到提升，增强了学生的岗位迁移能力。 各专业所有实训项目均制定了严格的训练计划、考核办法和奖惩措施。学生通过工学交替等多种形式，参与企业生产实践，意志品质得到极大锻炼， 动手能力得到不断提升，增强了对未来职业的认同感和未来就业岗位的适应能力。</w:t>
      </w:r>
    </w:p>
    <w:tbl>
      <w:tblPr>
        <w:tblStyle w:val="5"/>
        <w:tblW w:w="0" w:type="auto"/>
        <w:tblInd w:w="93" w:type="dxa"/>
        <w:tblLayout w:type="fixed"/>
        <w:tblCellMar>
          <w:top w:w="0" w:type="dxa"/>
          <w:left w:w="108" w:type="dxa"/>
          <w:bottom w:w="0" w:type="dxa"/>
          <w:right w:w="108" w:type="dxa"/>
        </w:tblCellMar>
      </w:tblPr>
      <w:tblGrid>
        <w:gridCol w:w="858"/>
        <w:gridCol w:w="2969"/>
        <w:gridCol w:w="1119"/>
        <w:gridCol w:w="1523"/>
        <w:gridCol w:w="1809"/>
        <w:gridCol w:w="101"/>
      </w:tblGrid>
      <w:tr>
        <w:tblPrEx>
          <w:tblCellMar>
            <w:top w:w="0" w:type="dxa"/>
            <w:left w:w="108" w:type="dxa"/>
            <w:bottom w:w="0" w:type="dxa"/>
            <w:right w:w="108" w:type="dxa"/>
          </w:tblCellMar>
        </w:tblPrEx>
        <w:trPr>
          <w:trHeight w:val="1155" w:hRule="atLeast"/>
        </w:trPr>
        <w:tc>
          <w:tcPr>
            <w:tcW w:w="8379" w:type="dxa"/>
            <w:gridSpan w:val="6"/>
            <w:tcBorders>
              <w:top w:val="nil"/>
              <w:left w:val="nil"/>
              <w:bottom w:val="nil"/>
              <w:right w:val="nil"/>
            </w:tcBorders>
            <w:noWrap/>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年第七届南阳市中等职业学校学生素质能力大赛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序号</w:t>
            </w:r>
          </w:p>
        </w:tc>
        <w:tc>
          <w:tcPr>
            <w:tcW w:w="296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参赛项目</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姓名</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证书等级</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p>
        </w:tc>
        <w:tc>
          <w:tcPr>
            <w:tcW w:w="296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数学基础素养与应用</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朱亚丽</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龚运喜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主持人</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张延杰</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马百强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张彩雲</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高明涵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广告平面设计</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张新悦</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胡久和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李金壕</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英语演讲</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董世珂</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王金焕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庞建强</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胡新娜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Word应用文写作</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王恒</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马百强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刘冰林</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6</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Powerpoint设计制作</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贺珂磊</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尹中晋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黄勇权</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7</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校园创编舞（含健美操、街舞）</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田果</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李芳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司慧想</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田双双</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刘梦焱</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沙灵慧</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王凯利</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8</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弹唱说跳画5项基本功</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王怡哲</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王亚聪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梁熙夏</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朱正</w:t>
            </w:r>
          </w:p>
        </w:tc>
      </w:tr>
    </w:tbl>
    <w:p>
      <w:pPr>
        <w:spacing w:line="360" w:lineRule="auto"/>
        <w:jc w:val="center"/>
        <w:rPr>
          <w:rFonts w:hint="eastAsia" w:ascii="宋体" w:hAnsi="宋体" w:eastAsia="宋体" w:cs="宋体"/>
          <w:bCs/>
          <w:color w:val="auto"/>
          <w:sz w:val="24"/>
          <w:szCs w:val="24"/>
        </w:rPr>
      </w:pPr>
    </w:p>
    <w:p>
      <w:pPr>
        <w:spacing w:line="360" w:lineRule="auto"/>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202</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年第</w:t>
      </w:r>
      <w:r>
        <w:rPr>
          <w:rFonts w:hint="eastAsia" w:ascii="宋体" w:hAnsi="宋体" w:eastAsia="宋体" w:cs="宋体"/>
          <w:bCs/>
          <w:color w:val="auto"/>
          <w:sz w:val="24"/>
          <w:szCs w:val="24"/>
          <w:lang w:val="en-US" w:eastAsia="zh-CN"/>
        </w:rPr>
        <w:t>五</w:t>
      </w:r>
      <w:r>
        <w:rPr>
          <w:rFonts w:hint="eastAsia" w:ascii="宋体" w:hAnsi="宋体" w:eastAsia="宋体" w:cs="宋体"/>
          <w:bCs/>
          <w:color w:val="auto"/>
          <w:sz w:val="24"/>
          <w:szCs w:val="24"/>
        </w:rPr>
        <w:t>届南阳市中职学生传统文化大赛获奖统计</w:t>
      </w:r>
    </w:p>
    <w:tbl>
      <w:tblPr>
        <w:tblStyle w:val="5"/>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969"/>
        <w:gridCol w:w="1119"/>
        <w:gridCol w:w="1523"/>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参赛项目</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姓名</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证书等级</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经典诵读</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蔡羽金</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陈冰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国学朗诵</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潘塬沅</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吉祥宇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优秀传统文化故事</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姬荣雨</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陈冰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汉字听写</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rPr>
              <w:t>姬笑语</w:t>
            </w:r>
          </w:p>
        </w:tc>
        <w:tc>
          <w:tcPr>
            <w:tcW w:w="1523" w:type="dxa"/>
            <w:vAlign w:val="center"/>
          </w:tcPr>
          <w:p>
            <w:pPr>
              <w:widowControl/>
              <w:spacing w:line="360" w:lineRule="auto"/>
              <w:jc w:val="center"/>
              <w:rPr>
                <w:rFonts w:hint="eastAsia" w:ascii="宋体" w:hAnsi="宋体" w:eastAsia="宋体" w:cs="宋体"/>
                <w:color w:val="auto"/>
                <w:kern w:val="0"/>
                <w:sz w:val="24"/>
                <w:szCs w:val="24"/>
                <w:lang w:val="en-US" w:eastAsia="zh-CN"/>
              </w:rPr>
            </w:pPr>
            <w:bookmarkStart w:id="4" w:name="OLE_LINK1"/>
            <w:r>
              <w:rPr>
                <w:rFonts w:hint="eastAsia" w:ascii="宋体" w:hAnsi="宋体" w:eastAsia="宋体" w:cs="宋体"/>
                <w:color w:val="auto"/>
                <w:kern w:val="0"/>
                <w:sz w:val="24"/>
                <w:szCs w:val="24"/>
                <w:lang w:val="en-US" w:eastAsia="zh-CN"/>
              </w:rPr>
              <w:t>待定</w:t>
            </w:r>
            <w:bookmarkEnd w:id="4"/>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硬笔书法</w:t>
            </w:r>
          </w:p>
        </w:tc>
        <w:tc>
          <w:tcPr>
            <w:tcW w:w="1119" w:type="dxa"/>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李雯雅</w:t>
            </w:r>
          </w:p>
        </w:tc>
        <w:tc>
          <w:tcPr>
            <w:tcW w:w="1523" w:type="dxa"/>
            <w:vMerge w:val="restart"/>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待定</w:t>
            </w:r>
          </w:p>
        </w:tc>
        <w:tc>
          <w:tcPr>
            <w:tcW w:w="1809" w:type="dxa"/>
            <w:vMerge w:val="restart"/>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张继松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2969" w:type="dxa"/>
            <w:vMerge w:val="continue"/>
            <w:vAlign w:val="center"/>
          </w:tcPr>
          <w:p>
            <w:pPr>
              <w:widowControl/>
              <w:spacing w:line="360" w:lineRule="auto"/>
              <w:jc w:val="center"/>
              <w:rPr>
                <w:rFonts w:hint="eastAsia" w:ascii="宋体" w:hAnsi="宋体" w:eastAsia="宋体" w:cs="宋体"/>
                <w:b w:val="0"/>
                <w:i w:val="0"/>
                <w:caps w:val="0"/>
                <w:color w:val="auto"/>
                <w:spacing w:val="0"/>
                <w:w w:val="100"/>
                <w:sz w:val="24"/>
                <w:szCs w:val="24"/>
              </w:rPr>
            </w:pPr>
          </w:p>
        </w:tc>
        <w:tc>
          <w:tcPr>
            <w:tcW w:w="1119" w:type="dxa"/>
            <w:vAlign w:val="center"/>
          </w:tcPr>
          <w:p>
            <w:pPr>
              <w:widowControl/>
              <w:spacing w:line="360" w:lineRule="auto"/>
              <w:jc w:val="center"/>
              <w:rPr>
                <w:rStyle w:val="12"/>
                <w:rFonts w:hint="eastAsia" w:ascii="宋体" w:hAnsi="宋体" w:eastAsia="宋体" w:cs="宋体"/>
                <w:b w:val="0"/>
                <w:i w:val="0"/>
                <w:caps w:val="0"/>
                <w:color w:val="auto"/>
                <w:spacing w:val="0"/>
                <w:w w:val="100"/>
                <w:kern w:val="2"/>
                <w:sz w:val="24"/>
                <w:szCs w:val="24"/>
                <w:lang w:val="en-US" w:eastAsia="zh-CN" w:bidi="ar-SA"/>
              </w:rPr>
            </w:pPr>
            <w:r>
              <w:rPr>
                <w:rFonts w:hint="eastAsia" w:ascii="宋体" w:hAnsi="宋体" w:eastAsia="宋体" w:cs="宋体"/>
                <w:color w:val="auto"/>
                <w:kern w:val="0"/>
                <w:sz w:val="24"/>
                <w:szCs w:val="24"/>
                <w:lang w:val="en-US"/>
              </w:rPr>
              <w:t>张满清</w:t>
            </w:r>
          </w:p>
        </w:tc>
        <w:tc>
          <w:tcPr>
            <w:tcW w:w="1523" w:type="dxa"/>
            <w:vMerge w:val="continue"/>
            <w:vAlign w:val="center"/>
          </w:tcPr>
          <w:p>
            <w:pPr>
              <w:widowControl/>
              <w:spacing w:line="360" w:lineRule="auto"/>
              <w:jc w:val="center"/>
              <w:rPr>
                <w:rFonts w:hint="eastAsia" w:ascii="宋体" w:hAnsi="宋体" w:eastAsia="宋体" w:cs="宋体"/>
                <w:color w:val="auto"/>
                <w:kern w:val="0"/>
                <w:sz w:val="24"/>
                <w:szCs w:val="24"/>
                <w:lang w:val="en-US" w:eastAsia="zh-CN"/>
              </w:rPr>
            </w:pPr>
          </w:p>
        </w:tc>
        <w:tc>
          <w:tcPr>
            <w:tcW w:w="1809" w:type="dxa"/>
            <w:vMerge w:val="continue"/>
            <w:vAlign w:val="center"/>
          </w:tcPr>
          <w:p>
            <w:pPr>
              <w:widowControl/>
              <w:spacing w:line="360" w:lineRule="auto"/>
              <w:jc w:val="center"/>
              <w:rPr>
                <w:rFonts w:hint="eastAsia" w:ascii="宋体" w:hAnsi="宋体" w:eastAsia="宋体" w:cs="宋体"/>
                <w:b w:val="0"/>
                <w:i w:val="0"/>
                <w:caps w:val="0"/>
                <w:color w:val="auto"/>
                <w:spacing w:val="0"/>
                <w:w w:val="100"/>
                <w:sz w:val="24"/>
                <w:szCs w:val="24"/>
              </w:rPr>
            </w:pPr>
          </w:p>
        </w:tc>
      </w:tr>
    </w:tbl>
    <w:p>
      <w:pPr>
        <w:spacing w:line="360" w:lineRule="auto"/>
        <w:jc w:val="center"/>
        <w:rPr>
          <w:rFonts w:hint="eastAsia" w:ascii="宋体" w:hAnsi="宋体" w:eastAsia="宋体" w:cs="宋体"/>
          <w:color w:val="auto"/>
          <w:sz w:val="24"/>
          <w:szCs w:val="24"/>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年河南省中等职业教育技能大赛</w:t>
      </w:r>
    </w:p>
    <w:tbl>
      <w:tblPr>
        <w:tblStyle w:val="5"/>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969"/>
        <w:gridCol w:w="1119"/>
        <w:gridCol w:w="1523"/>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58" w:type="dxa"/>
            <w:noWrap/>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296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参赛项目</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姓名</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证书等级</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2969" w:type="dxa"/>
            <w:vMerge w:val="restart"/>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电子商务运营</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马新方</w:t>
            </w:r>
          </w:p>
        </w:tc>
        <w:tc>
          <w:tcPr>
            <w:tcW w:w="1523" w:type="dxa"/>
            <w:vMerge w:val="restart"/>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杨怡博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rPr>
            </w:pPr>
          </w:p>
        </w:tc>
        <w:tc>
          <w:tcPr>
            <w:tcW w:w="2969" w:type="dxa"/>
            <w:vMerge w:val="continue"/>
            <w:vAlign w:val="center"/>
          </w:tcPr>
          <w:p>
            <w:pPr>
              <w:widowControl/>
              <w:spacing w:line="360" w:lineRule="auto"/>
              <w:jc w:val="center"/>
              <w:rPr>
                <w:rFonts w:hint="eastAsia" w:ascii="宋体" w:hAnsi="宋体" w:eastAsia="宋体" w:cs="宋体"/>
                <w:color w:val="auto"/>
                <w:kern w:val="0"/>
                <w:sz w:val="24"/>
                <w:szCs w:val="24"/>
              </w:rPr>
            </w:pP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黄潇涵</w:t>
            </w:r>
          </w:p>
        </w:tc>
        <w:tc>
          <w:tcPr>
            <w:tcW w:w="1523" w:type="dxa"/>
            <w:vMerge w:val="continue"/>
            <w:vAlign w:val="center"/>
          </w:tcPr>
          <w:p>
            <w:pPr>
              <w:widowControl/>
              <w:spacing w:line="360" w:lineRule="auto"/>
              <w:jc w:val="center"/>
              <w:rPr>
                <w:rFonts w:hint="eastAsia" w:ascii="宋体" w:hAnsi="宋体" w:eastAsia="宋体" w:cs="宋体"/>
                <w:color w:val="auto"/>
                <w:kern w:val="0"/>
                <w:sz w:val="24"/>
                <w:szCs w:val="24"/>
              </w:rPr>
            </w:pP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武培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w:t>
            </w:r>
          </w:p>
        </w:tc>
        <w:tc>
          <w:tcPr>
            <w:tcW w:w="2969" w:type="dxa"/>
            <w:vMerge w:val="restart"/>
            <w:vAlign w:val="center"/>
          </w:tcPr>
          <w:p>
            <w:pPr>
              <w:widowControl/>
              <w:spacing w:line="360" w:lineRule="auto"/>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模特表演</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i w:val="0"/>
                <w:caps w:val="0"/>
                <w:color w:val="auto"/>
                <w:spacing w:val="0"/>
                <w:w w:val="100"/>
                <w:sz w:val="24"/>
                <w:szCs w:val="24"/>
              </w:rPr>
              <w:t>李冰冰</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Style w:val="12"/>
                <w:rFonts w:hint="eastAsia" w:ascii="宋体" w:hAnsi="宋体" w:eastAsia="宋体" w:cs="宋体"/>
                <w:b w:val="0"/>
                <w:i w:val="0"/>
                <w:caps w:val="0"/>
                <w:color w:val="auto"/>
                <w:spacing w:val="0"/>
                <w:w w:val="100"/>
                <w:kern w:val="2"/>
                <w:sz w:val="24"/>
                <w:szCs w:val="24"/>
                <w:lang w:val="en-US" w:eastAsia="zh-CN" w:bidi="ar-SA"/>
              </w:rPr>
              <w:t>付英杰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rPr>
            </w:pPr>
          </w:p>
        </w:tc>
        <w:tc>
          <w:tcPr>
            <w:tcW w:w="2969" w:type="dxa"/>
            <w:vMerge w:val="continue"/>
            <w:vAlign w:val="center"/>
          </w:tcPr>
          <w:p>
            <w:pPr>
              <w:widowControl/>
              <w:spacing w:line="360" w:lineRule="auto"/>
              <w:jc w:val="center"/>
              <w:rPr>
                <w:rFonts w:hint="eastAsia" w:ascii="宋体" w:hAnsi="宋体" w:eastAsia="宋体" w:cs="宋体"/>
                <w:color w:val="auto"/>
                <w:sz w:val="24"/>
                <w:szCs w:val="24"/>
              </w:rPr>
            </w:pP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Style w:val="12"/>
                <w:rFonts w:hint="eastAsia" w:ascii="宋体" w:hAnsi="宋体" w:eastAsia="宋体" w:cs="宋体"/>
                <w:b w:val="0"/>
                <w:i w:val="0"/>
                <w:caps w:val="0"/>
                <w:color w:val="auto"/>
                <w:spacing w:val="0"/>
                <w:w w:val="100"/>
                <w:kern w:val="2"/>
                <w:sz w:val="24"/>
                <w:szCs w:val="24"/>
                <w:lang w:val="en-US" w:eastAsia="zh-CN" w:bidi="ar-SA"/>
              </w:rPr>
              <w:t>田荣娟</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Style w:val="12"/>
                <w:rFonts w:hint="eastAsia" w:ascii="宋体" w:hAnsi="宋体" w:eastAsia="宋体" w:cs="宋体"/>
                <w:b w:val="0"/>
                <w:i w:val="0"/>
                <w:caps w:val="0"/>
                <w:color w:val="auto"/>
                <w:spacing w:val="0"/>
                <w:w w:val="100"/>
                <w:kern w:val="2"/>
                <w:sz w:val="24"/>
                <w:szCs w:val="24"/>
                <w:lang w:val="en-US" w:eastAsia="zh-CN" w:bidi="ar-SA"/>
              </w:rPr>
              <w:t>王金焕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w:t>
            </w:r>
          </w:p>
        </w:tc>
        <w:tc>
          <w:tcPr>
            <w:tcW w:w="2969" w:type="dxa"/>
            <w:vMerge w:val="restart"/>
            <w:vAlign w:val="center"/>
          </w:tcPr>
          <w:p>
            <w:pPr>
              <w:widowControl/>
              <w:spacing w:line="360" w:lineRule="auto"/>
              <w:jc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bidi="ar"/>
              </w:rPr>
              <w:t>Excel数据处理</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刘纳倩</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napToGrid w:val="0"/>
              <w:spacing w:line="400" w:lineRule="exact"/>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杨怡博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rPr>
            </w:pPr>
          </w:p>
        </w:tc>
        <w:tc>
          <w:tcPr>
            <w:tcW w:w="2969" w:type="dxa"/>
            <w:vMerge w:val="continue"/>
            <w:vAlign w:val="center"/>
          </w:tcPr>
          <w:p>
            <w:pPr>
              <w:widowControl/>
              <w:spacing w:line="360" w:lineRule="auto"/>
              <w:jc w:val="center"/>
              <w:rPr>
                <w:rFonts w:hint="eastAsia" w:ascii="宋体" w:hAnsi="宋体" w:eastAsia="宋体" w:cs="宋体"/>
                <w:color w:val="auto"/>
                <w:sz w:val="24"/>
                <w:szCs w:val="24"/>
              </w:rPr>
            </w:pP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朱振威</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马百强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p>
        </w:tc>
        <w:tc>
          <w:tcPr>
            <w:tcW w:w="2969" w:type="dxa"/>
            <w:vMerge w:val="restart"/>
            <w:vAlign w:val="center"/>
          </w:tcPr>
          <w:p>
            <w:pPr>
              <w:widowControl/>
              <w:spacing w:line="360" w:lineRule="auto"/>
              <w:jc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bidi="ar"/>
              </w:rPr>
              <w:t>职业生涯规划----写给2035的我（寄语）</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吴佰嘉</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28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高明涵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rPr>
            </w:pPr>
          </w:p>
        </w:tc>
        <w:tc>
          <w:tcPr>
            <w:tcW w:w="2969" w:type="dxa"/>
            <w:vMerge w:val="continue"/>
            <w:vAlign w:val="center"/>
          </w:tcPr>
          <w:p>
            <w:pPr>
              <w:widowControl/>
              <w:spacing w:line="360" w:lineRule="auto"/>
              <w:jc w:val="center"/>
              <w:rPr>
                <w:rFonts w:hint="eastAsia" w:ascii="宋体" w:hAnsi="宋体" w:eastAsia="宋体" w:cs="宋体"/>
                <w:color w:val="auto"/>
                <w:sz w:val="24"/>
                <w:szCs w:val="24"/>
              </w:rPr>
            </w:pP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付璐淇</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尹中晋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restart"/>
            <w:noWrap/>
            <w:vAlign w:val="center"/>
          </w:tcPr>
          <w:p>
            <w:pPr>
              <w:widowControl/>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c>
          <w:tcPr>
            <w:tcW w:w="2969" w:type="dxa"/>
            <w:vMerge w:val="restart"/>
            <w:vAlign w:val="center"/>
          </w:tcPr>
          <w:p>
            <w:pPr>
              <w:widowControl/>
              <w:spacing w:line="360" w:lineRule="auto"/>
              <w:jc w:val="center"/>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lang w:bidi="ar"/>
              </w:rPr>
              <w:t>模拟应聘</w:t>
            </w: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bidi="ar-SA"/>
              </w:rPr>
              <w:t>李双雪</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王金焕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8" w:type="dxa"/>
            <w:vMerge w:val="continue"/>
            <w:noWrap/>
            <w:vAlign w:val="center"/>
          </w:tcPr>
          <w:p>
            <w:pPr>
              <w:widowControl/>
              <w:spacing w:line="360" w:lineRule="auto"/>
              <w:jc w:val="center"/>
              <w:rPr>
                <w:rFonts w:hint="eastAsia" w:ascii="宋体" w:hAnsi="宋体" w:eastAsia="宋体" w:cs="宋体"/>
                <w:color w:val="auto"/>
                <w:kern w:val="0"/>
                <w:sz w:val="24"/>
                <w:szCs w:val="24"/>
              </w:rPr>
            </w:pPr>
          </w:p>
        </w:tc>
        <w:tc>
          <w:tcPr>
            <w:tcW w:w="2969" w:type="dxa"/>
            <w:vMerge w:val="continue"/>
            <w:vAlign w:val="center"/>
          </w:tcPr>
          <w:p>
            <w:pPr>
              <w:widowControl/>
              <w:spacing w:line="360" w:lineRule="auto"/>
              <w:jc w:val="center"/>
              <w:rPr>
                <w:rFonts w:hint="eastAsia" w:ascii="宋体" w:hAnsi="宋体" w:eastAsia="宋体" w:cs="宋体"/>
                <w:b w:val="0"/>
                <w:bCs w:val="0"/>
                <w:color w:val="auto"/>
                <w:kern w:val="0"/>
                <w:sz w:val="24"/>
                <w:szCs w:val="24"/>
                <w:lang w:bidi="ar"/>
              </w:rPr>
            </w:pPr>
          </w:p>
        </w:tc>
        <w:tc>
          <w:tcPr>
            <w:tcW w:w="111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bidi="ar-SA"/>
              </w:rPr>
              <w:t>张晴</w:t>
            </w:r>
          </w:p>
        </w:tc>
        <w:tc>
          <w:tcPr>
            <w:tcW w:w="1523"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待定</w:t>
            </w:r>
          </w:p>
        </w:tc>
        <w:tc>
          <w:tcPr>
            <w:tcW w:w="1809" w:type="dxa"/>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b w:val="0"/>
                <w:bCs w:val="0"/>
                <w:color w:val="auto"/>
                <w:kern w:val="0"/>
                <w:sz w:val="24"/>
                <w:szCs w:val="24"/>
                <w:lang w:val="en-US" w:eastAsia="zh-CN" w:bidi="ar-SA"/>
              </w:rPr>
              <w:t>冯德珍</w:t>
            </w:r>
          </w:p>
        </w:tc>
      </w:tr>
    </w:tbl>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注：上面证书等级待定部分因上级评定结果未出。</w:t>
      </w:r>
    </w:p>
    <w:p>
      <w:pPr>
        <w:spacing w:line="360" w:lineRule="auto"/>
        <w:jc w:val="left"/>
        <w:rPr>
          <w:rFonts w:hint="eastAsia" w:ascii="宋体" w:hAnsi="宋体" w:eastAsia="宋体" w:cs="宋体"/>
          <w:color w:val="auto"/>
          <w:sz w:val="24"/>
          <w:szCs w:val="24"/>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30"/>
          <w:szCs w:val="30"/>
        </w:rPr>
      </w:pPr>
      <w:r>
        <w:rPr>
          <w:rFonts w:hint="eastAsia" w:ascii="黑体" w:hAnsi="黑体" w:eastAsia="黑体" w:cs="黑体"/>
          <w:b w:val="0"/>
          <w:bCs w:val="0"/>
          <w:sz w:val="30"/>
          <w:szCs w:val="30"/>
        </w:rPr>
        <w:t>质量保障措施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一、专业动态调整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适应本地区社会经济发展对技能型人才的需求，学校在积极调研当地幼儿园、企业对人才的需求和农村劳动力对就业、创业的需求的同时，积极进行专业结构调整，新增新能源汽车维修，工业机器人技术应用，并适时调整人才培养方案，为企业、行业发展提供智力支持和人才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教育教学改革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公共基础课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学校开设数学、语文、英语、德育、体育、计算机应用、心理健康教育等公共基础课，确保每个专业的学生都掌握必备的文化基础知识。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2、专业设置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我校开设</w:t>
      </w:r>
      <w:r>
        <w:rPr>
          <w:rFonts w:hint="eastAsia" w:ascii="宋体" w:hAnsi="宋体" w:eastAsia="宋体" w:cs="宋体"/>
          <w:sz w:val="24"/>
          <w:szCs w:val="24"/>
          <w:lang w:val="en-US" w:eastAsia="zh-CN"/>
        </w:rPr>
        <w:t>幼儿保育</w:t>
      </w:r>
      <w:r>
        <w:rPr>
          <w:rFonts w:hint="eastAsia" w:ascii="宋体" w:hAnsi="宋体" w:eastAsia="宋体" w:cs="宋体"/>
          <w:sz w:val="24"/>
          <w:szCs w:val="24"/>
        </w:rPr>
        <w:t>、计算机应用、工艺美术、电子商务、平面设计、轨道交通、新能源汽车维修、工业机器人技术应用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应急救援、中西面点</w:t>
      </w:r>
      <w:r>
        <w:rPr>
          <w:rFonts w:hint="eastAsia" w:ascii="宋体" w:hAnsi="宋体" w:eastAsia="宋体" w:cs="宋体"/>
          <w:sz w:val="24"/>
          <w:szCs w:val="24"/>
        </w:rPr>
        <w:t>等专业。（详情见附表）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宛北中等专业学校202</w:t>
      </w:r>
      <w:r>
        <w:rPr>
          <w:rFonts w:hint="eastAsia" w:ascii="宋体" w:hAnsi="宋体" w:eastAsia="宋体" w:cs="宋体"/>
          <w:sz w:val="24"/>
          <w:szCs w:val="24"/>
          <w:lang w:val="en-US" w:eastAsia="zh-CN"/>
        </w:rPr>
        <w:t>1</w:t>
      </w:r>
      <w:r>
        <w:rPr>
          <w:rFonts w:hint="eastAsia" w:ascii="宋体" w:hAnsi="宋体" w:eastAsia="宋体" w:cs="宋体"/>
          <w:sz w:val="24"/>
          <w:szCs w:val="24"/>
        </w:rPr>
        <w:t>年专业开设情况一览表</w:t>
      </w:r>
      <w:r>
        <w:rPr>
          <w:rFonts w:hint="eastAsia" w:ascii="宋体" w:hAnsi="宋体" w:eastAsia="宋体" w:cs="宋体"/>
          <w:sz w:val="24"/>
          <w:szCs w:val="24"/>
        </w:rPr>
        <w:tab/>
      </w:r>
    </w:p>
    <w:tbl>
      <w:tblPr>
        <w:tblStyle w:val="5"/>
        <w:tblW w:w="85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8"/>
        <w:gridCol w:w="3500"/>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专业名称</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主要专业技能</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职业资格证书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幼儿保育</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舞蹈、琴法、声乐、幼儿操</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教师资格证、保育员证、营养师证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计算机应用</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程序设计、办公自动化、数据库、网站建设维护、计算机组装维修</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计算机硬件工程师、平面设计师、网站设计师、计算机二级三级证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工艺美术</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工艺品设计制作</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电子商务</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学会使用office办公软件、photoshop和最基本的html代码</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1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网站设计师、计算机二级三级证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计算机平面设计</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平面设计基础、Photoshop、CorelDRAW、Illustrator、印刷工艺</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平面设计师、计算机二级三级证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城市</w:t>
            </w:r>
            <w:r>
              <w:rPr>
                <w:rFonts w:hint="eastAsia" w:ascii="宋体" w:hAnsi="宋体" w:eastAsia="宋体" w:cs="宋体"/>
                <w:sz w:val="24"/>
                <w:szCs w:val="24"/>
              </w:rPr>
              <w:t>轨道交通运营</w:t>
            </w:r>
            <w:r>
              <w:rPr>
                <w:rFonts w:hint="eastAsia" w:ascii="宋体" w:hAnsi="宋体" w:eastAsia="宋体" w:cs="宋体"/>
                <w:sz w:val="24"/>
                <w:szCs w:val="24"/>
                <w:lang w:val="en-US" w:eastAsia="zh-CN"/>
              </w:rPr>
              <w:t>服务</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旅客运输、旅游心理学、形体训练、英语交际口语</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新能源汽车</w:t>
            </w:r>
            <w:r>
              <w:rPr>
                <w:rFonts w:hint="eastAsia" w:ascii="宋体" w:hAnsi="宋体" w:eastAsia="宋体" w:cs="宋体"/>
                <w:sz w:val="24"/>
                <w:szCs w:val="24"/>
                <w:lang w:val="en-US" w:eastAsia="zh-CN"/>
              </w:rPr>
              <w:t>运营与</w:t>
            </w:r>
            <w:r>
              <w:rPr>
                <w:rFonts w:hint="eastAsia" w:ascii="宋体" w:hAnsi="宋体" w:eastAsia="宋体" w:cs="宋体"/>
                <w:sz w:val="24"/>
                <w:szCs w:val="24"/>
              </w:rPr>
              <w:t>维修</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汽车机械基础、电工电子技术基础、新能源汽车动力系统构造与维修、新能源汽车底盘构造</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汽车修理工证、汽车维修检测员证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工业机器人技术应用</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电工电子技术、工程制图、工业机器人技术基础、C语言程序设计、电气控制技术、运动控制</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应急救援技术</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安全生产应急管理、事故应急与救护、应急预案编制与管理</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应急救援员证书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计算机应用（直播电商）</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计算机网络原理、电子商务概论、网络营销基础与实践</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中西面点（烘焙）</w:t>
            </w:r>
          </w:p>
        </w:tc>
        <w:tc>
          <w:tcPr>
            <w:tcW w:w="3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面点原料学、面点工艺学、中式面点制作、西式面点制作</w:t>
            </w:r>
          </w:p>
        </w:tc>
        <w:tc>
          <w:tcPr>
            <w:tcW w:w="3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中西面点工艺师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3、师资队伍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以全面提升教师的专业能力，打造高素质教学团队为重点，积极实施“人才强校”战略，通过外出培训、校本培训、网络继续教育培训等多种渠道，通过教改教研、听课月等多种形式，努力打造师德高尚、技术精湛、充满活力、勇于创新的优秀教学团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年，学校有1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名教师进行了“双师型”教师培训，并进行了认证；派</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名教师参加了省级</w:t>
      </w:r>
      <w:r>
        <w:rPr>
          <w:rFonts w:hint="eastAsia" w:ascii="宋体" w:hAnsi="宋体" w:eastAsia="宋体" w:cs="宋体"/>
          <w:color w:val="auto"/>
          <w:sz w:val="24"/>
          <w:szCs w:val="24"/>
          <w:lang w:val="en-US" w:eastAsia="zh-CN"/>
        </w:rPr>
        <w:t>骨干教师</w:t>
      </w:r>
      <w:r>
        <w:rPr>
          <w:rFonts w:hint="eastAsia" w:ascii="宋体" w:hAnsi="宋体" w:eastAsia="宋体" w:cs="宋体"/>
          <w:color w:val="auto"/>
          <w:sz w:val="24"/>
          <w:szCs w:val="24"/>
        </w:rPr>
        <w:t>培训；</w:t>
      </w:r>
      <w:r>
        <w:rPr>
          <w:rFonts w:hint="eastAsia" w:ascii="宋体" w:hAnsi="宋体" w:eastAsia="宋体" w:cs="宋体"/>
          <w:color w:val="auto"/>
          <w:sz w:val="24"/>
          <w:szCs w:val="24"/>
          <w:lang w:val="en-US" w:eastAsia="zh-CN"/>
        </w:rPr>
        <w:t>1名</w:t>
      </w:r>
      <w:r>
        <w:rPr>
          <w:rFonts w:hint="eastAsia" w:ascii="宋体" w:hAnsi="宋体" w:eastAsia="宋体" w:cs="宋体"/>
          <w:color w:val="auto"/>
          <w:sz w:val="24"/>
          <w:szCs w:val="24"/>
        </w:rPr>
        <w:t>教师参加</w:t>
      </w:r>
      <w:r>
        <w:rPr>
          <w:rFonts w:hint="eastAsia" w:ascii="宋体" w:hAnsi="宋体" w:eastAsia="宋体" w:cs="宋体"/>
          <w:bCs/>
          <w:color w:val="auto"/>
          <w:sz w:val="24"/>
          <w:szCs w:val="24"/>
        </w:rPr>
        <w:t>专业带头人领军研修</w:t>
      </w:r>
      <w:r>
        <w:rPr>
          <w:rFonts w:hint="eastAsia" w:ascii="宋体" w:hAnsi="宋体" w:cs="宋体"/>
          <w:bCs/>
          <w:color w:val="auto"/>
          <w:sz w:val="24"/>
          <w:szCs w:val="24"/>
          <w:lang w:eastAsia="zh-CN"/>
        </w:rPr>
        <w:t>；</w:t>
      </w:r>
      <w:r>
        <w:rPr>
          <w:rFonts w:hint="eastAsia" w:ascii="宋体" w:hAnsi="宋体" w:eastAsia="宋体" w:cs="宋体"/>
          <w:bCs/>
          <w:color w:val="auto"/>
          <w:sz w:val="24"/>
          <w:szCs w:val="24"/>
          <w:lang w:val="en-US" w:eastAsia="zh-CN"/>
        </w:rPr>
        <w:t>2名教师参加省级中等职业学校班主任培训</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rPr>
        <w:t>根据上级贫困地区教师支援计划，学校根据教学需要，争取了1名电子商务特聘岗教师，保证学校教育教学工作的正常开展，聘请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名具有丰富教学和实践经验的高校教师、社会艺术团体艺术教师担任兼职教师，进一步优化了教师队伍结构。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4、课程建设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据教育部颁发的专业教学标准，结合地方经济发展、产业升级及技术进步需求，我校深入企业调研，了解企业的人才结构现状、职业发展趋势、人才需求、职业发展和岗位对工作能力的要求等情况，明确专业定位，对学校课程进行了一系列改革，其中，计算机专业建立了“分方向、分模块，以工作过程为导向”的课程体系；工艺美术专业建立了升学加就业的课程体系，通过文化课和专业课的学习，可以通过单招或对口升学，进入高等职业院校继续深造，也可以直接就业；</w:t>
      </w:r>
      <w:r>
        <w:rPr>
          <w:rFonts w:hint="eastAsia" w:ascii="宋体" w:hAnsi="宋体" w:eastAsia="宋体" w:cs="宋体"/>
          <w:sz w:val="24"/>
          <w:szCs w:val="24"/>
          <w:lang w:val="en-US" w:eastAsia="zh-CN"/>
        </w:rPr>
        <w:t>幼儿保育</w:t>
      </w:r>
      <w:r>
        <w:rPr>
          <w:rFonts w:hint="eastAsia" w:ascii="宋体" w:hAnsi="宋体" w:eastAsia="宋体" w:cs="宋体"/>
          <w:sz w:val="24"/>
          <w:szCs w:val="24"/>
        </w:rPr>
        <w:t>专业根据专业特点，完善专业技能课考核标准，实行人人技能课过关考试。参与了专业课程资源库的开发，实现了成果共建共享。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5、人才培养模式改革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根据市场发展需求，以品牌专业建设为试点，深入开展“校企合作，产教融合”的人才培养模式改革。从办学体制入手，充分融合产、学、研、训、赛，强化企业作为专业人才培养的主体地位，校企优势资源渗透作用于专业人才培养的各个环节，包括专业设置与调整、专业培养方案制定、课程教材开发与编写、专业实训实践指导等方面。通过品牌专业的建设带动了我校其他专业，不同程度地开展人才模式改革，专业人才培养质量显著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幼儿保育</w:t>
      </w:r>
      <w:r>
        <w:rPr>
          <w:rFonts w:hint="eastAsia" w:ascii="宋体" w:hAnsi="宋体" w:eastAsia="宋体" w:cs="宋体"/>
          <w:sz w:val="24"/>
          <w:szCs w:val="24"/>
        </w:rPr>
        <w:t>专业为提高专业技能水平和综合素质，达到以赛促教、以赛促学的目的，要求</w:t>
      </w:r>
      <w:r>
        <w:rPr>
          <w:rFonts w:hint="eastAsia" w:ascii="宋体" w:hAnsi="宋体" w:eastAsia="宋体" w:cs="宋体"/>
          <w:sz w:val="24"/>
          <w:szCs w:val="24"/>
          <w:lang w:val="en-US" w:eastAsia="zh-CN"/>
        </w:rPr>
        <w:t>幼儿保育</w:t>
      </w:r>
      <w:r>
        <w:rPr>
          <w:rFonts w:hint="eastAsia" w:ascii="宋体" w:hAnsi="宋体" w:eastAsia="宋体" w:cs="宋体"/>
          <w:sz w:val="24"/>
          <w:szCs w:val="24"/>
        </w:rPr>
        <w:t>专业学生实行技能课人人过关考试，从中选拔优秀选手参加省、市素质能力大赛和各类技能竞赛，都取得了以赛促练的良好效果，更全面的检验了教学效果和学生的综合能力。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6、信息化教学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校高度重视信息化教学，每个班级安装了多媒体教学设备，运用计算机辅助管理和教育教学，已普及到每位教师，并安排相关老师对全体任课教师进行现代教育技术培训，使教师的现代化教学技能有了相应的提高，基本实现人人都会制作课件。各专业运用多媒体课件等信息化手段开展教学工作，推动信息技术和教育技术的深度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学校积极支持教师参加信息化培训，使教师信息技术运用水平不断提高，课堂教学改革有了新的突破。教师比课件制作水平，同类科目教师比课堂吸引力，相互学习、相互促进，教师信息化水平不断提升。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1、信息化教学：每个教室均装备多媒体教学一体机，每个实训室均装备多媒体投影仪，均能实现访问互联网，均能实现用课件上课，建立了控制中心、数据库、考试库、OA办公系统。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2、教学资源建设：建立了各专业教育、教学、培训等资源库，实现了资源共享。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3、教材选用：凡是省学业水平测试的科目均采用河南省教职成（2016）464号文件中指定用书，其他用书均为“十二五”或“十三五”规划用书。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4、校企合作：与漯河职业技术学院、苏州科立源科技有限公司、江苏瀚海、杭州锐捷、</w:t>
      </w:r>
      <w:r>
        <w:rPr>
          <w:rFonts w:hint="eastAsia" w:ascii="宋体" w:hAnsi="宋体" w:eastAsia="宋体" w:cs="宋体"/>
          <w:color w:val="auto"/>
          <w:sz w:val="24"/>
          <w:szCs w:val="24"/>
          <w:lang w:val="en-US" w:eastAsia="zh-CN"/>
        </w:rPr>
        <w:t>方城三色鸽、</w:t>
      </w:r>
      <w:r>
        <w:rPr>
          <w:rFonts w:hint="eastAsia" w:ascii="宋体" w:hAnsi="宋体" w:eastAsia="宋体" w:cs="宋体"/>
          <w:color w:val="auto"/>
          <w:sz w:val="24"/>
          <w:szCs w:val="24"/>
        </w:rPr>
        <w:t>河南</w:t>
      </w:r>
      <w:r>
        <w:rPr>
          <w:rFonts w:hint="eastAsia" w:ascii="宋体" w:hAnsi="宋体" w:eastAsia="宋体" w:cs="宋体"/>
          <w:color w:val="auto"/>
          <w:sz w:val="24"/>
          <w:szCs w:val="24"/>
          <w:lang w:val="en-US" w:eastAsia="zh-CN"/>
        </w:rPr>
        <w:t>消防</w:t>
      </w:r>
      <w:r>
        <w:rPr>
          <w:rFonts w:hint="eastAsia" w:ascii="宋体" w:hAnsi="宋体" w:eastAsia="宋体" w:cs="宋体"/>
          <w:color w:val="auto"/>
          <w:sz w:val="24"/>
          <w:szCs w:val="24"/>
        </w:rPr>
        <w:t>职业培训学校有合作关系。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B050"/>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三、教师培养培训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以提高教师实践能力为根本，更新培训理念，完善培训机制，创新培训模式，丰富培训内容，使培训更具有自主性、选择性和时效性，促进我校师资队伍向师德高尚、业务精湛、结构合理、充满活力的高素质专业化方向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年派出</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名教师参加“双师型”教师培训，</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名教师参加省级骨干教师培训，</w:t>
      </w:r>
      <w:r>
        <w:rPr>
          <w:rFonts w:hint="eastAsia" w:ascii="宋体" w:hAnsi="宋体" w:eastAsia="宋体" w:cs="宋体"/>
          <w:color w:val="auto"/>
          <w:sz w:val="24"/>
          <w:szCs w:val="24"/>
          <w:lang w:val="en-US" w:eastAsia="zh-CN"/>
        </w:rPr>
        <w:t>1名</w:t>
      </w:r>
      <w:r>
        <w:rPr>
          <w:rFonts w:hint="eastAsia" w:ascii="宋体" w:hAnsi="宋体" w:eastAsia="宋体" w:cs="宋体"/>
          <w:color w:val="auto"/>
          <w:sz w:val="24"/>
          <w:szCs w:val="24"/>
        </w:rPr>
        <w:t>教师参加</w:t>
      </w:r>
      <w:r>
        <w:rPr>
          <w:rFonts w:hint="eastAsia" w:ascii="宋体" w:hAnsi="宋体" w:eastAsia="宋体" w:cs="宋体"/>
          <w:bCs/>
          <w:color w:val="auto"/>
          <w:sz w:val="24"/>
          <w:szCs w:val="24"/>
        </w:rPr>
        <w:t>专业带头人领军研修</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2名教师参加省级中等职业学校班主任培训，</w:t>
      </w:r>
      <w:r>
        <w:rPr>
          <w:rFonts w:hint="eastAsia" w:ascii="宋体" w:hAnsi="宋体" w:eastAsia="宋体" w:cs="宋体"/>
          <w:color w:val="auto"/>
          <w:sz w:val="24"/>
          <w:szCs w:val="24"/>
        </w:rPr>
        <w:t>开阔了教师视野，更新了教育观念，推进了教育教学改革。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202</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年河南省职业教育“双师型”教师培养培训人员</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983"/>
        <w:gridCol w:w="3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姓名</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申报培养培训专业</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培训基地名称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白雪峰</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杨蜜</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曹树学</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物流服务与管理</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重庆电子工程职业学院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孟庆珂</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bidi="ar-SA"/>
              </w:rPr>
              <w:t>刘付亭</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rPr>
              <w:t>高明涵</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胡久和</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计算机平面设计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辽宁省交通高等专科学校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张小鹏</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物流服务与管理</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重庆电子工程职业学院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王东周</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12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bidi="ar-SA"/>
              </w:rPr>
              <w:t>张继松</w:t>
            </w:r>
          </w:p>
        </w:tc>
        <w:tc>
          <w:tcPr>
            <w:tcW w:w="29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旅游管理与服务</w:t>
            </w:r>
          </w:p>
        </w:tc>
        <w:tc>
          <w:tcPr>
            <w:tcW w:w="339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val="0"/>
                <w:i w:val="0"/>
                <w:caps w:val="0"/>
                <w:smallCaps w:val="0"/>
                <w:color w:val="auto"/>
                <w:spacing w:val="0"/>
                <w:w w:val="100"/>
                <w:kern w:val="0"/>
                <w:sz w:val="24"/>
                <w:szCs w:val="24"/>
                <w:lang w:val="en-US" w:eastAsia="zh-CN"/>
              </w:rPr>
              <w:t>扬州大学</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202</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年省级骨干教师培训统计表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966"/>
        <w:gridCol w:w="3117"/>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参训教师</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培训内容</w:t>
            </w:r>
          </w:p>
        </w:tc>
        <w:tc>
          <w:tcPr>
            <w:tcW w:w="3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培训基地名称</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培训地点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杨怡博</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计算机应用</w:t>
            </w:r>
          </w:p>
        </w:tc>
        <w:tc>
          <w:tcPr>
            <w:tcW w:w="3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河南水利与环境职业学院</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李林坡</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语文</w:t>
            </w:r>
          </w:p>
        </w:tc>
        <w:tc>
          <w:tcPr>
            <w:tcW w:w="3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河南省信息工程学校</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朱正</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美术绘画</w:t>
            </w:r>
          </w:p>
        </w:tc>
        <w:tc>
          <w:tcPr>
            <w:tcW w:w="3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河南幼儿师范学校</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李芳</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音乐表演</w:t>
            </w:r>
          </w:p>
        </w:tc>
        <w:tc>
          <w:tcPr>
            <w:tcW w:w="3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sz w:val="24"/>
                <w:szCs w:val="24"/>
                <w:u w:val="none"/>
                <w:lang w:val="en-US" w:eastAsia="zh-CN"/>
              </w:rPr>
              <w:t>郑州幼儿高等专科学校</w:t>
            </w:r>
          </w:p>
        </w:tc>
        <w:tc>
          <w:tcPr>
            <w:tcW w:w="1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郑州</w:t>
            </w:r>
          </w:p>
        </w:tc>
      </w:tr>
    </w:tbl>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center"/>
        <w:textAlignment w:val="auto"/>
        <w:rPr>
          <w:rFonts w:hint="eastAsia" w:ascii="宋体" w:hAnsi="宋体" w:eastAsia="宋体" w:cs="宋体"/>
          <w:bCs/>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202</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年专业带头人领军研修</w:t>
      </w:r>
    </w:p>
    <w:tbl>
      <w:tblPr>
        <w:tblStyle w:val="6"/>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4"/>
        <w:gridCol w:w="2915"/>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rPr>
              <w:t>参训教师</w:t>
            </w:r>
          </w:p>
        </w:tc>
        <w:tc>
          <w:tcPr>
            <w:tcW w:w="291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rPr>
              <w:t>培训内容</w:t>
            </w:r>
          </w:p>
        </w:tc>
        <w:tc>
          <w:tcPr>
            <w:tcW w:w="30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rPr>
              <w:t>培训基地名称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王金焕</w:t>
            </w:r>
          </w:p>
        </w:tc>
        <w:tc>
          <w:tcPr>
            <w:tcW w:w="291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英语中职</w:t>
            </w:r>
          </w:p>
        </w:tc>
        <w:tc>
          <w:tcPr>
            <w:tcW w:w="30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浙江师范大学</w:t>
            </w:r>
          </w:p>
        </w:tc>
      </w:tr>
    </w:tbl>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center"/>
        <w:textAlignment w:val="auto"/>
        <w:rPr>
          <w:rFonts w:hint="eastAsia" w:ascii="宋体" w:hAnsi="宋体" w:eastAsia="宋体" w:cs="宋体"/>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2021年卓越校长专题研修</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2"/>
                <w:sz w:val="24"/>
                <w:szCs w:val="24"/>
                <w:vertAlign w:val="baseline"/>
                <w:lang w:val="en-US" w:eastAsia="zh-CN" w:bidi="ar-SA"/>
              </w:rPr>
            </w:pPr>
            <w:r>
              <w:rPr>
                <w:rFonts w:hint="eastAsia" w:ascii="宋体" w:hAnsi="宋体" w:eastAsia="宋体" w:cs="宋体"/>
                <w:bCs/>
                <w:color w:val="auto"/>
                <w:sz w:val="24"/>
                <w:szCs w:val="24"/>
              </w:rPr>
              <w:t>参训</w:t>
            </w:r>
            <w:r>
              <w:rPr>
                <w:rFonts w:hint="eastAsia" w:ascii="宋体" w:hAnsi="宋体" w:eastAsia="宋体" w:cs="宋体"/>
                <w:bCs/>
                <w:color w:val="auto"/>
                <w:sz w:val="24"/>
                <w:szCs w:val="24"/>
                <w:lang w:val="en-US" w:eastAsia="zh-CN"/>
              </w:rPr>
              <w:t>校长</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2"/>
                <w:sz w:val="24"/>
                <w:szCs w:val="24"/>
                <w:vertAlign w:val="baseline"/>
                <w:lang w:val="en-US" w:eastAsia="zh-CN" w:bidi="ar-SA"/>
              </w:rPr>
            </w:pPr>
            <w:r>
              <w:rPr>
                <w:rFonts w:hint="eastAsia" w:ascii="宋体" w:hAnsi="宋体" w:eastAsia="宋体" w:cs="宋体"/>
                <w:bCs/>
                <w:color w:val="auto"/>
                <w:sz w:val="24"/>
                <w:szCs w:val="24"/>
              </w:rPr>
              <w:t>培训内容</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2"/>
                <w:sz w:val="24"/>
                <w:szCs w:val="24"/>
                <w:vertAlign w:val="baseline"/>
                <w:lang w:val="en-US" w:eastAsia="zh-CN" w:bidi="ar-SA"/>
              </w:rPr>
            </w:pPr>
            <w:r>
              <w:rPr>
                <w:rFonts w:hint="eastAsia" w:ascii="宋体" w:hAnsi="宋体" w:eastAsia="宋体" w:cs="宋体"/>
                <w:bCs/>
                <w:color w:val="auto"/>
                <w:sz w:val="24"/>
                <w:szCs w:val="24"/>
              </w:rPr>
              <w:t>培训基地名称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王敬波</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中职骨干校长</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湖南师范大学</w:t>
            </w:r>
          </w:p>
        </w:tc>
      </w:tr>
    </w:tbl>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center"/>
        <w:textAlignment w:val="auto"/>
        <w:rPr>
          <w:rFonts w:hint="eastAsia" w:ascii="宋体" w:hAnsi="宋体" w:eastAsia="宋体" w:cs="宋体"/>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2021年河南省中等职业学校班主任培训</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66"/>
        <w:gridCol w:w="2250"/>
        <w:gridCol w:w="3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姓名</w:t>
            </w:r>
          </w:p>
        </w:tc>
        <w:tc>
          <w:tcPr>
            <w:tcW w:w="13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职称</w:t>
            </w:r>
          </w:p>
        </w:tc>
        <w:tc>
          <w:tcPr>
            <w:tcW w:w="225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班主任工作年限</w:t>
            </w:r>
          </w:p>
        </w:tc>
        <w:tc>
          <w:tcPr>
            <w:tcW w:w="358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参加培训班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殷涛</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中级</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16</w:t>
            </w:r>
          </w:p>
        </w:tc>
        <w:tc>
          <w:tcPr>
            <w:tcW w:w="35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骨干班主任能力提升培训班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高明涵</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初级</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3</w:t>
            </w:r>
          </w:p>
        </w:tc>
        <w:tc>
          <w:tcPr>
            <w:tcW w:w="358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mallCaps w:val="0"/>
                <w:color w:val="auto"/>
                <w:spacing w:val="0"/>
                <w:w w:val="100"/>
                <w:kern w:val="0"/>
                <w:sz w:val="24"/>
                <w:szCs w:val="24"/>
                <w:lang w:val="en-US" w:eastAsia="zh-CN"/>
              </w:rPr>
            </w:pPr>
            <w:r>
              <w:rPr>
                <w:rFonts w:hint="eastAsia" w:ascii="宋体" w:hAnsi="宋体" w:eastAsia="宋体" w:cs="宋体"/>
                <w:b w:val="0"/>
                <w:i w:val="0"/>
                <w:caps w:val="0"/>
                <w:smallCaps w:val="0"/>
                <w:color w:val="auto"/>
                <w:spacing w:val="0"/>
                <w:w w:val="100"/>
                <w:kern w:val="0"/>
                <w:sz w:val="24"/>
                <w:szCs w:val="24"/>
                <w:lang w:val="en-US" w:eastAsia="zh-CN"/>
              </w:rPr>
              <w:t>在岗班主任培训班</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四、规范管理情况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1</w:t>
      </w:r>
      <w:r>
        <w:rPr>
          <w:rFonts w:hint="eastAsia" w:ascii="宋体" w:hAnsi="宋体" w:eastAsia="宋体" w:cs="宋体"/>
          <w:sz w:val="24"/>
          <w:szCs w:val="24"/>
        </w:rPr>
        <w:t>年，学校全面梳理了学校的规章制度，建章立制。学校对各项规章制度的修订和完善，为依法依规治校奠定了坚实基础。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教学管理方面</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加强师德师风建设，弘扬爱岗敬业精神。利用政治学习时间带领全体教职工学习习近平总书记在全国教育大会上的重要讲话精神、《新时代中小学教师职业行为十项准则》和《关于加强和改进新时代师德师风建设的意见》，加强教师队伍思想政治工作，提升教师职业道德素养，将师德师风建设要求贯穿教师管理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合理安排教学工作。一是根据学校春期工作意见，制定教学工作计划，指导教师制定好授课计划，并做好督导、落实工作；二是合理、有效利用现有师资，落实、安排好各学科课务，主动化解了大量教学工作中遇到的矛盾和问题；三是根据课程标准，合理安排课时，编排及分发课表；并根据教学情况的变化，及时做好教学工作的调整、安排，保证了教学工作正常有序进行；四是做好课务协调，对教学工作会、教研会议认真履行请假考勤手续，对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名外出参加国家级培训的双师型教师做好了调课、顶岗等工作安排，有力保障了教学工作得以正常有序开展。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加强常规教学管理。一是做好常规教学管理工作，加强对课堂教学的巡查与考核记录，加强检查反馈力度，以检查促落实，保证常规教学管理落实到位。落实了上课签到和课堂考勤记录制度；二是加大信息化教学听评课力度，要求科内人员、各教研组老师按学校要求足量听课，并及时评议，听课记录尽收归档；三是加强常规教学检查，一期来，教务科组织教案、作业检查、教学调查、学生评教等活动各两次，并做好了材料的统计、存档和信息反馈工作；四是严格考风考纪，严密组织，以考促教，以考促学。本学期除组织常规考试外，又组织了2018级工美、计算机和学前教育等专业共计369人参加2021年普通高考和对口升学考试</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有26名学生顺利参加计算机水平NIT考试。</w:t>
      </w:r>
      <w:r>
        <w:rPr>
          <w:rFonts w:hint="eastAsia" w:ascii="宋体" w:hAnsi="宋体" w:eastAsia="宋体" w:cs="宋体"/>
          <w:color w:val="auto"/>
          <w:sz w:val="24"/>
          <w:szCs w:val="24"/>
          <w:lang w:val="zh-CN"/>
        </w:rPr>
        <w:t>组织了中专技能课人人过关考试，对推动学生学习主动性的提高，起到了积极的作用。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教研与评优工作</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一是狠抓教师业务学习，利用分口学习和教研活动的机会，组织教师学习相关理论文章，提高教师业务能力，让教师牢固树立“职业岗位能力”意识，立足实际，抓好教学内容和教学方法的改革，使学生的职业素质有了较大的提高，实际动手能力有所增强；二是组织、评选、推荐2021年省、市中职优质课参赛活动，我校获省一等奖1人，市级一等奖3人，市级二等奖3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加强和改进实训工作。一是</w:t>
      </w:r>
      <w:r>
        <w:rPr>
          <w:rFonts w:hint="eastAsia" w:ascii="宋体" w:hAnsi="宋体" w:eastAsia="宋体" w:cs="宋体"/>
          <w:color w:val="auto"/>
          <w:kern w:val="13"/>
          <w:sz w:val="24"/>
          <w:szCs w:val="24"/>
        </w:rPr>
        <w:t>加强了教学设备的日常维护管理，维修空调4台、教学多媒体20余次，确保设备正常使用，同时积极联系拓展校外实训基地，为实现工学结合、联合培养打下基础；二是认真做好春期教材的征订、发放、结算等工作；三是</w:t>
      </w:r>
      <w:r>
        <w:rPr>
          <w:rFonts w:hint="eastAsia" w:ascii="宋体" w:hAnsi="宋体" w:eastAsia="宋体" w:cs="宋体"/>
          <w:color w:val="auto"/>
          <w:sz w:val="24"/>
          <w:szCs w:val="24"/>
        </w:rPr>
        <w:t>完成教育信息化平台季度数据收集更新及上传。四是加强对学校微机教室、音乐教室、舞蹈教室的管理，制定相关使用和管理制度。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学生管理方面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在学生管理方面，坚持德育为首、育人为本的思想，强化思想教育、素质教育和疫情防控教育，切实提高育人水平。</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坚持“德育为首，育人为本”的指导思想，加强学生思想品德教育和社会主义核心价值观教育。一是坚持以爱国主义教育为核心，以中华民族传统美德和革命传统教育为重点，加强对学生进行思想政治教育和革命传统教育，引导学生逐步树立正确的世界观、人生观和价值观；二是认真组织参与南阳市教育系统开展的“百首红歌接力唱”—“永远跟党走 奋斗新征程”庆祝建党100周年活动，经过专家组评选，我校报送的《唱支山歌给党听》等5首曲目作品荣获一等奖；三是通过主题班会、团会等主题教育活动对学生进行思想、纪律教育。以“</w:t>
      </w:r>
      <w:r>
        <w:rPr>
          <w:rFonts w:hint="eastAsia" w:ascii="宋体" w:hAnsi="宋体" w:eastAsia="宋体" w:cs="宋体"/>
          <w:b w:val="0"/>
          <w:bCs w:val="0"/>
          <w:color w:val="auto"/>
          <w:kern w:val="0"/>
          <w:sz w:val="24"/>
          <w:szCs w:val="24"/>
        </w:rPr>
        <w:t>新春第一课，扬帆再起航</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0"/>
          <w:sz w:val="24"/>
          <w:szCs w:val="24"/>
        </w:rPr>
        <w:t>重温百年党史，传承红色基因</w:t>
      </w:r>
      <w:r>
        <w:rPr>
          <w:rFonts w:hint="eastAsia" w:ascii="宋体" w:hAnsi="宋体" w:eastAsia="宋体" w:cs="宋体"/>
          <w:b w:val="0"/>
          <w:bCs w:val="0"/>
          <w:color w:val="auto"/>
          <w:sz w:val="24"/>
          <w:szCs w:val="24"/>
        </w:rPr>
        <w:t>”等为主题，举行了5次团日活动、4次主题班会和6次志愿者活动；四是</w:t>
      </w:r>
      <w:r>
        <w:rPr>
          <w:rFonts w:hint="eastAsia" w:ascii="宋体" w:hAnsi="宋体" w:eastAsia="宋体" w:cs="宋体"/>
          <w:b w:val="0"/>
          <w:bCs w:val="0"/>
          <w:color w:val="auto"/>
          <w:sz w:val="24"/>
          <w:szCs w:val="24"/>
          <w:shd w:val="clear" w:color="auto" w:fill="FFFFFF"/>
        </w:rPr>
        <w:t>每周一围绕党史主题开展国旗下的演讲，</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shd w:val="clear" w:color="auto" w:fill="FFFFFF"/>
        </w:rPr>
        <w:t>校园之声</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shd w:val="clear" w:color="auto" w:fill="FFFFFF"/>
        </w:rPr>
        <w:t>广播站于3月开始开展党史学习教育。在每天固定时间段</w:t>
      </w:r>
      <w:r>
        <w:rPr>
          <w:rFonts w:hint="eastAsia" w:ascii="宋体" w:hAnsi="宋体" w:eastAsia="宋体" w:cs="宋体"/>
          <w:b w:val="0"/>
          <w:bCs w:val="0"/>
          <w:color w:val="auto"/>
          <w:sz w:val="24"/>
          <w:szCs w:val="24"/>
        </w:rPr>
        <w:t>播放党史知识、红色故事和革命歌曲，让党的好故事、党的好声音飘进师生心中，将校园“红色广播站”打造成开展党史学习教育的重要阵地，打通师生党史学习教育“最后一米”。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contextualSpacing/>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drawing>
          <wp:inline distT="0" distB="0" distL="114300" distR="114300">
            <wp:extent cx="5273040" cy="2955925"/>
            <wp:effectExtent l="0" t="0" r="3810" b="15875"/>
            <wp:docPr id="9" name="图片 9" descr="微信图片_2021111616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1116162629"/>
                    <pic:cNvPicPr>
                      <a:picLocks noChangeAspect="1"/>
                    </pic:cNvPicPr>
                  </pic:nvPicPr>
                  <pic:blipFill>
                    <a:blip r:embed="rId6"/>
                    <a:stretch>
                      <a:fillRect/>
                    </a:stretch>
                  </pic:blipFill>
                  <pic:spPr>
                    <a:xfrm>
                      <a:off x="0" y="0"/>
                      <a:ext cx="5273040" cy="29559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contextualSpacing/>
        <w:textAlignment w:val="auto"/>
        <w:rPr>
          <w:rFonts w:hint="eastAsia" w:ascii="宋体" w:hAnsi="宋体" w:eastAsia="宋体" w:cs="宋体"/>
          <w:b w:val="0"/>
          <w:bCs w:val="0"/>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注重加强学生干部队伍建设。充分发挥学生会、团委会干部在学生管理工作中的桥梁和纽带作用，不断强化学生的自我教育、自我管理能力，全体学生的综合素质明显提高。本学期学生会、团委会共发展新团员118名，推荐上报省优秀毕业生4人。</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contextualSpacing/>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3、校园文化建设和文明创建活动丰富多彩。一是利用每周一的升旗仪式，开展“国旗下的演讲”活动，对学生进行爱国主义教育和文明礼仪教育；二是利用重大节日和纪念日</w:t>
      </w:r>
      <w:r>
        <w:rPr>
          <w:rFonts w:hint="eastAsia" w:ascii="宋体" w:hAnsi="宋体" w:eastAsia="宋体" w:cs="宋体"/>
          <w:b w:val="0"/>
          <w:bCs w:val="0"/>
          <w:color w:val="auto"/>
          <w:sz w:val="24"/>
          <w:szCs w:val="24"/>
          <w:shd w:val="clear" w:color="auto" w:fill="FFFFFF"/>
        </w:rPr>
        <w:t>，开展了庆祝建党100周年绘画作品展、红色剪纸活动、“学习党史新风尚，全民阅读共书香”世界读书日活动，</w:t>
      </w:r>
      <w:r>
        <w:rPr>
          <w:rFonts w:hint="eastAsia" w:ascii="宋体" w:hAnsi="宋体" w:eastAsia="宋体" w:cs="宋体"/>
          <w:b w:val="0"/>
          <w:bCs w:val="0"/>
          <w:color w:val="auto"/>
          <w:sz w:val="24"/>
          <w:szCs w:val="24"/>
        </w:rPr>
        <w:t>激发了学生爱党、爱国之情，营造节日气氛，陶冶学生情操。</w:t>
      </w:r>
    </w:p>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drawing>
          <wp:inline distT="0" distB="0" distL="114300" distR="114300">
            <wp:extent cx="5273040" cy="2955925"/>
            <wp:effectExtent l="0" t="0" r="3810" b="15875"/>
            <wp:docPr id="10" name="图片 10" descr="微信图片_2021111616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116162519"/>
                    <pic:cNvPicPr>
                      <a:picLocks noChangeAspect="1"/>
                    </pic:cNvPicPr>
                  </pic:nvPicPr>
                  <pic:blipFill>
                    <a:blip r:embed="rId7"/>
                    <a:stretch>
                      <a:fillRect/>
                    </a:stretch>
                  </pic:blipFill>
                  <pic:spPr>
                    <a:xfrm>
                      <a:off x="0" y="0"/>
                      <a:ext cx="5273040" cy="2955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contextualSpacing/>
        <w:textAlignment w:val="auto"/>
        <w:rPr>
          <w:rFonts w:hint="eastAsia" w:ascii="宋体" w:hAnsi="宋体" w:eastAsia="宋体" w:cs="宋体"/>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drawing>
          <wp:inline distT="0" distB="0" distL="114300" distR="114300">
            <wp:extent cx="5266690" cy="2961005"/>
            <wp:effectExtent l="0" t="0" r="10160" b="10795"/>
            <wp:docPr id="14" name="图片 14" descr="微信图片_2021111616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116162625"/>
                    <pic:cNvPicPr>
                      <a:picLocks noChangeAspect="1"/>
                    </pic:cNvPicPr>
                  </pic:nvPicPr>
                  <pic:blipFill>
                    <a:blip r:embed="rId8"/>
                    <a:stretch>
                      <a:fillRect/>
                    </a:stretch>
                  </pic:blipFill>
                  <pic:spPr>
                    <a:xfrm>
                      <a:off x="0" y="0"/>
                      <a:ext cx="5266690" cy="2961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hint="eastAsia" w:ascii="宋体" w:hAnsi="宋体" w:eastAsia="宋体" w:cs="宋体"/>
          <w:b w:val="0"/>
          <w:bCs w:val="0"/>
          <w:color w:val="auto"/>
          <w:sz w:val="24"/>
          <w:szCs w:val="24"/>
          <w:lang w:eastAsia="zh-CN"/>
        </w:rPr>
      </w:pP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600" w:firstLineChars="250"/>
        <w:contextualSpacing/>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学生安全工作常抓不懈。一是加大学生安全教育力度，要求班主任要注重综合安全教育，注重日常管理和过程管理，坚持班主任住寝，坚持1天4签到，实行零报告制度；二是加大对夜不归宿、校园欺凌等违纪行为的处理力度，及时采取得力措施，维护了校园的安全环境和良好的教育教学秩序；三是制作学生安全教育宣传展板6个，并向学生及家长发放《致学生家长的一封信》和防范打击电信网络诈骗宣传页，通过持续不断的教育，学生的安全意识明显增强；四是课外活动、饭前饭后等监管的薄弱环节，值班人员和四名教官参与校园巡视检查；坚持严查早操、预备前迟到和课堂随意出入教室的学生，对违纪学生进行劳动教育，有力维护了校园良好秩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严格按时间、按要求做好面部识别、信息核对和资料整理，保证准确、无误、及时地将助学金发放到学生手中，根据结果，申报了本学期免学费和国家助学金，整理了所有学生的学籍档案，按照时间节点，办理了2018级学生的各项毕业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财务管理方面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严格做好财务管理工作。一是严肃财经法规制度，严格落实“收支两条线”政策，强化学校支出预算报批制度，杜绝无计划超预算开支，全面落实公务卡使用和管理；二是树立“花钱必问效，无效必问责”的绩效控制与评价意识，有效防范财务风险，为落实全面从严治党把好财经关；三是做实做细日常核算，按时核发工资、津补贴等并逐笔公布，让大家有一本明白账；四是严格落实收入核算，依法组织收入，做到账目清楚、应收尽收，所有专户收入均纳入学校的年度财务预算管理。五是零余额账户正式实施，完善财政电子票据改革，试行预算管理一体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在安全管理方面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加强校园安全管理，构建平安校园。</w:t>
      </w:r>
      <w:r>
        <w:rPr>
          <w:rFonts w:hint="eastAsia" w:ascii="宋体" w:hAnsi="宋体" w:eastAsia="宋体" w:cs="宋体"/>
          <w:color w:val="auto"/>
          <w:sz w:val="24"/>
          <w:szCs w:val="24"/>
        </w:rPr>
        <w:t>认真落实教育系统安全专项整治三年行动实施方案，任何时候都要树牢安全第一思想。</w:t>
      </w:r>
      <w:r>
        <w:rPr>
          <w:rFonts w:hint="eastAsia" w:ascii="宋体" w:hAnsi="宋体" w:eastAsia="宋体" w:cs="宋体"/>
          <w:bCs/>
          <w:color w:val="auto"/>
          <w:sz w:val="24"/>
          <w:szCs w:val="24"/>
        </w:rPr>
        <w:t>一是</w:t>
      </w:r>
      <w:r>
        <w:rPr>
          <w:rFonts w:hint="eastAsia" w:ascii="宋体" w:hAnsi="宋体" w:eastAsia="宋体" w:cs="宋体"/>
          <w:color w:val="auto"/>
          <w:sz w:val="24"/>
          <w:szCs w:val="24"/>
        </w:rPr>
        <w:t>签订学校安全工作责任书，落实安全管理“一岗双责”，强化各部门负责人的安全意识；</w:t>
      </w:r>
      <w:r>
        <w:rPr>
          <w:rFonts w:hint="eastAsia" w:ascii="宋体" w:hAnsi="宋体" w:eastAsia="宋体" w:cs="宋体"/>
          <w:bCs/>
          <w:color w:val="auto"/>
          <w:sz w:val="24"/>
          <w:szCs w:val="24"/>
        </w:rPr>
        <w:t>二是</w:t>
      </w:r>
      <w:r>
        <w:rPr>
          <w:rFonts w:hint="eastAsia" w:ascii="宋体" w:hAnsi="宋体" w:eastAsia="宋体" w:cs="宋体"/>
          <w:color w:val="auto"/>
          <w:sz w:val="24"/>
          <w:szCs w:val="24"/>
        </w:rPr>
        <w:t>是深入开展安全教育，发挥课堂教学主渠道作用，推动安全教育进课堂、进教材、进头脑，落实安全教育课时、教材、经费、师资到位要求。</w:t>
      </w:r>
      <w:r>
        <w:rPr>
          <w:rFonts w:hint="eastAsia" w:ascii="宋体" w:hAnsi="宋体" w:eastAsia="宋体" w:cs="宋体"/>
          <w:bCs/>
          <w:color w:val="auto"/>
          <w:sz w:val="24"/>
          <w:szCs w:val="24"/>
        </w:rPr>
        <w:t>三是</w:t>
      </w:r>
      <w:r>
        <w:rPr>
          <w:rFonts w:hint="eastAsia" w:ascii="宋体" w:hAnsi="宋体" w:eastAsia="宋体" w:cs="宋体"/>
          <w:color w:val="auto"/>
          <w:sz w:val="24"/>
          <w:szCs w:val="24"/>
        </w:rPr>
        <w:t>充分发挥人防技防作用，做好各类安全培训和演练，提高全体师生的安全意识和法律观念，完善校园及周边治安防控体系；</w:t>
      </w:r>
      <w:r>
        <w:rPr>
          <w:rFonts w:hint="eastAsia" w:ascii="宋体" w:hAnsi="宋体" w:eastAsia="宋体" w:cs="宋体"/>
          <w:bCs/>
          <w:color w:val="auto"/>
          <w:sz w:val="24"/>
          <w:szCs w:val="24"/>
        </w:rPr>
        <w:t>四是</w:t>
      </w:r>
      <w:r>
        <w:rPr>
          <w:rFonts w:hint="eastAsia" w:ascii="宋体" w:hAnsi="宋体" w:eastAsia="宋体" w:cs="宋体"/>
          <w:color w:val="auto"/>
          <w:sz w:val="24"/>
          <w:szCs w:val="24"/>
        </w:rPr>
        <w:t>加强门卫管理，落实校园巡逻、查寝和职工自护等措施，优化校园周围治安环境，继续实行封闭管理，防火防盗，严查通宵上网和管制刀具；</w:t>
      </w:r>
      <w:r>
        <w:rPr>
          <w:rFonts w:hint="eastAsia" w:ascii="宋体" w:hAnsi="宋体" w:eastAsia="宋体" w:cs="宋体"/>
          <w:bCs/>
          <w:color w:val="auto"/>
          <w:sz w:val="24"/>
          <w:szCs w:val="24"/>
        </w:rPr>
        <w:t>五是</w:t>
      </w:r>
      <w:r>
        <w:rPr>
          <w:rFonts w:hint="eastAsia" w:ascii="宋体" w:hAnsi="宋体" w:eastAsia="宋体" w:cs="宋体"/>
          <w:color w:val="auto"/>
          <w:sz w:val="24"/>
          <w:szCs w:val="24"/>
        </w:rPr>
        <w:t>建立完善消防安全管理规定，健全与消防救援机构协调联动工作机制，组织开展消防安全排查和演练，提升消防安全管理水平；</w:t>
      </w:r>
      <w:r>
        <w:rPr>
          <w:rFonts w:hint="eastAsia" w:ascii="宋体" w:hAnsi="宋体" w:eastAsia="宋体" w:cs="宋体"/>
          <w:bCs/>
          <w:color w:val="auto"/>
          <w:sz w:val="24"/>
          <w:szCs w:val="24"/>
        </w:rPr>
        <w:t>六是</w:t>
      </w:r>
      <w:r>
        <w:rPr>
          <w:rFonts w:hint="eastAsia" w:ascii="宋体" w:hAnsi="宋体" w:eastAsia="宋体" w:cs="宋体"/>
          <w:color w:val="auto"/>
          <w:sz w:val="24"/>
          <w:szCs w:val="24"/>
        </w:rPr>
        <w:t>加强其它安全管理，开展涉黑涉恶线索排查工作，根除影响师生安全和学校稳定的黑恶隐患，开展反恐怖专项行动，提升学校反恐怖综合能力和治理水平等。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科研管理成效显著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4"/>
        </w:rPr>
      </w:pPr>
      <w:r>
        <w:rPr>
          <w:rFonts w:hint="eastAsia" w:ascii="宋体" w:hAnsi="宋体" w:eastAsia="宋体" w:cs="宋体"/>
          <w:color w:val="auto"/>
          <w:sz w:val="24"/>
          <w:szCs w:val="24"/>
        </w:rPr>
        <w:t>一是强化继续教育培训。今年在市人社局的组织指导下,我校教师全员参与了南阳市网上继续教育培训，做到终身学习不间断。二是狠抓教师业务学习，利用分口学习和教研活动的机会，组织教师学习相关理论文章，提高教师业务能力，让教师牢固树立“职业岗位能力”意识，立足实际，抓好教学内容和教学方法的改革，使学生的职业素质有了较大的提高，实际动手能力有所增强；</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是组织、评选、推荐2021年省、市中职优质课参赛活动，我校获省一等奖1人，市级一等奖3人，市级二等奖3人。</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是</w:t>
      </w:r>
      <w:r>
        <w:rPr>
          <w:rFonts w:hint="eastAsia" w:ascii="宋体" w:hAnsi="宋体" w:eastAsia="宋体" w:cs="宋体"/>
          <w:color w:val="auto"/>
          <w:kern w:val="0"/>
          <w:sz w:val="24"/>
          <w:szCs w:val="24"/>
          <w:lang w:val="zh-CN"/>
        </w:rPr>
        <w:t>组织省市中职学生“四项大赛”的选拔、培训工作。</w:t>
      </w:r>
      <w:r>
        <w:rPr>
          <w:rFonts w:hint="eastAsia" w:ascii="宋体" w:hAnsi="宋体" w:eastAsia="宋体" w:cs="宋体"/>
          <w:color w:val="auto"/>
          <w:kern w:val="0"/>
          <w:sz w:val="24"/>
          <w:szCs w:val="24"/>
          <w:lang w:val="en-US" w:eastAsia="zh-CN"/>
        </w:rPr>
        <w:t>五</w:t>
      </w:r>
      <w:r>
        <w:rPr>
          <w:rFonts w:hint="eastAsia" w:ascii="宋体" w:hAnsi="宋体" w:eastAsia="宋体" w:cs="宋体"/>
          <w:color w:val="auto"/>
          <w:kern w:val="0"/>
          <w:sz w:val="24"/>
          <w:szCs w:val="24"/>
          <w:lang w:val="zh-CN"/>
        </w:rPr>
        <w:t>是</w:t>
      </w:r>
      <w:r>
        <w:rPr>
          <w:rFonts w:hint="eastAsia" w:ascii="宋体" w:hAnsi="宋体" w:eastAsia="宋体" w:cs="宋体"/>
          <w:color w:val="auto"/>
          <w:kern w:val="0"/>
          <w:sz w:val="24"/>
          <w:szCs w:val="24"/>
        </w:rPr>
        <w:t>完成了《职业教育提质培优行动计划》和</w:t>
      </w:r>
      <w:r>
        <w:rPr>
          <w:rFonts w:hint="eastAsia" w:ascii="宋体" w:hAnsi="宋体" w:eastAsia="宋体" w:cs="宋体"/>
          <w:bCs/>
          <w:color w:val="auto"/>
          <w:kern w:val="0"/>
          <w:sz w:val="24"/>
          <w:szCs w:val="24"/>
        </w:rPr>
        <w:t>202</w:t>
      </w:r>
      <w:r>
        <w:rPr>
          <w:rFonts w:hint="eastAsia" w:ascii="宋体" w:hAnsi="宋体" w:eastAsia="宋体" w:cs="宋体"/>
          <w:bCs/>
          <w:color w:val="auto"/>
          <w:kern w:val="0"/>
          <w:sz w:val="24"/>
          <w:szCs w:val="24"/>
          <w:lang w:val="en-US" w:eastAsia="zh-CN"/>
        </w:rPr>
        <w:t>1</w:t>
      </w:r>
      <w:r>
        <w:rPr>
          <w:rFonts w:hint="eastAsia" w:ascii="宋体" w:hAnsi="宋体" w:eastAsia="宋体" w:cs="宋体"/>
          <w:bCs/>
          <w:color w:val="auto"/>
          <w:kern w:val="0"/>
          <w:sz w:val="24"/>
          <w:szCs w:val="24"/>
        </w:rPr>
        <w:t>年度职业培训计划的材料上报工作，积极与县人社局沟通，拓宽培训渠道，努力完成1000人的培训任务。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在管理队伍建设方面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学校中层及以上领导干部每年均实施年度考核，中层领导干部采取公开述职述廉和民主测评等方法，广大教职工进行不记名评价。坚持党管人才原则，认真贯彻《干部选拔任用条例》，坚持正确用人导向，严格按制度规定选人用人，从德能勤绩廉等各方面综合考评，择优推荐干部人选。通过对管理队伍的严格考核与管理，提高了管理队伍的工作积极性和主动</w:t>
      </w:r>
      <w:r>
        <w:rPr>
          <w:rFonts w:hint="eastAsia" w:ascii="宋体" w:hAnsi="宋体" w:eastAsia="宋体" w:cs="宋体"/>
          <w:b w:val="0"/>
          <w:bCs w:val="0"/>
          <w:color w:val="auto"/>
          <w:sz w:val="24"/>
          <w:szCs w:val="24"/>
        </w:rPr>
        <w:t>性，形成了团结协作、业务精湛、德才兼备、业绩出色的管理团队。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在管理信息化水平方面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学校工作安排计划、课程表、教学测评等， 通过学校网站实现信息共享，实现了政务、财务等管理的信息化。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德育工作情况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学校始终以坚持立德树人为根本任务，高度重视德育工作，认真制定了德育工作计划并开设德育课程。坚持“德育为首，育人为本”的指导思想，加强学生思想品德教育和社会主义核心价值观教育。一是坚持以爱国主义教育为核心，以中华民族传统美德和革命传统教育为重点，加强对学生进行思想政治教育和革命传统教育，引导学生逐步树立正确的世界观、人生观和价值观；二是认真组织参与南阳市教育系统开展的“百首红歌接力唱”—“永远跟党走 奋斗新征程”庆祝建党100周年活动，经过专家组评选，我校报送的《唱支山歌给党听》等5首曲目作品荣获一等奖；三是通过主题班会、团会等主题教育活动对学生进行思想、纪律教育。以“</w:t>
      </w:r>
      <w:r>
        <w:rPr>
          <w:rFonts w:hint="eastAsia" w:ascii="宋体" w:hAnsi="宋体" w:eastAsia="宋体" w:cs="宋体"/>
          <w:b w:val="0"/>
          <w:bCs w:val="0"/>
          <w:color w:val="auto"/>
          <w:kern w:val="0"/>
          <w:sz w:val="24"/>
          <w:szCs w:val="24"/>
        </w:rPr>
        <w:t>新春第一课，扬帆再起航</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0"/>
          <w:sz w:val="24"/>
          <w:szCs w:val="24"/>
        </w:rPr>
        <w:t>重温百年党史，传承红色基因</w:t>
      </w:r>
      <w:r>
        <w:rPr>
          <w:rFonts w:hint="eastAsia" w:ascii="宋体" w:hAnsi="宋体" w:eastAsia="宋体" w:cs="宋体"/>
          <w:b w:val="0"/>
          <w:bCs w:val="0"/>
          <w:color w:val="auto"/>
          <w:sz w:val="24"/>
          <w:szCs w:val="24"/>
        </w:rPr>
        <w:t>”等为主题，举行了5次团日活动、4次主题班会和6次志愿者活动；四是</w:t>
      </w:r>
      <w:r>
        <w:rPr>
          <w:rFonts w:hint="eastAsia" w:ascii="宋体" w:hAnsi="宋体" w:eastAsia="宋体" w:cs="宋体"/>
          <w:b w:val="0"/>
          <w:bCs w:val="0"/>
          <w:color w:val="auto"/>
          <w:sz w:val="24"/>
          <w:szCs w:val="24"/>
          <w:shd w:val="clear" w:color="auto" w:fill="FFFFFF"/>
        </w:rPr>
        <w:t>每周一围绕党史主题开展国旗下的演讲，</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shd w:val="clear" w:color="auto" w:fill="FFFFFF"/>
        </w:rPr>
        <w:t>校园之声</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shd w:val="clear" w:color="auto" w:fill="FFFFFF"/>
        </w:rPr>
        <w:t>广播站于3月开始开展党史学习教育。在每天固定时间段</w:t>
      </w:r>
      <w:r>
        <w:rPr>
          <w:rFonts w:hint="eastAsia" w:ascii="宋体" w:hAnsi="宋体" w:eastAsia="宋体" w:cs="宋体"/>
          <w:b w:val="0"/>
          <w:bCs w:val="0"/>
          <w:color w:val="auto"/>
          <w:sz w:val="24"/>
          <w:szCs w:val="24"/>
        </w:rPr>
        <w:t>播放党史知识、红色故事和革命歌曲，让党的好故事、党的好声音飘进师生心中，将校园“红色广播站”打造成开展党史学习教育的重要阵地，打通师生党史学习教育“最后一米”。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学校团委建设方面。学生会、团委会是学生管理工作的基础，更是联系广大青年学生的桥梁和纽带，发挥好学生会、团委会的示范带动和自我管理作用尤为重要。每年一次学代会进行学生会、团委会的选拔、换届是最关键的一步，我们严控标准，把一批具有思想进步、立场坚定、学习优良、为人表率、团结同学、严于律己、责任心强、吃苦耐劳的优秀学生选拔出来，并经过一个月的强化培训，保证学生干部队伍的整体素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党建情况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我校党委下辖4个党支部，共有在职党员41人。</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加强政治统领，规范党内政治生活。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学校党委坚持以习近平新时代中国特色社会主义思想为指导，紧扣“一个统领、三个着力”重点任务，认真实施“政治统领行动”，把政治建设摆在首位,在增强“四个意识”、践行“两个维护”上走在前、作表率。制定并落实《中共宛北中专委员会2021年党的建设工作计划》，始终在政治立场、政治方向、政治原则、政治道路上同以习近平同志为核心的党中央保持高度一致；严格落实重大事项请示报告和领导干部个人有关事项报告制度，切实担负起管党治党政治责任；认真落实“三会一课”、谈心谈话、民主评议党员和领导干部双重组织生活等制度，认真贯彻民主集中制原则，坚持“三重一大”事项集体决策，落实党委会议事规则和决策程序，坚决抵制“帮圈文化”，弘扬积极健康的党内政治文化。</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凝心铸魂，强化理论武装和价值引领。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制定了宛北中专《2021年党委理论学习中心组学习计划》、《2021年党员教育计划》，开展党员活动及党日主题活动6次，拟定党史学习教育意见、方案，召开动员大会、成立领导小组、购买学习资料，开展相关活动、印发活动简报12期，按时完成入党积极分子培训工作并且筹备党员假期到红色教育基地教育培训。在全校党员干部和教职工中形成了崇尚学习、热爱学习的浓厚氛围；广泛开展理想信念教育和爱国主义教育，注重发挥思政课教师在铸魂育人、立德树人方面的重大作用，教育引导学生深刻认识中国精神、中国力量，厚植家国情怀；认真履行意识形态工作责任制。坚持党管意识形态和“谁主管谁负责”原则，压实意识形态工作责任。完成了南阳市教育局《深化新时代教育评价改革总体方案》的材料及信息上报工作。贯彻落实学校《关于加强师德师风建设的意见》和《师德工作考核办法》，以师德师风建设和学生养成教育推进意识形态工作。加强网络意识形态阵地管控，发现问题及时约谈提醒，有效控制和减少负面舆情带来的不利影响，努力营造健康向上的网络文化氛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drawing>
          <wp:inline distT="0" distB="0" distL="114300" distR="114300">
            <wp:extent cx="5257800" cy="4503420"/>
            <wp:effectExtent l="0" t="0" r="0" b="11430"/>
            <wp:docPr id="11" name="图片 11" descr="微信图片_2021111616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1116162546"/>
                    <pic:cNvPicPr>
                      <a:picLocks noChangeAspect="1"/>
                    </pic:cNvPicPr>
                  </pic:nvPicPr>
                  <pic:blipFill>
                    <a:blip r:embed="rId9"/>
                    <a:stretch>
                      <a:fillRect/>
                    </a:stretch>
                  </pic:blipFill>
                  <pic:spPr>
                    <a:xfrm>
                      <a:off x="0" y="0"/>
                      <a:ext cx="5257800" cy="45034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3、持之以恒加强作风建设，坚定不移反腐倡廉。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签订及上报《2021年党风廉政建设责任书》、《2021年领导干部廉政档案》。严格落实党风廉政建设责任制，坚持把纪律和规矩挺在前面，引导党员干部自觉筑牢拒腐防变思想防线，坚决维护党章党规党纪权威；开展各项专项治理，真正做到查改结合，防微杜渐；认真落实市纪委、市委组织部关于全面禁酒相关规定，不定期对全校教工进行检测；严格落实教师、班主任及行政坐班人员签到制度，本年度纪委完成了每两周一次的校内“三项通报”，并及时发布了纪律检查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、积极开展法制领创，全面推进依法治校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深入学习习近平总书记关于全面依法治国的重要论述，认真学习以宪法为核心的各项法律法规，制定《宛北中专202</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年依法治校工作要点》，落实领导班子成员年度述法、新提拔干部任前考法、重大决策合法性审查制度，执行党委领导下的校长负责制，压实学校各部门责任；把法治教育与校园文化建设相结合，积极开展丰富多采的法制宣传教育活动；发挥课堂教学法治教育主渠道作用同时还做到法制教育与纪律常规教育相结合，正面引导与反面典型教育相结合，使全校广大师生员工自觉做到遵法学法守法用法。</w:t>
      </w:r>
    </w:p>
    <w:p>
      <w:pPr>
        <w:pStyle w:val="10"/>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深入学习习近平总书记关于全面依法治国的重要论述，全面落实依法治国方略，创建南阳市依法治校示范校，强化法治学习宣传，培育法治文化，开展普法进校园、领导干部带头讲法律等活动，增强广大党员干部的法律意识和法治观念，提升运用法治思维和法治方式解决问题、推动工作的能力。</w:t>
      </w:r>
    </w:p>
    <w:p>
      <w:pPr>
        <w:pStyle w:val="11"/>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着力巩固拓展脱贫攻坚成果，做好脱贫攻坚与乡村振兴的有效衔接。有序推进职责调整，确保平稳过渡。做到责任落实到位、政策落实到位和工作落实到位，全力以赴做好学校所分包的清河镇周庄村和帮扶的清河镇门庄村、优雅庄村的各项工作。</w:t>
      </w:r>
    </w:p>
    <w:p>
      <w:pPr>
        <w:spacing w:line="360" w:lineRule="auto"/>
        <w:rPr>
          <w:rFonts w:ascii="宋体" w:hAnsi="宋体" w:cs="宋体"/>
          <w:sz w:val="24"/>
          <w:szCs w:val="24"/>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center"/>
        <w:textAlignment w:val="auto"/>
        <w:rPr>
          <w:rFonts w:hint="eastAsia" w:ascii="黑体" w:hAnsi="黑体" w:eastAsia="黑体"/>
          <w:sz w:val="28"/>
          <w:szCs w:val="28"/>
        </w:rPr>
      </w:pPr>
      <w:r>
        <w:rPr>
          <w:rFonts w:hint="eastAsia" w:ascii="黑体" w:hAnsi="黑体" w:eastAsia="黑体"/>
          <w:sz w:val="30"/>
          <w:szCs w:val="30"/>
        </w:rPr>
        <w:t>校企合作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一、校企合作开展情况和效果</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rPr>
      </w:pPr>
      <w:r>
        <w:rPr>
          <w:rFonts w:hint="eastAsia" w:ascii="宋体" w:hAnsi="宋体" w:eastAsia="宋体" w:cs="宋体"/>
          <w:sz w:val="24"/>
          <w:szCs w:val="24"/>
        </w:rPr>
        <w:t>校企合作是提高学校办学实力的重要途径，学校企业进行全方位、深层次、多形式的合作，形成校企按需组合，相互支持，共同发展，实现学校、企业、学生“三赢”的发展模式。 202</w:t>
      </w:r>
      <w:r>
        <w:rPr>
          <w:rFonts w:hint="eastAsia" w:ascii="宋体" w:hAnsi="宋体" w:eastAsia="宋体" w:cs="宋体"/>
          <w:sz w:val="24"/>
          <w:szCs w:val="24"/>
          <w:lang w:val="en-US" w:eastAsia="zh-CN"/>
        </w:rPr>
        <w:t>1</w:t>
      </w:r>
      <w:r>
        <w:rPr>
          <w:rFonts w:hint="eastAsia" w:ascii="宋体" w:hAnsi="宋体" w:eastAsia="宋体" w:cs="宋体"/>
          <w:sz w:val="24"/>
          <w:szCs w:val="24"/>
        </w:rPr>
        <w:t>年，学校持续加大校企合作力度，</w:t>
      </w:r>
      <w:r>
        <w:rPr>
          <w:rFonts w:hint="eastAsia" w:ascii="宋体" w:hAnsi="宋体" w:eastAsia="宋体" w:cs="宋体"/>
          <w:color w:val="000000" w:themeColor="text1"/>
          <w:sz w:val="24"/>
          <w:szCs w:val="24"/>
          <w14:textFill>
            <w14:solidFill>
              <w14:schemeClr w14:val="tx1"/>
            </w14:solidFill>
          </w14:textFill>
        </w:rPr>
        <w:t>新增工业机器人技术应用，应急救援技术和中西面点专业招生，尝试直播电商招生，巩固传统校内及合作优势专业招生。</w:t>
      </w:r>
      <w:r>
        <w:rPr>
          <w:rFonts w:hint="eastAsia" w:ascii="宋体" w:hAnsi="宋体" w:eastAsia="宋体" w:cs="宋体"/>
          <w:sz w:val="24"/>
          <w:szCs w:val="24"/>
        </w:rPr>
        <w:t>创新和完善企业冠名、订单培养、工学交替等人才培养模式，积极实施现代学徒制的试点工作。创新教学环境建设，形成校方主导、企业参与的建设新模式，在校内新建电子商务实训室、计算机组装与维修实训室、电子钢琴实训室、舞蹈实训室。拓展实训基地范围，强化实训实习管理、监督考核机制。完善实习教学计划、实习记录、实习日志等过程材料管理，并强化企业文化建设</w:t>
      </w:r>
      <w:r>
        <w:rPr>
          <w:rFonts w:hint="eastAsia" w:ascii="宋体" w:hAnsi="宋体" w:eastAsia="宋体" w:cs="宋体"/>
          <w:color w:val="000000" w:themeColor="text1"/>
          <w:sz w:val="24"/>
          <w:szCs w:val="24"/>
          <w14:textFill>
            <w14:solidFill>
              <w14:schemeClr w14:val="tx1"/>
            </w14:solidFill>
          </w14:textFill>
        </w:rPr>
        <w:t>。签订校企合作协议四项，涉及四个招生专业：工业机器人技术、应急救援、中西面点和直播电商；19级计算机平面设计、城轨专业实习准备工作已基本完成。</w:t>
      </w:r>
      <w:r>
        <w:rPr>
          <w:rFonts w:hint="eastAsia" w:ascii="宋体" w:hAnsi="宋体" w:eastAsia="宋体" w:cs="宋体"/>
          <w:sz w:val="24"/>
          <w:szCs w:val="24"/>
        </w:rPr>
        <w:t>积极拓展新建校外实训基地，与杭州锐捷集团、江苏瀚海集团、方城县第一幼儿园、方城县第一小学、方城县第五小学、苏州科立源科技有限公司、河南安保职业培训学校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河南三色鸽乳业有限公司</w:t>
      </w:r>
      <w:r>
        <w:rPr>
          <w:rFonts w:hint="eastAsia" w:ascii="宋体" w:hAnsi="宋体" w:eastAsia="宋体" w:cs="宋体"/>
          <w:sz w:val="24"/>
          <w:szCs w:val="24"/>
        </w:rPr>
        <w:t>等企事业合作共建、新建校外实训基地。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二、学生实习情况</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充分发挥实验、实训、实习这三个关键环节在人才培养工作中的重要作用，从系统设计、专业实践、教学课程体系入手，充实、培养实践教学师资队伍，强化实践教学管理，建成了能满足实践教学需要的校内、外实训基地，通过“理论 + 实践”课程教学、项目化教学、仿真教学、现场教学、工学交替、社会实践、顶岗实习等实践教学环节，有效提升了学生的专业综合能力和创新能力。学校先后与十几家知名企业单位建立了良好的合作关系，签订校企合作协议，制定实施计划，提供人员和经费，为学生实习和毕业生充分就业提供了良好的保障。学校与江苏瀚海集团、杭州锐捷、苏州科立源科技有限公司、河南安保职业培训学校等企业实施“订单培养”，每年都有3</w:t>
      </w:r>
      <w:r>
        <w:rPr>
          <w:rFonts w:hint="eastAsia" w:ascii="宋体" w:hAnsi="宋体" w:eastAsia="宋体" w:cs="宋体"/>
          <w:sz w:val="24"/>
          <w:szCs w:val="24"/>
          <w:lang w:val="en-US" w:eastAsia="zh-CN"/>
        </w:rPr>
        <w:t>20</w:t>
      </w:r>
      <w:r>
        <w:rPr>
          <w:rFonts w:hint="eastAsia" w:ascii="宋体" w:hAnsi="宋体" w:eastAsia="宋体" w:cs="宋体"/>
          <w:sz w:val="24"/>
          <w:szCs w:val="24"/>
        </w:rPr>
        <w:t>多名学生通过订单式培养实现稳定就业。为进一步加强毕业生顶岗实习的规范管理，学校制定了《毕业生顶岗实习管理制度》，同时实行校企双方共同考核制度，双方共同填写学生顶岗实习考核鉴定表。考核分优秀、良好、合格和不合格四个等级，学生顶岗实习考核的成绩作为评价学生学业情况的重要依据，实习不合格者不予毕业。实习结束时按规定上交与用人单位签订的《就业协议书》、《毕业生综合素质评价调查表》、《毕业生就业调查表》和《顶岗实习手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三、集团化办学情况</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cs="宋体"/>
          <w:sz w:val="24"/>
          <w:szCs w:val="24"/>
          <w:lang w:eastAsia="zh-CN"/>
        </w:rPr>
      </w:pPr>
      <w:r>
        <w:rPr>
          <w:rFonts w:hint="eastAsia" w:ascii="宋体" w:hAnsi="宋体" w:eastAsia="宋体" w:cs="宋体"/>
          <w:sz w:val="24"/>
          <w:szCs w:val="24"/>
        </w:rPr>
        <w:t>学校通过校企、校际合作，充分发挥群体优势和组合效应，优化应用型学前教育人才培养途径，创新学前教育职业人才培养模式。我校今年与漯河职业技术学院联办学前教育专业的五年制招生，招收新生</w:t>
      </w:r>
      <w:r>
        <w:rPr>
          <w:rFonts w:hint="eastAsia" w:ascii="宋体" w:hAnsi="宋体" w:eastAsia="宋体" w:cs="宋体"/>
          <w:sz w:val="24"/>
          <w:szCs w:val="24"/>
          <w:lang w:val="en-US" w:eastAsia="zh-CN"/>
        </w:rPr>
        <w:t>74</w:t>
      </w:r>
      <w:r>
        <w:rPr>
          <w:rFonts w:hint="eastAsia" w:ascii="宋体" w:hAnsi="宋体" w:eastAsia="宋体" w:cs="宋体"/>
          <w:sz w:val="24"/>
          <w:szCs w:val="24"/>
        </w:rPr>
        <w:t>人</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cs="宋体"/>
          <w:sz w:val="24"/>
          <w:szCs w:val="24"/>
          <w:lang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sz w:val="28"/>
          <w:szCs w:val="28"/>
        </w:rPr>
      </w:pPr>
      <w:r>
        <w:rPr>
          <w:rFonts w:hint="eastAsia" w:ascii="黑体" w:hAnsi="黑体" w:eastAsia="黑体"/>
          <w:sz w:val="28"/>
          <w:szCs w:val="28"/>
        </w:rPr>
        <w:t>社会贡献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一、技术技能人才培养</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校所培养学生的市场针对性和社会吸引力进一步增强。已初步成为中职教育改革创新的特色示范校。学校以服务经济社会发展为己任，通过与职教集团、企业深度交流，先后与瀚海、锐捷、科立源等省内外十多家知名企业建立了良好合作关系，开设就业指导课，采取“走出去、请进来”相结合的方式全方位输出技术人才。毕业生就业后很快就成为企业骨干，为企业发展做出了贡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二、社会服务方面</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积极参与地方政府主导的扶贫教育，学校充分利用现有条件，开展各项农业技能培训，为地方培养了大量实用型人才，取得了良好的社会效益。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三、对口支援方面</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根据市、县脱贫攻坚工作统一部署，我校认真贯彻落实全市脱贫攻坚会议精神，一是派驻第一书记，组建专职扶贫工作队，深入分包的方城县清河镇周庄村，开展扶贫攻坚工作。驻村队员坚守岗位、尽职尽责，积极协助村级两委班子全力投入扶贫攻坚工作，成绩突出，周庄村的驻村帮扶工作在省、市、县组织的历次考评中均名列前茅。二是学校所分包的清河镇周庄村和帮扶的清河镇门庄村、优雅庄村在202</w:t>
      </w:r>
      <w:r>
        <w:rPr>
          <w:rFonts w:hint="eastAsia" w:ascii="宋体" w:hAnsi="宋体" w:eastAsia="宋体" w:cs="宋体"/>
          <w:sz w:val="24"/>
          <w:szCs w:val="24"/>
          <w:lang w:val="en-US" w:eastAsia="zh-CN"/>
        </w:rPr>
        <w:t>1</w:t>
      </w:r>
      <w:r>
        <w:rPr>
          <w:rFonts w:hint="eastAsia" w:ascii="宋体" w:hAnsi="宋体" w:eastAsia="宋体" w:cs="宋体"/>
          <w:sz w:val="24"/>
          <w:szCs w:val="24"/>
        </w:rPr>
        <w:t>年国家级数据质量第三方评估，省级扶贫检查中均取得了优异的成绩，在迎接市、县级各种扶贫专项检查、扶贫暗访、扶贫调研等工作中，均成绩优秀。为群众办好事办实事，对村民进行农业知识培训和农业技能指导，提高村民科学种田和科学养殖的水平，为三个村尽快脱贫致富提供了技术支撑。</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537835" cy="3680460"/>
            <wp:effectExtent l="0" t="0" r="5715" b="15240"/>
            <wp:docPr id="13" name="图片 13" descr="微信图片_20211116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1116162555"/>
                    <pic:cNvPicPr>
                      <a:picLocks noChangeAspect="1"/>
                    </pic:cNvPicPr>
                  </pic:nvPicPr>
                  <pic:blipFill>
                    <a:blip r:embed="rId10"/>
                    <a:stretch>
                      <a:fillRect/>
                    </a:stretch>
                  </pic:blipFill>
                  <pic:spPr>
                    <a:xfrm>
                      <a:off x="0" y="0"/>
                      <a:ext cx="5537835" cy="3680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Bodoni MT Condensed" w:hAnsi="Bodoni MT Condensed" w:cs="Bodoni MT Condensed"/>
          <w:sz w:val="24"/>
          <w:szCs w:val="24"/>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sz w:val="28"/>
          <w:szCs w:val="28"/>
        </w:rPr>
      </w:pPr>
      <w:r>
        <w:rPr>
          <w:rFonts w:hint="eastAsia" w:ascii="黑体" w:hAnsi="黑体" w:eastAsia="黑体"/>
          <w:sz w:val="28"/>
          <w:szCs w:val="28"/>
        </w:rPr>
        <w:t>举办者履责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一、经费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学校办学经费得到保障，202</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年经费收入共计 </w:t>
      </w:r>
      <w:r>
        <w:rPr>
          <w:rFonts w:hint="eastAsia" w:ascii="宋体" w:hAnsi="宋体" w:eastAsia="宋体" w:cs="宋体"/>
          <w:sz w:val="24"/>
          <w:szCs w:val="24"/>
          <w:lang w:val="en-US" w:eastAsia="zh-CN"/>
        </w:rPr>
        <w:t>1829.37</w:t>
      </w:r>
      <w:r>
        <w:rPr>
          <w:rFonts w:hint="eastAsia" w:ascii="宋体" w:hAnsi="宋体" w:eastAsia="宋体" w:cs="宋体"/>
          <w:sz w:val="24"/>
          <w:szCs w:val="24"/>
        </w:rPr>
        <w:t>万元，其中：部门预算财政拨款</w:t>
      </w:r>
      <w:r>
        <w:rPr>
          <w:rFonts w:hint="eastAsia" w:ascii="宋体" w:hAnsi="宋体" w:eastAsia="宋体" w:cs="宋体"/>
          <w:sz w:val="24"/>
          <w:szCs w:val="24"/>
          <w:lang w:val="en-US" w:eastAsia="zh-CN"/>
        </w:rPr>
        <w:t>1338.97</w:t>
      </w:r>
      <w:r>
        <w:rPr>
          <w:rFonts w:hint="eastAsia" w:ascii="宋体" w:hAnsi="宋体" w:eastAsia="宋体" w:cs="宋体"/>
          <w:sz w:val="24"/>
          <w:szCs w:val="24"/>
        </w:rPr>
        <w:t>万元、事业收入</w:t>
      </w:r>
      <w:r>
        <w:rPr>
          <w:rFonts w:hint="eastAsia" w:ascii="宋体" w:hAnsi="宋体" w:eastAsia="宋体" w:cs="宋体"/>
          <w:sz w:val="24"/>
          <w:szCs w:val="24"/>
          <w:lang w:val="en-US" w:eastAsia="zh-CN"/>
        </w:rPr>
        <w:t>80</w:t>
      </w:r>
      <w:r>
        <w:rPr>
          <w:rFonts w:hint="eastAsia" w:ascii="宋体" w:hAnsi="宋体" w:eastAsia="宋体" w:cs="宋体"/>
          <w:sz w:val="24"/>
          <w:szCs w:val="24"/>
        </w:rPr>
        <w:t>万元，按时足额拨付；中职学生免学费补助财政拨款</w:t>
      </w:r>
      <w:r>
        <w:rPr>
          <w:rFonts w:hint="eastAsia" w:ascii="宋体" w:hAnsi="宋体" w:eastAsia="宋体" w:cs="宋体"/>
          <w:sz w:val="24"/>
          <w:szCs w:val="24"/>
          <w:lang w:val="en-US" w:eastAsia="zh-CN"/>
        </w:rPr>
        <w:t>410.4</w:t>
      </w:r>
      <w:r>
        <w:rPr>
          <w:rFonts w:hint="eastAsia" w:ascii="宋体" w:hAnsi="宋体" w:eastAsia="宋体" w:cs="宋体"/>
          <w:sz w:val="24"/>
          <w:szCs w:val="24"/>
        </w:rPr>
        <w:t xml:space="preserve">万元。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二、政策措施</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1、近几年来南阳市委、市政府把大力发展职业教育放在重要位置，将职业教育纳入经济社会发展 “十三五”规划，出台各类文件将职业教育列入政府对相关部门的考核目标；重视职业教育的创新发展，支持学校现代职教体系建设，将我校纳入南阳市职教整合目标学校之中；重视职业教育招生工作，将职业教育学生入学率作为办学考核指标。学校办学有充分的自主权，根据上级贫困地区教师支援计划，学校根据教学需要，争取了1名电子商务特聘岗教师，保证学校教育教学工作的正常开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深入开展新时代校园爱国卫生运动，着力打造精品校园。</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一是弘扬爱国卫生运动精神 ，紧密结合校园精神文明创建活动，将文明卫生教育与热爱祖国、热爱家乡、热爱校园、热爱生活相结合；二是完善学校基本设施，开展校园环境卫生大扫除，彻底清除积存杂物、废弃物、卫生死角，保持校园整体环境干净、整洁。及时补充栽种，养护好花草苗木，争创市、省级花园式单位称号；三是宣传生活垃圾分类要求，强化生活垃圾分类意识，加强生活垃圾分类管理，完善校内生活垃圾分类投放收集贮存管理制度；四是落实中等职业学校室内和校园全面禁烟要求，加大学校控烟宣传教育力度，普及烟草危害知识；五是营造健康环境，完善健康服务，加强健康管理，培育健康文化，积极创建健康学校；六是积极主动做好后勤保障，每天专人巡查，确保维修及时，师生满意。</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26025" cy="3284220"/>
            <wp:effectExtent l="0" t="0" r="3175" b="11430"/>
            <wp:docPr id="12" name="图片 12" descr="微信图片_2021111616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1116162539"/>
                    <pic:cNvPicPr>
                      <a:picLocks noChangeAspect="1"/>
                    </pic:cNvPicPr>
                  </pic:nvPicPr>
                  <pic:blipFill>
                    <a:blip r:embed="rId11"/>
                    <a:stretch>
                      <a:fillRect/>
                    </a:stretch>
                  </pic:blipFill>
                  <pic:spPr>
                    <a:xfrm>
                      <a:off x="0" y="0"/>
                      <a:ext cx="5026025" cy="3284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做好食品质量和安全工作。</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 xml:space="preserve">严格贯彻执行《食品卫生法》，增强安全卫生意识，强化食品安全管理，做好学校食堂从业人员健康检查、食品原料进货查验、食堂和餐饮具清洗消毒，确保从业人员健康、食材安全、餐饮具洁净。严格落实食品操作规范，熟制食品做到烧熟煮透，生熟食品及其工用具分开存放。切实提高伙食质量、增加花色品种、保证食品分量，确保让学生满意、家长放心。加大学校食堂“明厨亮灶”建设，基本实现食堂“互联网+明厨亮灶”建设任务。按上级要求改变经营模式、规范小卖部管理，要加大对茶炉的管理力度，做到干净、卫生、文明有序。 </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sz w:val="28"/>
          <w:szCs w:val="28"/>
        </w:rPr>
      </w:pPr>
      <w:r>
        <w:rPr>
          <w:rFonts w:hint="eastAsia" w:ascii="黑体" w:hAnsi="黑体" w:eastAsia="黑体"/>
          <w:sz w:val="28"/>
          <w:szCs w:val="28"/>
        </w:rPr>
        <w:t>特色创新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案例一：</w:t>
      </w:r>
      <w:bookmarkStart w:id="5" w:name="_Hlk62148046"/>
      <w:r>
        <w:rPr>
          <w:rFonts w:hint="eastAsia" w:ascii="宋体" w:hAnsi="宋体" w:eastAsia="宋体" w:cs="宋体"/>
          <w:b/>
          <w:bCs/>
          <w:sz w:val="24"/>
          <w:szCs w:val="24"/>
        </w:rPr>
        <w:t>城市轨道交通运营管理专业学生技能课人人过关</w:t>
      </w:r>
      <w:bookmarkEnd w:id="5"/>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本专业培养具有良好的政治素质、文化素质、专业素质和身体素质，熟悉国内外高铁服务业务，掌握高速铁路服务基本知识，基本技能和铁路客运基本要求，具有较高的语言水平，团结协作能力和灵活应变能力，为顾客提供优质服务，能适应社会主义市场经济建设和高速铁路事业发展需要，能从事高速铁路服务与管理的高等专业技能型人才。具体实施步骤如下：</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（一）考核内容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城市轨道交通专业学生需要掌握现代乘务服务与乘务管理的基本理论和专业知识，掌握乘务务实、礼仪、服务接待、普通话、急救常识、列车消防演练、应急求生、运输法规以及高速铁路客厢服务标准，高铁旅客运输流程的专业知识。</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（二）学习内容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1、服务礼仪及其学习的主要内容：服务礼仪通常指的是礼仪在服务行业的具体运用。“做人先学礼”，礼仪教育是人生的第一课，礼仪必须通过学习、培养和训练，才能成为人们的生活习惯，作为未来的客运服务人员更应如此。服务礼仪的实际内涵是指服务人员在自己的工作岗位上向服务对象提供服务的标准的、正确的做法。服务礼仪主要以服务人员的仪容规范、仪态规范、服饰规范、语言规范和岗位规范为基本内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2、形体训练学习的基本内容：基本站立姿势、步伐、手位、脚位练习，脚步动作舞蹈组合练习以及把杆垫上等一系列基本功练习。老师应针对不同的练习播放相适应的音乐，为学生提供一个轻松、愉快更易投入的环境，使他们能自由而充满激情的享受练习过程。学好的组合、舞蹈分组编排表演，同学们一起观赏、交流评价。气氛愉快热烈，同时也锻炼学生的创造力。另外一定要加强课后练习，由于形体训练是一个长期的系统的训练过程，因此，仅仅依赖每周上课训练的时间是不够的，教师布置课外练习，引导学生养成自觉锻炼的习惯。</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3、普通话的学习是加强学生素质教育的需要。学习学好普通话，有利于孩子识字和阅读，为孩子入学后掌握书面语言、理解字义打下基础。个人发展的需要普通话是人们日益扩大的交往和自我发展的迫切需求，要消除交流隔阂必须要学习普通话;信息的传输与处理的发展必须使用普通话;现代化办公，高效率工作必须推广普通话。所以，一份良好的普通话是孩子未来上升的必备条件。形成良好的语感，有利于今后的外语学习。语感就是语言意识，即对语言的感受、理解、把握水平。语感的关键在于能够凭借直觉、灵活而敏捷地把握各种不同语言环境中语言质的规定性。</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（三）考核方法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期末考核采用现场面试问答和情景演练的考核方式。本课程的成绩组成分成总结性考核和形成性考核。总结性考核在学期末进行，分为面试、口试、情景演练三部分，主要内容分别为:面试，考核学生的仪容、仪表、仪姿礼仪。口试，考核学生的表达、交流技能以及基本礼仪知识。情景演练，考核学生作为客运服务人员应该具备的专业服务技能的礼仪规范。</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形成性考核:动态考察包括，平时课堂出勤、课堂表现、平时礼仪修养表现三项。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（四）奖惩办法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学生技能考核成绩合格才能发放相应技能证书，实习之前各项专业技能必须达标。</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（五）考核安排：</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每学期的期中和期末都进行技能考核，考核成绩直接计入个人档案。</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（六）实施成效</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通过技能人人过关考核方案的实施，我校城市轨道交通运行管理专业的学生专业技能和综合素质大幅提升，我校学生在市礼仪风采大赛中多次荣获，受到上级领导的高度评价。</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我校城市轨道交通专业学生在进入实习和就业岗位后，受到了所在铁路段领导和旅客的高度称赞。</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bookmarkStart w:id="6" w:name="_Hlk62196030"/>
      <w:r>
        <w:rPr>
          <w:rFonts w:hint="eastAsia" w:ascii="宋体" w:hAnsi="宋体" w:eastAsia="宋体" w:cs="宋体"/>
          <w:b/>
          <w:bCs/>
          <w:sz w:val="24"/>
          <w:szCs w:val="24"/>
        </w:rPr>
        <w:t>案例二：</w:t>
      </w:r>
      <w:bookmarkEnd w:id="6"/>
      <w:bookmarkStart w:id="7" w:name="_Hlk62196302"/>
      <w:r>
        <w:rPr>
          <w:rFonts w:hint="eastAsia" w:ascii="宋体" w:hAnsi="宋体" w:eastAsia="宋体" w:cs="宋体"/>
          <w:b/>
          <w:bCs/>
          <w:sz w:val="24"/>
          <w:szCs w:val="24"/>
        </w:rPr>
        <w:t>平面设计专业学生技能课人人过关</w:t>
      </w:r>
      <w:bookmarkEnd w:id="7"/>
      <w:r>
        <w:rPr>
          <w:rFonts w:hint="eastAsia" w:ascii="宋体" w:hAnsi="宋体" w:eastAsia="宋体" w:cs="宋体"/>
          <w:b/>
          <w:bCs/>
          <w:sz w:val="24"/>
          <w:szCs w:val="24"/>
        </w:rPr>
        <w:t>考核方案</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为突出对职业学校学生能力的培养，在分析学校现状、学生学情、专业特点的基础上，实施技能课人人过关考核方案，对各专业原有的课程内容和教学方法进行创新。具体实施步骤如下：</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（一）考核内容</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平面设计专业学生进行专业技能理论及实操考核，考核的内容是Photoshop、Flash、CorelDraw、illustrator、indesign、素描。</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（二）考核要求</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例如Photoshop考核：</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一级要求：能够认清Photoshop理论知识，熟练使用快捷按钮。</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二级要求：能够熟练使用Photoshop钢笔工具进行图像绘制和形状塑造。</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三级要求：熟练操作8种“抠图”方法（套索工具、钢笔工具、色彩范围、通道、蒙版等）。</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四级要求：能够使用Photoshop进行图像调色，人像修图。</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五级要求：熟练使用Photoshop的各种工具进行图像临摹，呈现不同的图像效果。</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六级要求：能够顺应主题使用Photoshop进行自主做图，并带有理念和创意。七级要求：能够使用Photoshop进行产品精修和产品绘制。</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Photoshop、Flash、CorelDraw、illustrator、indesign、素描都严格按照考核规范标准，进行人人过关考试。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（三）考核办法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对于每一项专业技能，在学期末组织专业教师进行考核，坚持公平公正的原则，对每一级考核结果分别评出A(优秀)、B(良好)、C(合格)、D(一般)等级。</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（四）奖惩办法</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学生技能考核成绩直接与毕业证的发放挂钩，实习前每位同学各项专业技能必须C(合格)等级以上，否则不予以毕业，不准实习。</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（五）考核安排</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每学期期中和期末都进行技能考核，成绩计入档案。二年级期末考试成绩作为毕业成绩，发专业技能考核等级证书，各项专业技能都列入证书内容，保证人人具备上岗能力。</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（六）实施成效</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通过技能课人人过关考核方案的实施，我校平面设计专业的学生专业技能和综合素质大幅提升，并在省市职业技能大赛广告设计比赛中获奖，受到学生和家长的高度评价。我校平面设计专业学生进入实习和就业岗位后，用人单位对我校毕业生的专业能力和专业素养给予高度认可。</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案例三： </w:t>
      </w:r>
      <w:bookmarkStart w:id="8" w:name="_Hlk62148220"/>
      <w:r>
        <w:rPr>
          <w:rFonts w:hint="eastAsia" w:ascii="宋体" w:hAnsi="宋体" w:eastAsia="宋体" w:cs="宋体"/>
          <w:b/>
          <w:bCs/>
          <w:sz w:val="24"/>
          <w:szCs w:val="24"/>
        </w:rPr>
        <w:t>团委加强社团组建与管理，丰富学生业余文化生活</w:t>
      </w:r>
      <w:bookmarkEnd w:id="8"/>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生社团是学校校园文化建设的重要载体，是第二课堂的重要组成部分。学校将学生社团活动纳入学校整体工作计划，作为活动德育的主要途径之一，通过社团活动为学生提供展示自我的舞台，学生审美情趣得到培养，学生艺术修养不断提高。通过参加社团活动，学生的兴趣爱好普遍得以满足，学生的个性特长也得以充分发挥，为把学生的兴趣爱好向专业技术特长的转变奠定良好的基础。</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学校通过一年来的不断探索，规范了社团组织程序和指导教师选拔任用机制，组建了舞蹈礼仪社团、音乐社团、手工艺术社团、书画社团、演讲与口才等8个特色社团。以社团活动为依托，促进学生全面健康发展。通过社团活动，学生的人格素养得到了锤炼，综合素质得到发展，学生的责任感、荣誉感和奉献精神不断提高。</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contextualSpacing/>
        <w:jc w:val="center"/>
        <w:textAlignment w:val="auto"/>
        <w:rPr>
          <w:rFonts w:hint="eastAsia" w:ascii="黑体" w:hAnsi="黑体" w:eastAsia="黑体"/>
          <w:sz w:val="28"/>
          <w:szCs w:val="28"/>
        </w:rPr>
      </w:pPr>
      <w:r>
        <w:rPr>
          <w:rFonts w:hint="eastAsia" w:ascii="黑体" w:hAnsi="黑体" w:eastAsia="黑体"/>
          <w:sz w:val="28"/>
          <w:szCs w:val="28"/>
        </w:rPr>
        <w:t>众志抗疫</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年来，校党委坚持把师生生命安全和身体健康放在第一位，明确“防住疫情是关键，盯住目标是重点，守住阵地是责任，稳住局势是底线”的原则和“精准防、严格控、有效导、及时调、科学判、务实管”的方法，落实“防输入、防反弹、防突发、防松懈”等“四防”要求，细化常态化防控举措，加固薄弱环节，补上短板漏洞，统筹推进疫情防控工作。</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（一）加强组织领导，强化责任落实</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是学校成立了疫情防控工作领导小组，明确职责分工，责任到岗，任务到人，多次召开党委会议、行政办公例会，研究部署、推进疫情防控工作,形成上下联动、协调一致的疫情防控体系。二是学校制定了《宛北中专疫情防控工作实施细则》等21项相关方案、制度和学校疫情防控领导小组文件17期，具体指导疫情防控工作的开展。建立学校、主管科室、班级、学生四级防控工作联系网络，构建了网格化管理保障体系，压紧压实“四方责任”。</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加强宣传教育，营造抗疫的良好氛围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contextualSpacing/>
        <w:textAlignment w:val="auto"/>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contextualSpacing/>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688330" cy="4828540"/>
            <wp:effectExtent l="0" t="0" r="7620" b="10160"/>
            <wp:docPr id="15" name="图片 15" descr="微信图片_202111161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1116163644"/>
                    <pic:cNvPicPr>
                      <a:picLocks noChangeAspect="1"/>
                    </pic:cNvPicPr>
                  </pic:nvPicPr>
                  <pic:blipFill>
                    <a:blip r:embed="rId12"/>
                    <a:srcRect t="16183" b="21259"/>
                    <a:stretch>
                      <a:fillRect/>
                    </a:stretch>
                  </pic:blipFill>
                  <pic:spPr>
                    <a:xfrm>
                      <a:off x="0" y="0"/>
                      <a:ext cx="5688330" cy="48285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contextualSpacing/>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contextualSpacing/>
        <w:textAlignment w:val="auto"/>
        <w:rPr>
          <w:rFonts w:hint="eastAsia" w:ascii="宋体" w:hAnsi="宋体" w:eastAsia="宋体" w:cs="宋体"/>
          <w:sz w:val="24"/>
          <w:szCs w:val="24"/>
        </w:rPr>
      </w:pPr>
      <w:r>
        <w:rPr>
          <w:rFonts w:hint="eastAsia" w:ascii="宋体" w:hAnsi="宋体" w:eastAsia="宋体" w:cs="宋体"/>
          <w:sz w:val="24"/>
          <w:szCs w:val="24"/>
        </w:rPr>
        <w:t>一年来，学校通过公众号、钉钉群、微信等不同平台，开展线上、线下广泛宣传，普及新冠肺炎防治知识，提高全体师生对新冠肺炎的正确认识和自我防护能力。学校制定并发布了《给宛北中等专业全体师生及家长的一封信》、《宛北中等专业学校防疫期间教师一日常规 》、《宛北中等专业学校新冠肺炎疫情学生防控一日流程》等，面向全体师生、家长宣传普及疫情防治和防控要求，形成科学应对、众志成城抗击疫情的良好氛围。</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（三）物资保障抓关键，精准排查底数清</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为确保疫情防控工作有序推进，学校备足口罩、额温枪、洗手液、消毒液等防疫物资，并实行专人保管，登记造册，依需发放，增加了洗手池，新建了隔离区，为疫情防控提供了坚实的后勤保障，做到了“兵马未动粮草先行”。学校严格对标市委、市政府“三个一律”、“三个全覆盖”、“三个强化”要求，相关科室负责对所有师生员工开展全面细致的信息排摸，做到底数清、情况明，建立动态台账，加强跟踪联系，随时掌握情况。疫情防控办公室做好了信息统计报送和日报告、零报告制度。</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（四）严格落实各项措施，切实抓好疫情防控常态化</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根据《宛北中专疫情防控工作实施细则》的要求，班主任每日清点上报班级学生出勤情况，对在校学生健康状况进行测温、询问、观察，做到早发现、早报告、早隔离、早治疗，并及时联系缺勤者，问明原因，严格落实因病缺课登记和追踪制度，第一时间调度跟踪学生健康情况。建立家庭健康报告制度，密切关注师生员工家庭成员健康状况，如出现异常情况按有关防疫要求处置。落实晨、午、晚检制度，以班级为单位每天进行晨、午、晚温度检测并做好记录，学生科汇总后向学校疫情防控小组报告。落实好返校复课管理，要求上课期间师生佩戴口罩，教学活动时不组织小组讨论；安排专人负责课间的开窗通风，以及卫生清洁。实施闭环管理，学生入校实行宿舍、教室、餐厅三点一线管理，班与班之间不交叉；教室、办公室、宿舍、食堂、卫生间、教育辅助设备、桌椅、地面等由专人每日2次进行消毒。加强对学校食堂和社会送货人员的健康监测，学生就餐严格按照学校规定依次排队、错峰就餐。做好宿舍消毒通风和清洁卫生工作，保证宿舍达到疫情防控要求。学生一律住校，禁止相互窜宿舍。加强门卫管理，要求安保人员加强校园巡视巡逻，出入校门人员逐一核验身份、测量体温、登记，严格执行《宛北中专进出校门审批管理办法》和校园出入管理“七个一律”，做到看好门、护好院。通过努力全校师生无一人感染新冠肺炎，各项防控措施有条不紊得到落实，疫情防控工作取得阶段性胜利。</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sz w:val="28"/>
          <w:szCs w:val="28"/>
        </w:rPr>
      </w:pPr>
      <w:r>
        <w:rPr>
          <w:rFonts w:hint="eastAsia" w:ascii="黑体" w:hAnsi="黑体" w:eastAsia="黑体"/>
          <w:sz w:val="28"/>
          <w:szCs w:val="28"/>
        </w:rPr>
        <w:t>主要问题和改进措施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一、存在的问题</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面对快速发展的经济形势，以及需要不断改革创新的职业教育现状，学校虽取得了一定成就，但也存在一些不适应的问题，亟需在发展中解决。</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方面：主要存在三大问题。1、大多数中职学校的专业设置和开设的课程，都不能与时具进；缺乏吸引力，硬件设施也跟不上。学生的实习实验条件差，实训设备陈旧简陋；也很难满足教学需要。开设课程的实用性不强，使学生产生“学了也白学”的想法。　</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方面：一般来说，初中毕业后没有考上普通高中的才来读中职学校。现在的中职学生习惯于原来的保姆式教育方式，养成了被动学习、被动接受式的“被看着”的习惯；其自我控制能力及自学能力十分有限，入校后不能适应新的学习环境。3、由于没有了升学的压力，将来的就业形势尚可。他们认为只要考试及格就有毕业证，有毕业证就可以找得到工作；没有了进取心，学习上缺乏主观能动性。近几年这种现象尤为突出，怕苦怕累；遇到困难，只想退缩；缺乏锻炼，很难适应将来的就业需要。</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方面：突出表现在以下几个方面。1、中职学生现用教材多数内容比较陈旧，缺乏知识的更新。有些专业教材还是七八十年代出版的，有些新版书也只是换汤不换药，只是更新包装，内容还是老的基本没变。而近几年企业在飞速发展，设备技术在不断更新，专业教材却还一成不变，已不能满足现行教学的需要。2、有些教材与初中教材衔接不连贯，有些知识脱节，中职学生基础又较差，接受起来非常困难；有些课程偏难偏深，尤其是有些专业课，以现有学生的理解能力和逻辑思维能力进行学习确实强人所难。</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资方面：1、从质量上来看：中职教育的教师有很多都是从普通教育改行过来的，特别是专业课的老师；很难做到中职教育教师队伍双师型的要求。统计显示“双师型”教师比例占50.68％，专业课教师双师素质达不到应有的水平，专业理论课教师实践能力低，实践课教师专业理论水平不高。教师智能结构单一，难以全面实施现代职业教育教学方法。2、从数量上看：加上中职学校不断扩招，师生人数比例逐年减小；造成部分教师负担过重，形成有时一个老师教3到5门专业课的情况。如此大的工作量，难以保证教学质量。</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政府方面：主要表现在以下3个方面。1、有些政府的政策和决定凭的是一些感性的东西，没有前瞻性，也没有系统性。2、中职教育的教研机构不但少而且研究水平也很低。造成这种状况的原因：一是中职教育专业比较多，研究机构的投入与产出的效益不可能象普通高中来得那么大，社会投资的积极性不高；二是研究机构的工作人员不是从大学里来的就是从普通高中来的，改变他们的思维也需要有一个很长的过程。3、许多地方政府尤其是经济欠发达地区，对中职学校的投资兴趣与力度在减少；使中等职业教育的发展也受到了制约。</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二、改进措施</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（一）、中职教育培养目标的定位要准确</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　　中职学校要想在人才市场的竞争中求生存、图发展，首先要解决中职教育培养目标的定位问题。笔者认为，中职教育应定位于培养“高素质、强技能、宽适应、复合型”生产第一线的技术人才目标上，并以能力为本位，将其作为教学改革的突破口，以“肯干、够用、会学”作为人才培养的质量标准。“肯干”体现了德育标准；　“够用”体现了专业要求；“会学”体现了发展潜力。并按照“适应市场，服务社会，立足当地，适度超前”的发展思路，重点在培养宽基础、复合型、智能型人才架构上下功夫；把学生培养成为“艰苦行业留得住，实操、管理都能干，转岗换位适应快，经过努力上得去”的复合型人才。而且，要发挥中职在中等职业技术教育中的骨干作用，确保“基础牢，后劲足”的优势。只有这样，中职生才能在人才市场的竞争中，立于不败之地。</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二</w:t>
      </w:r>
      <w:r>
        <w:rPr>
          <w:rFonts w:hint="eastAsia" w:ascii="宋体" w:hAnsi="宋体" w:eastAsia="宋体" w:cs="宋体"/>
          <w:sz w:val="24"/>
          <w:szCs w:val="24"/>
        </w:rPr>
        <w:t>）、中职教育的专业设置要合理</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发展是硬道理”，“适者生存，强者发展”。从这意义上来说，专业建设的优劣决定了转型期中等职业学校的生存与发展。中职学校要生存，要发展，必须创出“名牌产品”。要根据本校的优势，依据专业设置的近期和远期规划；按照“紧贴当地社会经济发展、充分考虑学校办学条件、办出特色”的原则，确定作为学校的拳头专业和特色专业；使学校具有强大的吸引力和生命力。中职学校也只有靠提高教学质量，打造教育品牌才能吸引和留住学生。</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突出校企合作订单式办学。由于职业技术教育对师资、设备要求的特殊性，单靠职业学校本身是难以解决师资和设备需要不断更新的问题的。只有通过联合办学的方法，才能解决；校企合作进行订单式办学已是大势所趋。校企合作期间，企业可以参与职业学校的教育与培训活动，为合作学校提供专业师资、实训设备，并接受中职教师和学生进行见习和实习。这样既解决了职教实训条件差的困难，又为帮助学生实现由实习到上岗的“零过渡”奠定了基础。学校要依靠企业，充分发挥企业在人力资源需求分析和教育教学指导中的作用，及时根据市场需求、企业需求来确定培养目标、人才规格、知识技能结构、和进行合理的课程设置，适时的教学内容安排。学校应与用人单位建立稳定的人才供求合作关系，加大校外实习基地的建设力度；鼓励毕业生到校外实习基地参加“顶岗实习”，使校外实习基地真正成为毕业生就业的主渠道。为了使学校教育与企业需求更好地接轨，学校还可以引导部分优秀企业在学校设立冠名班；这些企业在取得毕业生优先招聘权的同时，必须承担相应的义务。如为冠名班学生提供下厂实习机会，提供有实践经验的兼职教师；为冠名班提供一定数量的奖学金等。</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w:t>
      </w:r>
      <w:r>
        <w:rPr>
          <w:rFonts w:hint="eastAsia" w:ascii="宋体" w:hAnsi="宋体" w:eastAsia="宋体" w:cs="宋体"/>
          <w:sz w:val="24"/>
          <w:szCs w:val="24"/>
        </w:rPr>
        <w:t>师资队伍建设</w:t>
      </w:r>
      <w:r>
        <w:rPr>
          <w:rFonts w:hint="eastAsia" w:ascii="宋体" w:hAnsi="宋体" w:eastAsia="宋体" w:cs="宋体"/>
          <w:sz w:val="24"/>
          <w:szCs w:val="24"/>
          <w:lang w:val="en-US" w:eastAsia="zh-CN"/>
        </w:rPr>
        <w:t>要</w:t>
      </w:r>
      <w:r>
        <w:rPr>
          <w:rFonts w:hint="eastAsia" w:ascii="宋体" w:hAnsi="宋体" w:eastAsia="宋体" w:cs="宋体"/>
          <w:sz w:val="24"/>
          <w:szCs w:val="24"/>
        </w:rPr>
        <w:t>改革</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contextualSpacing/>
        <w:textAlignment w:val="auto"/>
        <w:rPr>
          <w:rFonts w:hint="eastAsia" w:ascii="宋体" w:hAnsi="宋体" w:eastAsia="宋体" w:cs="宋体"/>
          <w:sz w:val="24"/>
          <w:szCs w:val="24"/>
        </w:rPr>
      </w:pPr>
      <w:r>
        <w:rPr>
          <w:rFonts w:hint="eastAsia" w:ascii="宋体" w:hAnsi="宋体" w:eastAsia="宋体" w:cs="宋体"/>
          <w:sz w:val="24"/>
          <w:szCs w:val="24"/>
        </w:rPr>
        <w:t>在教师队伍建设方面应该突出以下几点：1、提高教师素质，要求教师具有良好的道德修养和职业责任感以及执教的基本技能、技巧。　2、职业学校的教师必须具有两年以上从事本专业实际工作的经验，并且在日后的教学工作中，还要定期到企业、公司进行一段时间的锻炼，永远保持与企业之间的密切联系。3、突出“双师型”教师队伍建设。社会发展不需要读死书的书呆子，尤其对中职学生而言；掌握专业技能为就业打基础已成了求学主要目的。这就对专业教师提出了更高的要求：不仅可以进行理论教学还要能进行实践指导。1998年，原国家教委在《面向21世纪深化职业教育改革的意见》中，提出职业学校要加强“双师型”教师队伍建设的要求；中职学校需要切实加强教师的技术业务的培训。学校应该建立起专业教师定期轮训制度，支持教师到企业和其他用人单位进行见习和工作实践；每年定期选派专业教师前往企业实地调查、学习，进行自身知识的更新，获得新技术、新设备应用的第一手材料；重点提高中职教师的专业能力和教育教学能力，同时了解企业需求及相关岗位从业人员要求。进修教师还可以结合企业实际进行现有教材、尤其是实训教材的编写，让教师的教学，学生的学习，都更有方向性和目的性。同时可以聘请生产和服务一线技术人员、技师和高级技师担任兼职教师，加强实习指导教师队伍建设；努力形成具有“双师”型素质的师资队伍，为培养出市场实用型人才打下坚实的基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sectPr>
      <w:footerReference r:id="rId3"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doni MT Condensed">
    <w:panose1 w:val="020706060806060202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23</w:t>
    </w:r>
    <w: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AED190"/>
    <w:multiLevelType w:val="singleLevel"/>
    <w:tmpl w:val="9BAED190"/>
    <w:lvl w:ilvl="0" w:tentative="0">
      <w:start w:val="2"/>
      <w:numFmt w:val="chineseCounting"/>
      <w:suff w:val="nothing"/>
      <w:lvlText w:val="（%1）"/>
      <w:lvlJc w:val="left"/>
      <w:rPr>
        <w:rFonts w:hint="eastAsia"/>
      </w:rPr>
    </w:lvl>
  </w:abstractNum>
  <w:abstractNum w:abstractNumId="1">
    <w:nsid w:val="F0BA6CDD"/>
    <w:multiLevelType w:val="singleLevel"/>
    <w:tmpl w:val="F0BA6CDD"/>
    <w:lvl w:ilvl="0" w:tentative="0">
      <w:start w:val="2"/>
      <w:numFmt w:val="chineseCounting"/>
      <w:suff w:val="space"/>
      <w:lvlText w:val="第%1部分"/>
      <w:lvlJc w:val="left"/>
      <w:rPr>
        <w:rFonts w:hint="eastAsia"/>
      </w:rPr>
    </w:lvl>
  </w:abstractNum>
  <w:abstractNum w:abstractNumId="2">
    <w:nsid w:val="104E90A3"/>
    <w:multiLevelType w:val="singleLevel"/>
    <w:tmpl w:val="104E90A3"/>
    <w:lvl w:ilvl="0" w:tentative="0">
      <w:start w:val="1"/>
      <w:numFmt w:val="decimal"/>
      <w:suff w:val="nothing"/>
      <w:lvlText w:val="%1、"/>
      <w:lvlJc w:val="left"/>
    </w:lvl>
  </w:abstractNum>
  <w:abstractNum w:abstractNumId="3">
    <w:nsid w:val="21862E06"/>
    <w:multiLevelType w:val="singleLevel"/>
    <w:tmpl w:val="21862E06"/>
    <w:lvl w:ilvl="0" w:tentative="0">
      <w:start w:val="1"/>
      <w:numFmt w:val="decimal"/>
      <w:suff w:val="nothing"/>
      <w:lvlText w:val="%1、"/>
      <w:lvlJc w:val="left"/>
    </w:lvl>
  </w:abstractNum>
  <w:abstractNum w:abstractNumId="4">
    <w:nsid w:val="260324FC"/>
    <w:multiLevelType w:val="singleLevel"/>
    <w:tmpl w:val="260324FC"/>
    <w:lvl w:ilvl="0" w:tentative="0">
      <w:start w:val="1"/>
      <w:numFmt w:val="decimal"/>
      <w:suff w:val="nothing"/>
      <w:lvlText w:val="%1、"/>
      <w:lvlJc w:val="left"/>
    </w:lvl>
  </w:abstractNum>
  <w:abstractNum w:abstractNumId="5">
    <w:nsid w:val="2967F80C"/>
    <w:multiLevelType w:val="singleLevel"/>
    <w:tmpl w:val="2967F80C"/>
    <w:lvl w:ilvl="0" w:tentative="0">
      <w:start w:val="2"/>
      <w:numFmt w:val="chineseCounting"/>
      <w:suff w:val="nothing"/>
      <w:lvlText w:val="%1、"/>
      <w:lvlJc w:val="left"/>
      <w:rPr>
        <w:rFonts w:hint="eastAsia"/>
      </w:rPr>
    </w:lvl>
  </w:abstractNum>
  <w:abstractNum w:abstractNumId="6">
    <w:nsid w:val="332180CC"/>
    <w:multiLevelType w:val="singleLevel"/>
    <w:tmpl w:val="332180CC"/>
    <w:lvl w:ilvl="0" w:tentative="0">
      <w:start w:val="1"/>
      <w:numFmt w:val="chineseCounting"/>
      <w:suff w:val="space"/>
      <w:lvlText w:val="第%1部分"/>
      <w:lvlJc w:val="left"/>
      <w:rPr>
        <w:rFonts w:hint="eastAsia"/>
      </w:rPr>
    </w:lvl>
  </w:abstractNum>
  <w:abstractNum w:abstractNumId="7">
    <w:nsid w:val="3DB7A666"/>
    <w:multiLevelType w:val="singleLevel"/>
    <w:tmpl w:val="3DB7A666"/>
    <w:lvl w:ilvl="0" w:tentative="0">
      <w:start w:val="4"/>
      <w:numFmt w:val="decimal"/>
      <w:suff w:val="nothing"/>
      <w:lvlText w:val="%1、"/>
      <w:lvlJc w:val="left"/>
    </w:lvl>
  </w:abstractNum>
  <w:abstractNum w:abstractNumId="8">
    <w:nsid w:val="48B95A4F"/>
    <w:multiLevelType w:val="singleLevel"/>
    <w:tmpl w:val="48B95A4F"/>
    <w:lvl w:ilvl="0" w:tentative="0">
      <w:start w:val="4"/>
      <w:numFmt w:val="chineseCounting"/>
      <w:suff w:val="space"/>
      <w:lvlText w:val="第%1部分"/>
      <w:lvlJc w:val="left"/>
      <w:rPr>
        <w:rFonts w:hint="eastAsia"/>
      </w:rPr>
    </w:lvl>
  </w:abstractNum>
  <w:abstractNum w:abstractNumId="9">
    <w:nsid w:val="56180F80"/>
    <w:multiLevelType w:val="singleLevel"/>
    <w:tmpl w:val="56180F80"/>
    <w:lvl w:ilvl="0" w:tentative="0">
      <w:start w:val="3"/>
      <w:numFmt w:val="chineseCounting"/>
      <w:suff w:val="space"/>
      <w:lvlText w:val="第%1部分"/>
      <w:lvlJc w:val="left"/>
      <w:rPr>
        <w:rFonts w:hint="eastAsia"/>
      </w:rPr>
    </w:lvl>
  </w:abstractNum>
  <w:abstractNum w:abstractNumId="10">
    <w:nsid w:val="6E1456A2"/>
    <w:multiLevelType w:val="singleLevel"/>
    <w:tmpl w:val="6E1456A2"/>
    <w:lvl w:ilvl="0" w:tentative="0">
      <w:start w:val="4"/>
      <w:numFmt w:val="chineseCounting"/>
      <w:suff w:val="nothing"/>
      <w:lvlText w:val="%1、"/>
      <w:lvlJc w:val="left"/>
      <w:rPr>
        <w:rFonts w:hint="eastAsia"/>
      </w:rPr>
    </w:lvl>
  </w:abstractNum>
  <w:num w:numId="1">
    <w:abstractNumId w:val="6"/>
  </w:num>
  <w:num w:numId="2">
    <w:abstractNumId w:val="10"/>
  </w:num>
  <w:num w:numId="3">
    <w:abstractNumId w:val="1"/>
  </w:num>
  <w:num w:numId="4">
    <w:abstractNumId w:val="9"/>
  </w:num>
  <w:num w:numId="5">
    <w:abstractNumId w:val="5"/>
  </w:num>
  <w:num w:numId="6">
    <w:abstractNumId w:val="4"/>
  </w:num>
  <w:num w:numId="7">
    <w:abstractNumId w:val="3"/>
  </w:num>
  <w:num w:numId="8">
    <w:abstractNumId w:val="7"/>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B9"/>
    <w:rsid w:val="00000C59"/>
    <w:rsid w:val="00011149"/>
    <w:rsid w:val="00012CF3"/>
    <w:rsid w:val="00035964"/>
    <w:rsid w:val="0006052F"/>
    <w:rsid w:val="00061ED4"/>
    <w:rsid w:val="00064565"/>
    <w:rsid w:val="00080727"/>
    <w:rsid w:val="00080AF3"/>
    <w:rsid w:val="00081D4A"/>
    <w:rsid w:val="00087660"/>
    <w:rsid w:val="000935A3"/>
    <w:rsid w:val="00096BDB"/>
    <w:rsid w:val="000A341C"/>
    <w:rsid w:val="000B08D3"/>
    <w:rsid w:val="000B3599"/>
    <w:rsid w:val="000B3A86"/>
    <w:rsid w:val="000C31B6"/>
    <w:rsid w:val="000C3FCB"/>
    <w:rsid w:val="000C5EA9"/>
    <w:rsid w:val="000D3C35"/>
    <w:rsid w:val="00105658"/>
    <w:rsid w:val="00136916"/>
    <w:rsid w:val="00142A2B"/>
    <w:rsid w:val="00156BC7"/>
    <w:rsid w:val="00161846"/>
    <w:rsid w:val="00186927"/>
    <w:rsid w:val="00190A01"/>
    <w:rsid w:val="00192C39"/>
    <w:rsid w:val="00193E26"/>
    <w:rsid w:val="00197BDE"/>
    <w:rsid w:val="001B3B3B"/>
    <w:rsid w:val="001B7AC4"/>
    <w:rsid w:val="001D10F5"/>
    <w:rsid w:val="001E1CF2"/>
    <w:rsid w:val="001E72A4"/>
    <w:rsid w:val="001E75CB"/>
    <w:rsid w:val="001F655D"/>
    <w:rsid w:val="00201D29"/>
    <w:rsid w:val="00207148"/>
    <w:rsid w:val="00207FE0"/>
    <w:rsid w:val="00212032"/>
    <w:rsid w:val="0022308A"/>
    <w:rsid w:val="0022395D"/>
    <w:rsid w:val="002258FE"/>
    <w:rsid w:val="0022669B"/>
    <w:rsid w:val="002304D8"/>
    <w:rsid w:val="00236EC0"/>
    <w:rsid w:val="0025232C"/>
    <w:rsid w:val="0026438A"/>
    <w:rsid w:val="00267516"/>
    <w:rsid w:val="00275A16"/>
    <w:rsid w:val="002840B7"/>
    <w:rsid w:val="00285E7D"/>
    <w:rsid w:val="0028658E"/>
    <w:rsid w:val="002971D0"/>
    <w:rsid w:val="002A0EA8"/>
    <w:rsid w:val="002A5DF6"/>
    <w:rsid w:val="002A765E"/>
    <w:rsid w:val="002A7900"/>
    <w:rsid w:val="002B1C49"/>
    <w:rsid w:val="002C209A"/>
    <w:rsid w:val="002C2C14"/>
    <w:rsid w:val="002D0A08"/>
    <w:rsid w:val="002D2D0A"/>
    <w:rsid w:val="002D2F08"/>
    <w:rsid w:val="002E61AF"/>
    <w:rsid w:val="002F34D5"/>
    <w:rsid w:val="002F49F3"/>
    <w:rsid w:val="002F7880"/>
    <w:rsid w:val="00302B50"/>
    <w:rsid w:val="0031099A"/>
    <w:rsid w:val="0031226D"/>
    <w:rsid w:val="003148AB"/>
    <w:rsid w:val="00320EE9"/>
    <w:rsid w:val="0032234A"/>
    <w:rsid w:val="00351B49"/>
    <w:rsid w:val="00361C3C"/>
    <w:rsid w:val="003772F5"/>
    <w:rsid w:val="003838E6"/>
    <w:rsid w:val="0038723B"/>
    <w:rsid w:val="003A4E80"/>
    <w:rsid w:val="003C363B"/>
    <w:rsid w:val="003C3E8F"/>
    <w:rsid w:val="003C5468"/>
    <w:rsid w:val="003C5716"/>
    <w:rsid w:val="003C6EEF"/>
    <w:rsid w:val="003E1D11"/>
    <w:rsid w:val="003E4684"/>
    <w:rsid w:val="003E6148"/>
    <w:rsid w:val="003F00C8"/>
    <w:rsid w:val="003F0597"/>
    <w:rsid w:val="003F4BC9"/>
    <w:rsid w:val="0040078C"/>
    <w:rsid w:val="0040361E"/>
    <w:rsid w:val="00406BDF"/>
    <w:rsid w:val="00410016"/>
    <w:rsid w:val="00420D40"/>
    <w:rsid w:val="00422E92"/>
    <w:rsid w:val="00431E2D"/>
    <w:rsid w:val="00441E9B"/>
    <w:rsid w:val="00451C83"/>
    <w:rsid w:val="00454770"/>
    <w:rsid w:val="00456A3E"/>
    <w:rsid w:val="00463A4F"/>
    <w:rsid w:val="00463D1A"/>
    <w:rsid w:val="004700FE"/>
    <w:rsid w:val="00474A9B"/>
    <w:rsid w:val="004800F9"/>
    <w:rsid w:val="00481D8B"/>
    <w:rsid w:val="0048778E"/>
    <w:rsid w:val="004879BF"/>
    <w:rsid w:val="004924F5"/>
    <w:rsid w:val="00493AA8"/>
    <w:rsid w:val="00496A10"/>
    <w:rsid w:val="00497B2E"/>
    <w:rsid w:val="00497B8E"/>
    <w:rsid w:val="004A06DC"/>
    <w:rsid w:val="004C2C87"/>
    <w:rsid w:val="004C6070"/>
    <w:rsid w:val="004D2427"/>
    <w:rsid w:val="004D6C37"/>
    <w:rsid w:val="004E27D1"/>
    <w:rsid w:val="004F2762"/>
    <w:rsid w:val="00502D8F"/>
    <w:rsid w:val="00505A4E"/>
    <w:rsid w:val="00511657"/>
    <w:rsid w:val="00514630"/>
    <w:rsid w:val="00520D07"/>
    <w:rsid w:val="00522082"/>
    <w:rsid w:val="005312A8"/>
    <w:rsid w:val="005510AC"/>
    <w:rsid w:val="00554CF5"/>
    <w:rsid w:val="00572B2E"/>
    <w:rsid w:val="00577FCA"/>
    <w:rsid w:val="005804C1"/>
    <w:rsid w:val="00580862"/>
    <w:rsid w:val="00583217"/>
    <w:rsid w:val="005960BF"/>
    <w:rsid w:val="005A0BE5"/>
    <w:rsid w:val="005B0AF8"/>
    <w:rsid w:val="005B3AFA"/>
    <w:rsid w:val="005B7012"/>
    <w:rsid w:val="005D2436"/>
    <w:rsid w:val="005D4E06"/>
    <w:rsid w:val="005E03E7"/>
    <w:rsid w:val="005E382C"/>
    <w:rsid w:val="005E754B"/>
    <w:rsid w:val="005F00D0"/>
    <w:rsid w:val="005F1E46"/>
    <w:rsid w:val="005F6F3D"/>
    <w:rsid w:val="006204BE"/>
    <w:rsid w:val="00624F27"/>
    <w:rsid w:val="00626E26"/>
    <w:rsid w:val="00626F27"/>
    <w:rsid w:val="00627312"/>
    <w:rsid w:val="00631383"/>
    <w:rsid w:val="00640D91"/>
    <w:rsid w:val="00644827"/>
    <w:rsid w:val="00644939"/>
    <w:rsid w:val="00653ED0"/>
    <w:rsid w:val="00654246"/>
    <w:rsid w:val="00661455"/>
    <w:rsid w:val="006671BD"/>
    <w:rsid w:val="006759E2"/>
    <w:rsid w:val="00682B9C"/>
    <w:rsid w:val="006A1330"/>
    <w:rsid w:val="006B1E10"/>
    <w:rsid w:val="006B74D7"/>
    <w:rsid w:val="006C0573"/>
    <w:rsid w:val="006C6983"/>
    <w:rsid w:val="006D23CA"/>
    <w:rsid w:val="006E410E"/>
    <w:rsid w:val="006E4591"/>
    <w:rsid w:val="006E794C"/>
    <w:rsid w:val="00700EE2"/>
    <w:rsid w:val="00700FC3"/>
    <w:rsid w:val="00701FB2"/>
    <w:rsid w:val="00704331"/>
    <w:rsid w:val="00711B99"/>
    <w:rsid w:val="007243CA"/>
    <w:rsid w:val="007244FE"/>
    <w:rsid w:val="00754CE4"/>
    <w:rsid w:val="00772240"/>
    <w:rsid w:val="0078018F"/>
    <w:rsid w:val="00786E3E"/>
    <w:rsid w:val="0079500E"/>
    <w:rsid w:val="007969FE"/>
    <w:rsid w:val="007B6C90"/>
    <w:rsid w:val="007C1994"/>
    <w:rsid w:val="007C323D"/>
    <w:rsid w:val="007C42A9"/>
    <w:rsid w:val="007D271A"/>
    <w:rsid w:val="007E7F90"/>
    <w:rsid w:val="007F7350"/>
    <w:rsid w:val="00807BA3"/>
    <w:rsid w:val="00810B75"/>
    <w:rsid w:val="00812A81"/>
    <w:rsid w:val="00813E33"/>
    <w:rsid w:val="0081400C"/>
    <w:rsid w:val="00817F0F"/>
    <w:rsid w:val="00827A25"/>
    <w:rsid w:val="00860BC5"/>
    <w:rsid w:val="008634B2"/>
    <w:rsid w:val="00870E70"/>
    <w:rsid w:val="0087109C"/>
    <w:rsid w:val="0087197A"/>
    <w:rsid w:val="00871A09"/>
    <w:rsid w:val="00873FC8"/>
    <w:rsid w:val="00881797"/>
    <w:rsid w:val="00884F61"/>
    <w:rsid w:val="0089072F"/>
    <w:rsid w:val="0089743C"/>
    <w:rsid w:val="008A3AE7"/>
    <w:rsid w:val="008A49CA"/>
    <w:rsid w:val="008B0CB9"/>
    <w:rsid w:val="008B3954"/>
    <w:rsid w:val="008B3AE0"/>
    <w:rsid w:val="008B47C7"/>
    <w:rsid w:val="008F0946"/>
    <w:rsid w:val="008F6938"/>
    <w:rsid w:val="00901BD1"/>
    <w:rsid w:val="00903EF4"/>
    <w:rsid w:val="0090529D"/>
    <w:rsid w:val="00905BBC"/>
    <w:rsid w:val="00907179"/>
    <w:rsid w:val="00914AEB"/>
    <w:rsid w:val="009248BA"/>
    <w:rsid w:val="00925F1B"/>
    <w:rsid w:val="00954A09"/>
    <w:rsid w:val="00956A4E"/>
    <w:rsid w:val="0096439E"/>
    <w:rsid w:val="00966055"/>
    <w:rsid w:val="00972DD8"/>
    <w:rsid w:val="00973E2D"/>
    <w:rsid w:val="00982901"/>
    <w:rsid w:val="00994A73"/>
    <w:rsid w:val="009A40A3"/>
    <w:rsid w:val="009B59DD"/>
    <w:rsid w:val="009B64B1"/>
    <w:rsid w:val="009C4505"/>
    <w:rsid w:val="009D0F6D"/>
    <w:rsid w:val="009D11E8"/>
    <w:rsid w:val="009D2083"/>
    <w:rsid w:val="009D3F12"/>
    <w:rsid w:val="009D5DE8"/>
    <w:rsid w:val="009D5FA9"/>
    <w:rsid w:val="009D7663"/>
    <w:rsid w:val="009F14E2"/>
    <w:rsid w:val="009F6037"/>
    <w:rsid w:val="009F72B3"/>
    <w:rsid w:val="00A02A2D"/>
    <w:rsid w:val="00A04082"/>
    <w:rsid w:val="00A14798"/>
    <w:rsid w:val="00A17370"/>
    <w:rsid w:val="00A32EC8"/>
    <w:rsid w:val="00A33536"/>
    <w:rsid w:val="00A564FF"/>
    <w:rsid w:val="00A76CEB"/>
    <w:rsid w:val="00A8091F"/>
    <w:rsid w:val="00A8342E"/>
    <w:rsid w:val="00A83599"/>
    <w:rsid w:val="00A919F5"/>
    <w:rsid w:val="00A92B6F"/>
    <w:rsid w:val="00A92CE3"/>
    <w:rsid w:val="00A93AE3"/>
    <w:rsid w:val="00A943A9"/>
    <w:rsid w:val="00A9612F"/>
    <w:rsid w:val="00AA16F1"/>
    <w:rsid w:val="00AA30A9"/>
    <w:rsid w:val="00AA4275"/>
    <w:rsid w:val="00AA42E9"/>
    <w:rsid w:val="00AB129B"/>
    <w:rsid w:val="00AD0EF3"/>
    <w:rsid w:val="00AD2359"/>
    <w:rsid w:val="00AD4496"/>
    <w:rsid w:val="00AE54DF"/>
    <w:rsid w:val="00AF3FD1"/>
    <w:rsid w:val="00AF64C5"/>
    <w:rsid w:val="00AF7006"/>
    <w:rsid w:val="00B0282F"/>
    <w:rsid w:val="00B06969"/>
    <w:rsid w:val="00B06FC1"/>
    <w:rsid w:val="00B12354"/>
    <w:rsid w:val="00B26656"/>
    <w:rsid w:val="00B35961"/>
    <w:rsid w:val="00B42E41"/>
    <w:rsid w:val="00B475F5"/>
    <w:rsid w:val="00B674EF"/>
    <w:rsid w:val="00B819B6"/>
    <w:rsid w:val="00B92B9E"/>
    <w:rsid w:val="00BA272D"/>
    <w:rsid w:val="00BA3121"/>
    <w:rsid w:val="00BA33B4"/>
    <w:rsid w:val="00BA79D3"/>
    <w:rsid w:val="00BB22FE"/>
    <w:rsid w:val="00BB2A28"/>
    <w:rsid w:val="00BB6C96"/>
    <w:rsid w:val="00BC3AD7"/>
    <w:rsid w:val="00BC714C"/>
    <w:rsid w:val="00BC78D9"/>
    <w:rsid w:val="00BD26E9"/>
    <w:rsid w:val="00BD409B"/>
    <w:rsid w:val="00BE2416"/>
    <w:rsid w:val="00C0197B"/>
    <w:rsid w:val="00C07AB9"/>
    <w:rsid w:val="00C11B75"/>
    <w:rsid w:val="00C2405A"/>
    <w:rsid w:val="00C30850"/>
    <w:rsid w:val="00C36A1A"/>
    <w:rsid w:val="00C50AFA"/>
    <w:rsid w:val="00C51976"/>
    <w:rsid w:val="00C677B2"/>
    <w:rsid w:val="00C80E74"/>
    <w:rsid w:val="00C91D10"/>
    <w:rsid w:val="00CA63F0"/>
    <w:rsid w:val="00CB4420"/>
    <w:rsid w:val="00CB72FB"/>
    <w:rsid w:val="00CC1E82"/>
    <w:rsid w:val="00CD505B"/>
    <w:rsid w:val="00CD6545"/>
    <w:rsid w:val="00CD761D"/>
    <w:rsid w:val="00CE0455"/>
    <w:rsid w:val="00CE0DD6"/>
    <w:rsid w:val="00CE2A50"/>
    <w:rsid w:val="00CE5C18"/>
    <w:rsid w:val="00CF12E0"/>
    <w:rsid w:val="00CF55D0"/>
    <w:rsid w:val="00D10B1A"/>
    <w:rsid w:val="00D11FF2"/>
    <w:rsid w:val="00D21EE7"/>
    <w:rsid w:val="00D307BE"/>
    <w:rsid w:val="00D40142"/>
    <w:rsid w:val="00D4463C"/>
    <w:rsid w:val="00D514F7"/>
    <w:rsid w:val="00D574D3"/>
    <w:rsid w:val="00D6426A"/>
    <w:rsid w:val="00D6488A"/>
    <w:rsid w:val="00D652B3"/>
    <w:rsid w:val="00D72838"/>
    <w:rsid w:val="00D73CB5"/>
    <w:rsid w:val="00D7616B"/>
    <w:rsid w:val="00D802F3"/>
    <w:rsid w:val="00DA0A82"/>
    <w:rsid w:val="00DA59FB"/>
    <w:rsid w:val="00DA7AAE"/>
    <w:rsid w:val="00DB6045"/>
    <w:rsid w:val="00DD1068"/>
    <w:rsid w:val="00DD50E7"/>
    <w:rsid w:val="00DE1228"/>
    <w:rsid w:val="00E02F79"/>
    <w:rsid w:val="00E05E6A"/>
    <w:rsid w:val="00E10458"/>
    <w:rsid w:val="00E104DC"/>
    <w:rsid w:val="00E11D78"/>
    <w:rsid w:val="00E252D5"/>
    <w:rsid w:val="00E3088B"/>
    <w:rsid w:val="00E37FB6"/>
    <w:rsid w:val="00E4265C"/>
    <w:rsid w:val="00E510E0"/>
    <w:rsid w:val="00E534A0"/>
    <w:rsid w:val="00E57143"/>
    <w:rsid w:val="00E63A51"/>
    <w:rsid w:val="00E6750B"/>
    <w:rsid w:val="00E805DD"/>
    <w:rsid w:val="00E87ED2"/>
    <w:rsid w:val="00E915CC"/>
    <w:rsid w:val="00E947BC"/>
    <w:rsid w:val="00EA479A"/>
    <w:rsid w:val="00EB02A0"/>
    <w:rsid w:val="00EB21BD"/>
    <w:rsid w:val="00EC0658"/>
    <w:rsid w:val="00EC32D0"/>
    <w:rsid w:val="00EC4541"/>
    <w:rsid w:val="00EE01E7"/>
    <w:rsid w:val="00EE5DDC"/>
    <w:rsid w:val="00EE6403"/>
    <w:rsid w:val="00EE7483"/>
    <w:rsid w:val="00EF16C2"/>
    <w:rsid w:val="00EF4625"/>
    <w:rsid w:val="00F0442A"/>
    <w:rsid w:val="00F061F5"/>
    <w:rsid w:val="00F148B3"/>
    <w:rsid w:val="00F21070"/>
    <w:rsid w:val="00F221A3"/>
    <w:rsid w:val="00F23060"/>
    <w:rsid w:val="00F234E9"/>
    <w:rsid w:val="00F250A8"/>
    <w:rsid w:val="00F31309"/>
    <w:rsid w:val="00F32C4A"/>
    <w:rsid w:val="00F33E1F"/>
    <w:rsid w:val="00F34313"/>
    <w:rsid w:val="00F41C50"/>
    <w:rsid w:val="00F61473"/>
    <w:rsid w:val="00F63AAD"/>
    <w:rsid w:val="00F75DE4"/>
    <w:rsid w:val="00F801D5"/>
    <w:rsid w:val="00F83ADA"/>
    <w:rsid w:val="00F87993"/>
    <w:rsid w:val="00F9489D"/>
    <w:rsid w:val="00F9519A"/>
    <w:rsid w:val="00FA46A5"/>
    <w:rsid w:val="00FB569A"/>
    <w:rsid w:val="00FC2BFE"/>
    <w:rsid w:val="00FD3187"/>
    <w:rsid w:val="00FD4974"/>
    <w:rsid w:val="00FD60DE"/>
    <w:rsid w:val="086C3668"/>
    <w:rsid w:val="0B48160E"/>
    <w:rsid w:val="0F9C6FC2"/>
    <w:rsid w:val="137E27E9"/>
    <w:rsid w:val="13DC5AA7"/>
    <w:rsid w:val="14804D78"/>
    <w:rsid w:val="16E1526B"/>
    <w:rsid w:val="170932D6"/>
    <w:rsid w:val="1B0D0FE5"/>
    <w:rsid w:val="24975298"/>
    <w:rsid w:val="280F252C"/>
    <w:rsid w:val="30E147FC"/>
    <w:rsid w:val="316C0B59"/>
    <w:rsid w:val="37DA4B0A"/>
    <w:rsid w:val="4F0C1A35"/>
    <w:rsid w:val="52355B2E"/>
    <w:rsid w:val="571E4DD1"/>
    <w:rsid w:val="59A313A0"/>
    <w:rsid w:val="62F1328C"/>
    <w:rsid w:val="6ADC7273"/>
    <w:rsid w:val="6DE46CA9"/>
    <w:rsid w:val="6E9B565F"/>
    <w:rsid w:val="78F2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59"/>
    <w:rPr>
      <w:rFonts w:eastAsia="Times New Roman"/>
      <w:sz w:val="22"/>
      <w:szCs w:val="22"/>
      <w:lang w:eastAsia="en-US"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
    <w:name w:val="页眉 字符"/>
    <w:link w:val="3"/>
    <w:uiPriority w:val="99"/>
    <w:rPr>
      <w:kern w:val="2"/>
      <w:sz w:val="18"/>
      <w:szCs w:val="18"/>
    </w:rPr>
  </w:style>
  <w:style w:type="character" w:customStyle="1" w:styleId="9">
    <w:name w:val="页脚 字符"/>
    <w:link w:val="2"/>
    <w:qFormat/>
    <w:uiPriority w:val="99"/>
    <w:rPr>
      <w:kern w:val="2"/>
      <w:sz w:val="18"/>
      <w:szCs w:val="18"/>
    </w:rPr>
  </w:style>
  <w:style w:type="paragraph" w:styleId="10">
    <w:name w:val="List Paragraph"/>
    <w:basedOn w:val="1"/>
    <w:qFormat/>
    <w:uiPriority w:val="34"/>
    <w:pPr>
      <w:ind w:firstLine="420" w:firstLineChars="200"/>
    </w:pPr>
  </w:style>
  <w:style w:type="paragraph" w:customStyle="1" w:styleId="11">
    <w:name w:val="_Style 23"/>
    <w:basedOn w:val="1"/>
    <w:next w:val="10"/>
    <w:qFormat/>
    <w:uiPriority w:val="34"/>
    <w:pPr>
      <w:ind w:firstLine="420" w:firstLineChars="200"/>
    </w:pPr>
    <w:rPr>
      <w:rFonts w:ascii="Calibri" w:hAnsi="Calibri"/>
    </w:rPr>
  </w:style>
  <w:style w:type="character" w:customStyle="1" w:styleId="1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在校生</c:v>
                </c:pt>
              </c:strCache>
            </c:strRef>
          </c:tx>
          <c:spPr>
            <a:solidFill>
              <a:schemeClr val="accent1"/>
            </a:solidFill>
            <a:ln>
              <a:noFill/>
            </a:ln>
            <a:effectLst/>
          </c:spPr>
          <c:invertIfNegative val="0"/>
          <c:dLbls>
            <c:delete val="1"/>
          </c:dLbls>
          <c:cat>
            <c:strRef>
              <c:f>Sheet1!$A$2:$A$3</c:f>
              <c:strCache>
                <c:ptCount val="2"/>
                <c:pt idx="0">
                  <c:v>2020年</c:v>
                </c:pt>
                <c:pt idx="1">
                  <c:v>2021年</c:v>
                </c:pt>
              </c:strCache>
            </c:strRef>
          </c:cat>
          <c:val>
            <c:numRef>
              <c:f>Sheet1!$B$2:$B$3</c:f>
              <c:numCache>
                <c:formatCode>General</c:formatCode>
                <c:ptCount val="2"/>
                <c:pt idx="0">
                  <c:v>2223</c:v>
                </c:pt>
                <c:pt idx="1">
                  <c:v>2252</c:v>
                </c:pt>
              </c:numCache>
            </c:numRef>
          </c:val>
        </c:ser>
        <c:dLbls>
          <c:showLegendKey val="0"/>
          <c:showVal val="0"/>
          <c:showCatName val="0"/>
          <c:showSerName val="0"/>
          <c:showPercent val="0"/>
          <c:showBubbleSize val="0"/>
        </c:dLbls>
        <c:gapWidth val="219"/>
        <c:overlap val="-27"/>
        <c:axId val="465885873"/>
        <c:axId val="95086787"/>
      </c:barChart>
      <c:catAx>
        <c:axId val="46588587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086787"/>
        <c:crosses val="autoZero"/>
        <c:auto val="1"/>
        <c:lblAlgn val="ctr"/>
        <c:lblOffset val="100"/>
        <c:noMultiLvlLbl val="0"/>
      </c:catAx>
      <c:valAx>
        <c:axId val="950867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5885873"/>
        <c:crosses val="autoZero"/>
        <c:crossBetween val="between"/>
      </c:valAx>
      <c:spPr>
        <a:noFill/>
        <a:ln>
          <a:noFill/>
        </a:ln>
        <a:effectLst/>
      </c:spPr>
    </c:plotArea>
    <c:legend>
      <c:legendPos val="b"/>
      <c:layout>
        <c:manualLayout>
          <c:xMode val="edge"/>
          <c:yMode val="edge"/>
          <c:x val="0.447125"/>
          <c:y val="0.924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4113</Words>
  <Characters>23445</Characters>
  <Lines>195</Lines>
  <Paragraphs>55</Paragraphs>
  <TotalTime>3</TotalTime>
  <ScaleCrop>false</ScaleCrop>
  <LinksUpToDate>false</LinksUpToDate>
  <CharactersWithSpaces>27503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2021-01-28T08:36:00Z</dcterms:created>
  <dc:creator>Administrator</dc:creator>
  <cp:lastModifiedBy>xb5</cp:lastModifiedBy>
  <cp:lastPrinted>2021-01-28T08:38:00Z</cp:lastPrinted>
  <dcterms:modified xsi:type="dcterms:W3CDTF">2021-11-16T09:54:00Z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9FBFE2B37AF14DC48C467BA4B8440192</vt:lpwstr>
  </property>
</Properties>
</file>