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00" w:lineRule="exact"/>
        <w:ind w:left="0" w:leftChars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仿宋_GB2312"/>
          <w:sz w:val="32"/>
          <w:lang w:eastAsia="zh-CN"/>
        </w:rPr>
      </w:pPr>
      <w:r>
        <w:drawing>
          <wp:anchor distT="0" distB="0" distL="0" distR="0" simplePos="0" relativeHeight="1024" behindDoc="1" locked="1" layoutInCell="1" allowOverlap="1">
            <wp:simplePos x="0" y="0"/>
            <wp:positionH relativeFrom="page">
              <wp:posOffset>1021080</wp:posOffset>
            </wp:positionH>
            <wp:positionV relativeFrom="page">
              <wp:posOffset>1584960</wp:posOffset>
            </wp:positionV>
            <wp:extent cx="5537200" cy="826770"/>
            <wp:effectExtent l="0" t="0" r="10160" b="11430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8267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87"/>
          <w:w w:val="80"/>
          <w:sz w:val="74"/>
          <w:szCs w:val="74"/>
          <w:highlight w:val="none"/>
          <w:shd w:val="clear" w:color="auto" w:fill="FFFFFF"/>
          <w:lang w:eastAsia="zh-CN"/>
        </w:rPr>
        <w:t>南阳市教育局科室函件</w:t>
      </w:r>
      <w:r>
        <w:rPr>
          <w:rFonts w:hint="eastAsia" w:ascii="Times New Roman" w:hAnsi="Times New Roman" w:eastAsia="仿宋_GB2312"/>
          <w:color w:val="FF0000"/>
          <w:sz w:val="32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eastAsia="zh-CN"/>
        </w:rPr>
        <w:t>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112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关于组织收看 2022 年“双百”活动中央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和国家机关专场报告会的通知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各县区教体局（教育局），城乡一体化示范区教育中心，鸭河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、官庄工区社会事业局，油田教育中心，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市直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7月22日上午10时，中央组织部、中央宣传部、中央政法委、中央和国家机关工委、教育部、司法部、中国法学会联合举办“双百”2022 年中央和国家机关专场报告会。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中国法学会副会长、全国人大监察和司法委员会副主任委员徐显明作“坚持建设中国特色社会主义法治体系”宣讲报告。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根据省教育厅要求，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市直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学校认真组织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</w:rPr>
        <w:t>收看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收看情况（人数、照片等）于 7月22日下午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前反馈至电子邮箱：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changluli@163.com。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收看方式：扫描下页二维码进入央视频 APP 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电话：037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63163605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南阳市教育局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2022年7月20日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w:drawing>
          <wp:inline distT="0" distB="0" distL="0" distR="0">
            <wp:extent cx="5268595" cy="7451090"/>
            <wp:effectExtent l="0" t="0" r="4445" b="1270"/>
            <wp:docPr id="1027" name="图片 2" descr="关于组织收看双百专场报告会的通知 _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关于组织收看双百专场报告会的通知 _01"/>
                    <pic:cNvPicPr/>
                  </pic:nvPicPr>
                  <pic:blipFill>
                    <a:blip r:embed="rId6" cstate="print"/>
                    <a:srcRect l="-1926" t="-9772" r="1453" b="919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JW--GB1-0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04D85"/>
    <w:rsid w:val="62040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fontstyle01"/>
    <w:basedOn w:val="5"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324</Words>
  <Characters>372</Characters>
  <Paragraphs>16</Paragraphs>
  <TotalTime>4</TotalTime>
  <ScaleCrop>false</ScaleCrop>
  <LinksUpToDate>false</LinksUpToDate>
  <CharactersWithSpaces>434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2019-07-10T08:53:00Z</dcterms:created>
  <dc:creator>User</dc:creator>
  <cp:lastModifiedBy>Administrator</cp:lastModifiedBy>
  <cp:lastPrinted>2022-02-11T15:49:00Z</cp:lastPrinted>
  <dcterms:modified xsi:type="dcterms:W3CDTF">2022-07-26T09:09:10Z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211B14D003374E54851F5FB3805E5FD6</vt:lpwstr>
  </property>
</Properties>
</file>