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方城县20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年国民经济和社会发展统计公报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宋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32" w:leftChars="6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年，全县上下以习近平新时代中国特色社会主义思想为指导，深入学习贯彻党的二十大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和二十届一中、二中全会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精神，坚持稳中求进工作总基调，完整、准确、全面贯彻新发展理念，加快构建新发展格局，高质量发展扎实推进，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为建强市域副中心城市提供坚强支撑。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32" w:leftChars="60" w:firstLine="640" w:firstLineChars="200"/>
        <w:jc w:val="both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初步核算，全年全县实现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生产总值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308.0亿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元，按可比价格计算，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%。其中，第一产业增加值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60.0亿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%；第二产业增加值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87.6亿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%；第三产业增加值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160.4亿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%，三次产业结构比例为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19.5:28.4:52.1。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年末全县常住人口84.88万人，城镇化率46.09%。按照城乡分：城镇人口39.12万人，乡村人口45.76万人；按性别分：男性42.65万人，女性42.23万人；其中出生人口0.62万人，死亡人口0.64万人，人口自然增长率-0.22‰。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全年居民消费价格总指数为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%，比上年上升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个百分点，其中：食品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烟酒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类价格指数为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下降0.3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个百分点；商品零售价格指数为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：20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333333"/>
          <w:sz w:val="32"/>
          <w:szCs w:val="32"/>
        </w:rPr>
        <w:t>年居民消费价格指数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（以上年为100）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居民消费价格指数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一、食品烟酒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粮食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鲜菜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畜肉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水产品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蛋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鲜果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二、衣着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三、居住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四、生活用品及服务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五、交通和通信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六、教育文化和娱乐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七、医疗保健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八、其他用品和服务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103.3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全年城镇新增就业人员11794人；城镇失业人员再就业2673人；就业困难人员再就业1186人；城镇登记失业率控制在4.5%以内；新增农村劳动力转移就业30500人；新增农民工返乡创业5917人；为创业人员发放创业担保贷款308笔9390万元；开展创业培训1563人次；开展各类农村劳动力职业技能培训班75期4635人，其中“两类人员”职业技能培训648人，发放生活补贴28050元；全县16-60周岁有劳动能力有就业意愿的建档立卡脱贫人口、边缘易致贫人口转移就业13393人，其中居家灵活就业1962人；开发公益性岗位安置3584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年全年粮食播种面积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公顷，其中：夏粮种植面积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公顷，秋粮种植面积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7.9万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油料面积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增加0.02万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公顷；烟叶种植面积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公顷，比上年减少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0.01万公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全年粮食总产量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71.6万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吨。油料总产量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28.0万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增长9.0%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；烟叶总产量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0.7万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吨，比上年下降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11.0%；蔬菜总产量106.1万吨，增长6.1%；瓜果总产量5.0万吨，增长37.8%。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全年全县禽蛋产量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万吨，比上年下降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奶产量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%。全年全县猪存栏量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69.0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万头，比上年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%；猪出栏量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万头，比上年增长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%。牛存栏量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万头，比上年下降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%；牛出栏量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万头，比上年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%。羊存栏量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万只，比上年下降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%；羊出栏量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万只，比上年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下降12.9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家禽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存栏量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万只，比上年下降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家禽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出栏量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万只，比上年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下降6.5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工业和建筑业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全年规模以上工业企业增加值比上年增长6.7%，其中，国有控股企业增加值比上年下降14%，股份制企业增加值比上年增长7%；轻工业增加值比上年下降5.1%，重工业增加值比上年增长7.8%。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全年高新技术产业工业增加值比上年增长2.5%,占规模以上工业增加值的比重为77.9%。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全县规模以上工业企业实现营业务收入同比增长7.7%；利润总额同比下降28.3%。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产业集聚区内规模以上工业企业完成营业务收入同比增长6.8%；从业人员达到8116人，比上年下降3.5%。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全年全社会建筑业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总产值13.2亿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同比增长10.7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32" w:leftChars="60" w:firstLine="640" w:firstLineChars="200"/>
        <w:textAlignment w:val="auto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全年固定资产投资(不含农户）比上年增长7.3%，其中，第一产业同比下降63.1%；第二产业同比增长1.3%；第三产业同比增长21.4%。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全县500万元及以上施工项目个数285个，其中亿元以上新开工项目个数43个。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全县房地产开发投资16.8亿元，比上年下降3.2%；商品房销售面积60.7万平方米，比上年增长10.6%。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2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Lines="5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年固定资产投资完成情况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指标名称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比上年增长（%）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一、投资完成额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其中：工业投资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其中：房地产开发投资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其中：基础设施投资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其中：民间投资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1.按产业分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第一产业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-63.1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第二产业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第三产业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2.按行业分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农林牧渔业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-59.2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批发和零售业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-27.8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房地产业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-3.2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水利、环境和公共设施管理业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95.9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262.9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公共管理、社会保障和社会组织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租赁和商务服务业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-100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95.4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五、国内贸易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全年社会消费品零售总额实现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%。分城乡看，城镇消费品零售额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增长6.8</w:t>
      </w:r>
      <w:r>
        <w:rPr>
          <w:rFonts w:hint="eastAsia" w:ascii="仿宋_GB2312" w:hAnsi="仿宋_GB2312" w:eastAsia="仿宋_GB2312" w:cs="仿宋_GB2312"/>
          <w:sz w:val="32"/>
          <w:szCs w:val="32"/>
        </w:rPr>
        <w:t>%；农村消费品零售额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%。其中：限额以上社会消费品零售总额实现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%。分行业看，全县限额以上法人批发业实现零售额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元，同比增长42%，限额以上法人零售业实现零售额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19.4亿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元，同比下降0.8%，限额以上法人住宿业实现零售额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元，同比增长13.0%，限额以上法人餐饮业实现零售额2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元，同比下降1.8%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六、对外经济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_GB2312" w:cs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全年进出口总额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实现3.6亿元，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全年实际利用外商直接投资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万美元。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99" w:leftChars="136" w:firstLine="161" w:firstLineChars="5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七</w:t>
      </w:r>
      <w:r>
        <w:rPr>
          <w:rFonts w:hint="eastAsia" w:ascii="黑体" w:hAnsi="黑体" w:eastAsia="黑体" w:cs="宋体"/>
          <w:sz w:val="32"/>
          <w:szCs w:val="32"/>
        </w:rPr>
        <w:t>、交通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宋体"/>
          <w:sz w:val="32"/>
          <w:szCs w:val="32"/>
        </w:rPr>
        <w:t>旅游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2023年公路运输完成货物周转量</w:t>
      </w:r>
      <w:r>
        <w:rPr>
          <w:rFonts w:ascii="仿宋_GB2312" w:hAnsi="仿宋_GB2312" w:eastAsia="仿宋_GB2312" w:cs="仿宋_GB2312"/>
          <w:sz w:val="32"/>
          <w:szCs w:val="32"/>
        </w:rPr>
        <w:t>918025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万吨公里，旅客周转量</w:t>
      </w:r>
      <w:r>
        <w:rPr>
          <w:rFonts w:ascii="仿宋_GB2312" w:hAnsi="仿宋_GB2312" w:eastAsia="仿宋_GB2312" w:cs="仿宋_GB2312"/>
          <w:sz w:val="32"/>
          <w:szCs w:val="32"/>
        </w:rPr>
        <w:t>21342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万人公里。全县拥有各类公路总里程</w:t>
      </w:r>
      <w:r>
        <w:rPr>
          <w:rFonts w:ascii="仿宋_GB2312" w:hAnsi="仿宋_GB2312" w:eastAsia="仿宋_GB2312" w:cs="仿宋_GB2312"/>
          <w:sz w:val="32"/>
          <w:szCs w:val="32"/>
        </w:rPr>
        <w:t>3802.398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公里，其中：高速公路2条75.97公里（S81、S83）；国道2条121.1</w:t>
      </w:r>
      <w:r>
        <w:rPr>
          <w:rFonts w:ascii="仿宋_GB2312" w:hAnsi="仿宋_GB2312" w:eastAsia="仿宋_GB2312" w:cs="仿宋_GB2312"/>
          <w:sz w:val="32"/>
          <w:szCs w:val="32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公里，分别为G234兴阳线、G345启那线；省道8条2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416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公里，分别为S103郑淅线、S228卫新线、S233焦桐线、S323鹿方线、S328沈卢线、S329方淅线、S526杨小线、S333新方线；县道10条211.45公里，乡道56条666.753公里，村道2042.205公里;全县公路密度为每百平方公里149.</w:t>
      </w:r>
      <w:r>
        <w:rPr>
          <w:rFonts w:ascii="仿宋_GB2312" w:hAnsi="仿宋_GB2312" w:eastAsia="仿宋_GB2312" w:cs="仿宋_GB2312"/>
          <w:sz w:val="32"/>
          <w:szCs w:val="32"/>
        </w:rPr>
        <w:t>583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公里;行政村通水泥（油）路率达100%，行政村通班车辐射率达100%。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全年共接待境内外游客836万人次，比上年增长17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%，社会综合收入46亿元。年末全县拥有星级以上宾馆3家,4A级旅游景区3家。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八、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财政与</w:t>
      </w:r>
      <w:r>
        <w:rPr>
          <w:rFonts w:hint="eastAsia" w:ascii="黑体" w:hAnsi="黑体" w:eastAsia="黑体" w:cs="宋体"/>
          <w:sz w:val="32"/>
          <w:szCs w:val="32"/>
        </w:rPr>
        <w:t>金融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全年累计完成地方财政总收入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228488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%，地方公共财政一般预算收入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147820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%。其中，税收收入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98968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%，税收占地方公共财政预算收入的比重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%；非税收收入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48852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%。增值税完成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47647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万元，比上年下降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%；耕地占用税累计完成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6052万元，比上年增长5719.2%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；契税累计完成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8418万元，比上年增长13.6%；烟草税累计完成1145万元，比上年增长2%；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企业所得税完成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%；个人所得税完成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增长93.9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%。地方公共财政一般预算支出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563934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增长10.9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年末全县金融机构各项存款余额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454.4亿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同比增长14.6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%；年末全县金融机构各项贷款余额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252.8亿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同比增长19.2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宋体"/>
          <w:sz w:val="32"/>
          <w:szCs w:val="32"/>
        </w:rPr>
        <w:t>教育和科学技术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全县普通高中招生8580人，在校生26884人，毕业生8032人。各类中等职业教育招生2286人，在校生5936人，毕业生1422人。初中招生18758人，在校生54123人，毕业生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15815人。普通小学招生12275人，在校生91344人，毕业生18976人。特殊教育招生43人，在校生256人。学前教育在园（班、人数）22596人，学前教育入园（班、人数）218班5012人，离园（班、人数）226班7159人。2023年全县本科进线一本2124人、二本4488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年末共有产品质量监督检验机构1个。法定计量技术机构1个，完成强制产品认证的企业5家。全县92家加油站在用的燃油加油机进行了全面检定，至目前已经完成加油机检定1031枪次，受检率和合格率均为100%；共检定用于贸易结算的各类衡器387台，合格率100%，同时对超出检定能力的衡器发放检定通知书198份；血压计508台（件），合格率100%；压力表708块，其中合格681块，合格率96.1%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年末拥有国家级地震预警监测速报点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个，地电监测点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十、文化、卫生和体育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拥有国有专业艺术表演团1个，县级文化馆1个、博物馆1个、全国重点文物保护单位2处、省级文物保护单位13处、县级文物保护单位99处。国家级非物质文化遗产1项，省级3项，市级非物质文化遗产31项、县级非物质文化遗产68项。年末拥有乡镇文化服务中心17个，村农家书屋237个，文化信息资源共享工程村级服务点557个，开展送戏下乡活动300场次，组织放映公益电影8180场。广播电台1座，广播人口覆盖率达100%；电视台1座，电视综合人口覆盖率达100%，有线电视用户0.81万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年末全县共有卫生机构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个，其中：县级公立综合医院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方城县人民医院、方城县第二人民医院、方城县疾病预防控制中心附属医院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个，妇幼保健院（所、站）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个，疾病防治控制中心（防疫站）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个，医学在职培训学校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所，卫生监督所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个，120急救指挥中心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个,计生机构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家，民营医院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家。卫生机构拥有病床床位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张，其中：县医院、中医院共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计1750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执业医师（含执业助理医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师）2791人，注册护士2818人，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疾病防治控制中心（防疫站）卫生技术人员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人，妇幼保健站卫生技术人员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人。农村乡镇卫生院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个，核准床位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张，卫生技术人员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其中医师613人、护士441人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Helvetica"/>
          <w:color w:val="70AD47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现有体育总会1个，县级单项体育协会8个，县老年体协分支有19个，体育俱乐部1家。获河南省第十届中华轩辕龙舟大赛（淅川站）公开组第四名、宛东四县篮球友谊赛第一名。参加南阳市2023年度“共享太极.共享健康”太极拳健身大赛，方城共获得个人六个一等奖，12个二等奖，15个三等奖，授予个人体育道德风尚奖，集体项目三等奖，优秀组织工作奖。在全市“奔跑吧.少年”篮球锦标赛中，我县获男子组第8名、女子组第5名，并获女子组体育道德风尚奖。参加全市田径锦标赛，获女子接力团体第3名、男子接力团体第6名。成功举办全民健身日启动仪式、宛东四县篮球友谊赛、象棋比赛、迎“五一”全民健身乒乓球和钓鱼比赛、全民健身羽毛球比赛、全民健身月系列活动、方城县幼儿韵律操比赛、方城县第三届全民运动会、河南省社区运动会南阳赛区方城站、中国传统武术展演、青少年田径运动会及社会体育指导员培训等各类比赛和培训活动20余次，活动人数达万人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Helvetica"/>
          <w:sz w:val="32"/>
          <w:szCs w:val="32"/>
          <w:lang w:eastAsia="zh-CN"/>
        </w:rPr>
      </w:pPr>
      <w:r>
        <w:rPr>
          <w:rFonts w:hint="eastAsia" w:ascii="黑体" w:hAnsi="黑体" w:eastAsia="黑体" w:cs="Helvetica"/>
          <w:sz w:val="32"/>
          <w:szCs w:val="32"/>
        </w:rPr>
        <w:t>十一、人民生活和社会保障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全县居民人均可支配收入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2.5万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城镇居民人均可支配收入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3.7万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%；农村居民人均可支配收入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1.9万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全年城镇居民享受最低生活保障户数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人，全年累计发放最低生活保障金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692.72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万元；农村享受低保户数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46250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61510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人，发放低保资金累计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17339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万元。年末拥有各类社会敬老院床位达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供养人数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供养资金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7125.2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万元。残疾人两项补贴制度落实进一步规范，为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31028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名残疾人发放残疾补贴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2670.1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万元。孤儿生活保障金提标到位，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为376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名孤儿发放养育金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410.9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资源、环境和安全生产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年末已发现的矿种34种，其中：金属矿产10种，非金属矿产24种。查明资源储量的矿种共计17种，其中：金属矿产10种，非金属矿产7种。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年末总用水量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19478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万立方米，其中：农业用水5812.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万立方米，工业用水量366.4万立方米，生活用水量3579.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万立方米，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人工生态环境补水量9719.8万立方米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年末共完成营造林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11.8万亩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造林1.7万亩（国储林800亩），飞播造林3.1万亩，封山育林0.66万亩；森林抚育6.47万亩。打造千亩以上石漠化治理示范方2处，500亩以上石漠化治理示范点5处；建设4个森林乡村试点工程。依托国储林、石漠化治理等重点造林项目，发展以油桐、元宝枫为主的木本油料树种6300亩，助推木本油料产业建设。鼓励社会资本参与发展林下经济，采取“林+N”模式发展林农、林药、林菌等林下经济1300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全年未发生各类安全生产伤亡事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注：1、本公报为初步统计数据。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2、公报中生产总值、各产业增加值绝对数按现行价格计算，增长速度按可比价格计算。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3、部分数据因四舍五入的原因，存在着与分项合计不等的情况。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1280" w:firstLineChars="4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4、牵涉部门的数据来自各相关部门。</w:t>
      </w:r>
    </w:p>
    <w:sectPr>
      <w:pgSz w:w="11906" w:h="16838"/>
      <w:pgMar w:top="1440" w:right="1531" w:bottom="1440" w:left="158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432D"/>
    <w:multiLevelType w:val="singleLevel"/>
    <w:tmpl w:val="0C32432D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FC0825"/>
    <w:multiLevelType w:val="singleLevel"/>
    <w:tmpl w:val="68FC08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jEzYTMxOWQyZjQ3OWE4NzRhNTcyMTIyNDJhNGMifQ=="/>
  </w:docVars>
  <w:rsids>
    <w:rsidRoot w:val="277B047A"/>
    <w:rsid w:val="01DA5D4C"/>
    <w:rsid w:val="02715B95"/>
    <w:rsid w:val="02F77E8B"/>
    <w:rsid w:val="07830B9B"/>
    <w:rsid w:val="08845EA3"/>
    <w:rsid w:val="09FD0FEC"/>
    <w:rsid w:val="0AE019D5"/>
    <w:rsid w:val="0BE9148E"/>
    <w:rsid w:val="0C2503C2"/>
    <w:rsid w:val="0D093A10"/>
    <w:rsid w:val="0D1F7247"/>
    <w:rsid w:val="0FB9517D"/>
    <w:rsid w:val="12C84064"/>
    <w:rsid w:val="13CE7C39"/>
    <w:rsid w:val="1510698B"/>
    <w:rsid w:val="174221D1"/>
    <w:rsid w:val="19925BD5"/>
    <w:rsid w:val="1BFF6F14"/>
    <w:rsid w:val="1E6A3A40"/>
    <w:rsid w:val="222E10AC"/>
    <w:rsid w:val="23327BFB"/>
    <w:rsid w:val="26CB5729"/>
    <w:rsid w:val="27677991"/>
    <w:rsid w:val="277B047A"/>
    <w:rsid w:val="27C81177"/>
    <w:rsid w:val="2E3D4778"/>
    <w:rsid w:val="2F32147B"/>
    <w:rsid w:val="33407C4E"/>
    <w:rsid w:val="338D55E0"/>
    <w:rsid w:val="379A4F9C"/>
    <w:rsid w:val="3A18395D"/>
    <w:rsid w:val="3CEF40CE"/>
    <w:rsid w:val="3D3F03F7"/>
    <w:rsid w:val="3FD43C37"/>
    <w:rsid w:val="436A588D"/>
    <w:rsid w:val="43BC62BE"/>
    <w:rsid w:val="44876582"/>
    <w:rsid w:val="44D67797"/>
    <w:rsid w:val="47154E58"/>
    <w:rsid w:val="498C6E36"/>
    <w:rsid w:val="4A1F1B78"/>
    <w:rsid w:val="4A4D3AFA"/>
    <w:rsid w:val="4D7B57BF"/>
    <w:rsid w:val="4E791110"/>
    <w:rsid w:val="4F91408B"/>
    <w:rsid w:val="4FB165F1"/>
    <w:rsid w:val="51A07F50"/>
    <w:rsid w:val="528D0C23"/>
    <w:rsid w:val="55577DDB"/>
    <w:rsid w:val="55C33412"/>
    <w:rsid w:val="5AC70BE5"/>
    <w:rsid w:val="5BC956D6"/>
    <w:rsid w:val="5E716B26"/>
    <w:rsid w:val="5FC5111D"/>
    <w:rsid w:val="613438F9"/>
    <w:rsid w:val="61F33E64"/>
    <w:rsid w:val="63C94E67"/>
    <w:rsid w:val="64357F45"/>
    <w:rsid w:val="64B45E32"/>
    <w:rsid w:val="66611F64"/>
    <w:rsid w:val="6BFE0212"/>
    <w:rsid w:val="6F7739BD"/>
    <w:rsid w:val="6FE16ED9"/>
    <w:rsid w:val="71021499"/>
    <w:rsid w:val="71CD7610"/>
    <w:rsid w:val="782B082F"/>
    <w:rsid w:val="7E53622D"/>
    <w:rsid w:val="7EA1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paragraph" w:styleId="3">
    <w:name w:val="Title"/>
    <w:basedOn w:val="1"/>
    <w:next w:val="1"/>
    <w:link w:val="6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customStyle="1" w:styleId="6">
    <w:name w:val="标题 Char"/>
    <w:basedOn w:val="5"/>
    <w:link w:val="3"/>
    <w:autoRedefine/>
    <w:qFormat/>
    <w:uiPriority w:val="0"/>
    <w:rPr>
      <w:rFonts w:ascii="Cambria" w:hAnsi="Cambria" w:cs="Times New Roman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4139</Words>
  <Characters>5187</Characters>
  <Lines>0</Lines>
  <Paragraphs>0</Paragraphs>
  <TotalTime>3</TotalTime>
  <ScaleCrop>false</ScaleCrop>
  <LinksUpToDate>false</LinksUpToDate>
  <CharactersWithSpaces>5300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2021-03-08T08:06:00Z</dcterms:created>
  <dc:creator>Administrator</dc:creator>
  <cp:lastModifiedBy>微信用户</cp:lastModifiedBy>
  <cp:lastPrinted>2022-04-21T08:37:00Z</cp:lastPrinted>
  <dcterms:modified xsi:type="dcterms:W3CDTF">2024-04-23T09:26:00Z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9C72398E891047F9BDD6883F129D872B_13</vt:lpwstr>
  </property>
</Properties>
</file>