
<file path=[Content_Types].xml><?xml version="1.0" encoding="utf-8"?>
<Types xmlns="http://schemas.openxmlformats.org/package/2006/content-types">
  <Default Extension="xml" ContentType="application/xml"/>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249"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0"/>
        <w:rPr>
          <w:rFonts w:ascii="华文仿宋" w:hAnsi="华文仿宋" w:eastAsia="华文仿宋" w:cs="华文仿宋"/>
          <w:color w:val="000000"/>
          <w:kern w:val="44"/>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pStyle w:val="2"/>
      </w:pPr>
    </w:p>
    <w:p>
      <w:pPr>
        <w:adjustRightInd w:val="0"/>
        <w:snapToGrid w:val="0"/>
        <w:spacing w:line="288" w:lineRule="auto"/>
        <w:ind w:left="2129" w:leftChars="293" w:hanging="1485" w:hangingChars="450"/>
        <w:rPr>
          <w:rFonts w:eastAsia="仿宋_GB2312"/>
          <w:sz w:val="32"/>
          <w:szCs w:val="32"/>
          <w:u w:val="single"/>
        </w:rPr>
      </w:pPr>
      <w:r>
        <w:rPr>
          <w:rFonts w:eastAsia="仿宋_GB2312"/>
          <w:sz w:val="32"/>
          <w:szCs w:val="32"/>
        </w:rPr>
        <w:t>项目名称</w:t>
      </w:r>
      <w:r>
        <w:rPr>
          <w:rFonts w:hint="eastAsia" w:eastAsia="仿宋_GB2312"/>
          <w:sz w:val="32"/>
          <w:szCs w:val="32"/>
        </w:rPr>
        <w:t>：</w:t>
      </w:r>
      <w:r>
        <w:rPr>
          <w:rFonts w:hint="eastAsia" w:eastAsia="仿宋_GB2312"/>
          <w:sz w:val="32"/>
          <w:szCs w:val="32"/>
          <w:u w:val="single"/>
        </w:rPr>
        <w:t>河南凯呈再生资源有限公司年产5000吨再生塑料颗粒项目</w:t>
      </w:r>
    </w:p>
    <w:p>
      <w:pPr>
        <w:adjustRightInd w:val="0"/>
        <w:snapToGrid w:val="0"/>
        <w:spacing w:line="288" w:lineRule="auto"/>
        <w:ind w:left="3300" w:leftChars="300" w:hanging="2640" w:hangingChars="800"/>
        <w:rPr>
          <w:rFonts w:eastAsia="仿宋_GB2312"/>
          <w:sz w:val="32"/>
          <w:szCs w:val="32"/>
          <w:u w:val="single"/>
        </w:rPr>
      </w:pPr>
      <w:r>
        <w:rPr>
          <w:rFonts w:eastAsia="仿宋_GB2312"/>
          <w:sz w:val="32"/>
          <w:szCs w:val="32"/>
        </w:rPr>
        <w:t>建设单位（盖章）：</w:t>
      </w:r>
      <w:r>
        <w:rPr>
          <w:rFonts w:hint="eastAsia" w:eastAsia="仿宋_GB2312"/>
          <w:sz w:val="32"/>
          <w:szCs w:val="32"/>
          <w:u w:val="single"/>
        </w:rPr>
        <w:t xml:space="preserve">河南凯呈再生资源有限公司    </w:t>
      </w:r>
    </w:p>
    <w:p>
      <w:pPr>
        <w:adjustRightInd w:val="0"/>
        <w:snapToGrid w:val="0"/>
        <w:spacing w:line="288" w:lineRule="auto"/>
        <w:ind w:firstLine="660" w:firstLineChars="200"/>
        <w:rPr>
          <w:rFonts w:eastAsia="仿宋_GB2312"/>
          <w:sz w:val="32"/>
          <w:szCs w:val="32"/>
          <w:u w:val="single"/>
        </w:rPr>
      </w:pPr>
      <w:r>
        <w:rPr>
          <w:rFonts w:eastAsia="仿宋_GB2312"/>
          <w:sz w:val="32"/>
          <w:szCs w:val="32"/>
        </w:rPr>
        <w:t>编制日期：</w:t>
      </w:r>
      <w:r>
        <w:rPr>
          <w:rFonts w:eastAsia="仿宋_GB2312"/>
          <w:sz w:val="32"/>
          <w:szCs w:val="32"/>
          <w:u w:val="single"/>
        </w:rPr>
        <w:t xml:space="preserve">  </w:t>
      </w:r>
      <w:r>
        <w:rPr>
          <w:rFonts w:hint="eastAsia" w:eastAsia="仿宋_GB2312"/>
          <w:sz w:val="32"/>
          <w:szCs w:val="32"/>
          <w:u w:val="single"/>
        </w:rPr>
        <w:t xml:space="preserve">         </w:t>
      </w:r>
      <w:r>
        <w:rPr>
          <w:rFonts w:eastAsia="仿宋_GB2312"/>
          <w:sz w:val="32"/>
          <w:szCs w:val="32"/>
          <w:u w:val="single"/>
        </w:rPr>
        <w:t>202</w:t>
      </w:r>
      <w:r>
        <w:rPr>
          <w:rFonts w:hint="eastAsia" w:eastAsia="仿宋_GB2312"/>
          <w:sz w:val="32"/>
          <w:szCs w:val="32"/>
          <w:u w:val="single"/>
          <w:lang w:val="en-US" w:eastAsia="zh-CN"/>
        </w:rPr>
        <w:t>4</w:t>
      </w:r>
      <w:r>
        <w:rPr>
          <w:rFonts w:eastAsia="仿宋_GB2312"/>
          <w:sz w:val="32"/>
          <w:szCs w:val="32"/>
          <w:u w:val="single"/>
        </w:rPr>
        <w:t>年</w:t>
      </w:r>
      <w:r>
        <w:rPr>
          <w:rFonts w:hint="eastAsia" w:eastAsia="仿宋_GB2312"/>
          <w:sz w:val="32"/>
          <w:szCs w:val="32"/>
          <w:u w:val="single"/>
          <w:lang w:val="en-US" w:eastAsia="zh-CN"/>
        </w:rPr>
        <w:t>4</w:t>
      </w:r>
      <w:r>
        <w:rPr>
          <w:rFonts w:eastAsia="仿宋_GB2312"/>
          <w:sz w:val="32"/>
          <w:szCs w:val="32"/>
          <w:u w:val="single"/>
        </w:rPr>
        <w:t xml:space="preserve">月        </w:t>
      </w:r>
      <w:r>
        <w:rPr>
          <w:rFonts w:hint="eastAsia" w:eastAsia="仿宋_GB2312"/>
          <w:sz w:val="32"/>
          <w:szCs w:val="32"/>
          <w:u w:val="single"/>
        </w:rPr>
        <w:t xml:space="preserve">      </w:t>
      </w:r>
    </w:p>
    <w:p>
      <w:pPr>
        <w:adjustRightInd w:val="0"/>
        <w:snapToGrid w:val="0"/>
        <w:spacing w:line="288" w:lineRule="auto"/>
        <w:ind w:firstLine="1040"/>
        <w:rPr>
          <w:rFonts w:ascii="仿宋_GB2312" w:eastAsia="仿宋_GB2312"/>
          <w:sz w:val="36"/>
          <w:szCs w:val="36"/>
          <w:u w:val="single"/>
        </w:rPr>
      </w:pPr>
      <w:bookmarkStart w:id="0" w:name="_Hlk57884087"/>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0"/>
    <w:p>
      <w:pPr>
        <w:adjustRightInd w:val="0"/>
        <w:snapToGrid w:val="0"/>
        <w:spacing w:line="288" w:lineRule="auto"/>
        <w:jc w:val="center"/>
        <w:rPr>
          <w:rFonts w:hint="eastAsia" w:ascii="楷体_GB2312" w:eastAsia="楷体_GB2312"/>
          <w:sz w:val="32"/>
          <w:szCs w:val="32"/>
        </w:rPr>
      </w:pPr>
      <w:r>
        <w:rPr>
          <w:rFonts w:hint="eastAsia" w:ascii="楷体_GB2312" w:eastAsia="楷体_GB2312"/>
          <w:sz w:val="32"/>
          <w:szCs w:val="32"/>
        </w:rPr>
        <w:t>中华人民共和国生态环境部制</w:t>
      </w:r>
    </w:p>
    <w:p/>
    <w:p>
      <w:pPr>
        <w:pStyle w:val="2"/>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spacing w:line="360" w:lineRule="auto"/>
        <w:jc w:val="center"/>
        <w:outlineLvl w:val="0"/>
        <w:rPr>
          <w:rFonts w:hint="default" w:ascii="Times New Roman" w:hAnsi="Times New Roman" w:cs="Times New Roman"/>
          <w:b/>
          <w:bCs/>
          <w:sz w:val="28"/>
          <w:szCs w:val="28"/>
        </w:rPr>
      </w:pPr>
      <w:r>
        <w:rPr>
          <w:rFonts w:hint="default" w:ascii="Times New Roman" w:hAnsi="Times New Roman" w:cs="Times New Roman"/>
          <w:b/>
          <w:bCs/>
          <w:sz w:val="28"/>
          <w:szCs w:val="28"/>
        </w:rPr>
        <w:t>一、建设项目基本情况</w:t>
      </w:r>
    </w:p>
    <w:tbl>
      <w:tblPr>
        <w:tblStyle w:val="11"/>
        <w:tblW w:w="10050" w:type="dxa"/>
        <w:tblInd w:w="-35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02"/>
        <w:gridCol w:w="2941"/>
        <w:gridCol w:w="2138"/>
        <w:gridCol w:w="386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102"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建设项目名称</w:t>
            </w:r>
          </w:p>
        </w:tc>
        <w:tc>
          <w:tcPr>
            <w:tcW w:w="8948" w:type="dxa"/>
            <w:gridSpan w:val="3"/>
            <w:vAlign w:val="center"/>
          </w:tcPr>
          <w:p>
            <w:pPr>
              <w:spacing w:line="36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河南凯呈再生资源有限公司年产5000吨再生塑料颗粒项目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01" w:hRule="atLeast"/>
        </w:trPr>
        <w:tc>
          <w:tcPr>
            <w:tcW w:w="1102"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项目代码</w:t>
            </w:r>
          </w:p>
        </w:tc>
        <w:tc>
          <w:tcPr>
            <w:tcW w:w="8948" w:type="dxa"/>
            <w:gridSpan w:val="3"/>
            <w:vAlign w:val="center"/>
          </w:tcPr>
          <w:p>
            <w:pPr>
              <w:spacing w:line="360" w:lineRule="auto"/>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2403-411322-04-01-948123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102"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建设单位联系人</w:t>
            </w:r>
          </w:p>
        </w:tc>
        <w:tc>
          <w:tcPr>
            <w:tcW w:w="2941" w:type="dxa"/>
            <w:vAlign w:val="center"/>
          </w:tcPr>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王博</w:t>
            </w:r>
          </w:p>
        </w:tc>
        <w:tc>
          <w:tcPr>
            <w:tcW w:w="2138"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联系方式</w:t>
            </w:r>
          </w:p>
        </w:tc>
        <w:tc>
          <w:tcPr>
            <w:tcW w:w="3869" w:type="dxa"/>
            <w:vAlign w:val="center"/>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17537706666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26" w:hRule="atLeast"/>
        </w:trPr>
        <w:tc>
          <w:tcPr>
            <w:tcW w:w="1102"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8948" w:type="dxa"/>
            <w:gridSpan w:val="3"/>
            <w:vAlign w:val="center"/>
          </w:tcPr>
          <w:p>
            <w:pPr>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kern w:val="52"/>
                <w:sz w:val="24"/>
                <w:szCs w:val="24"/>
                <w:lang w:eastAsia="zh-CN"/>
              </w:rPr>
              <w:t>南阳市方城县广阳镇后寨村168号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84" w:hRule="atLeast"/>
        </w:trPr>
        <w:tc>
          <w:tcPr>
            <w:tcW w:w="1102"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地理坐标</w:t>
            </w:r>
          </w:p>
        </w:tc>
        <w:tc>
          <w:tcPr>
            <w:tcW w:w="8948" w:type="dxa"/>
            <w:gridSpan w:val="3"/>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u w:val="none"/>
              </w:rPr>
              <w:t>（112度</w:t>
            </w:r>
            <w:r>
              <w:rPr>
                <w:rFonts w:hint="eastAsia" w:ascii="Times New Roman" w:hAnsi="Times New Roman" w:eastAsia="宋体" w:cs="Times New Roman"/>
                <w:sz w:val="24"/>
                <w:szCs w:val="24"/>
                <w:u w:val="none"/>
                <w:lang w:val="en-US" w:eastAsia="zh-CN"/>
              </w:rPr>
              <w:t>45</w:t>
            </w:r>
            <w:r>
              <w:rPr>
                <w:rFonts w:hint="default" w:ascii="Times New Roman" w:hAnsi="Times New Roman" w:eastAsia="宋体" w:cs="Times New Roman"/>
                <w:sz w:val="24"/>
                <w:szCs w:val="24"/>
                <w:u w:val="none"/>
              </w:rPr>
              <w:t>分</w:t>
            </w:r>
            <w:r>
              <w:rPr>
                <w:rFonts w:hint="eastAsia" w:ascii="Times New Roman" w:hAnsi="Times New Roman" w:eastAsia="宋体" w:cs="Times New Roman"/>
                <w:sz w:val="24"/>
                <w:szCs w:val="24"/>
                <w:u w:val="none"/>
                <w:lang w:val="en-US" w:eastAsia="zh-CN"/>
              </w:rPr>
              <w:t>25.156</w:t>
            </w:r>
            <w:r>
              <w:rPr>
                <w:rFonts w:hint="default" w:ascii="Times New Roman" w:hAnsi="Times New Roman" w:eastAsia="宋体" w:cs="Times New Roman"/>
                <w:sz w:val="24"/>
                <w:szCs w:val="24"/>
                <w:u w:val="none"/>
              </w:rPr>
              <w:t>秒，3</w:t>
            </w:r>
            <w:r>
              <w:rPr>
                <w:rFonts w:hint="eastAsia" w:ascii="Times New Roman" w:hAnsi="Times New Roman" w:eastAsia="宋体" w:cs="Times New Roman"/>
                <w:sz w:val="24"/>
                <w:szCs w:val="24"/>
                <w:u w:val="none"/>
                <w:lang w:val="en-US" w:eastAsia="zh-CN"/>
              </w:rPr>
              <w:t>3</w:t>
            </w:r>
            <w:r>
              <w:rPr>
                <w:rFonts w:hint="default" w:ascii="Times New Roman" w:hAnsi="Times New Roman" w:eastAsia="宋体" w:cs="Times New Roman"/>
                <w:sz w:val="24"/>
                <w:szCs w:val="24"/>
                <w:u w:val="none"/>
              </w:rPr>
              <w:t>度</w:t>
            </w:r>
            <w:r>
              <w:rPr>
                <w:rFonts w:hint="eastAsia" w:ascii="Times New Roman" w:hAnsi="Times New Roman" w:eastAsia="宋体" w:cs="Times New Roman"/>
                <w:sz w:val="24"/>
                <w:szCs w:val="24"/>
                <w:u w:val="none"/>
                <w:lang w:val="en-US" w:eastAsia="zh-CN"/>
              </w:rPr>
              <w:t>15</w:t>
            </w:r>
            <w:r>
              <w:rPr>
                <w:rFonts w:hint="default" w:ascii="Times New Roman" w:hAnsi="Times New Roman" w:eastAsia="宋体" w:cs="Times New Roman"/>
                <w:sz w:val="24"/>
                <w:szCs w:val="24"/>
                <w:u w:val="none"/>
              </w:rPr>
              <w:t>分</w:t>
            </w:r>
            <w:r>
              <w:rPr>
                <w:rFonts w:hint="eastAsia" w:ascii="Times New Roman" w:hAnsi="Times New Roman" w:eastAsia="宋体" w:cs="Times New Roman"/>
                <w:sz w:val="24"/>
                <w:szCs w:val="24"/>
                <w:u w:val="none"/>
                <w:lang w:val="en-US" w:eastAsia="zh-CN"/>
              </w:rPr>
              <w:t>17.644</w:t>
            </w:r>
            <w:r>
              <w:rPr>
                <w:rFonts w:hint="default" w:ascii="Times New Roman" w:hAnsi="Times New Roman" w:eastAsia="宋体" w:cs="Times New Roman"/>
                <w:sz w:val="24"/>
                <w:szCs w:val="24"/>
                <w:u w:val="none"/>
              </w:rPr>
              <w:t>秒）</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102"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国民经济行业类别</w:t>
            </w:r>
          </w:p>
        </w:tc>
        <w:tc>
          <w:tcPr>
            <w:tcW w:w="2941" w:type="dxa"/>
            <w:vAlign w:val="center"/>
          </w:tcPr>
          <w:p>
            <w:pPr>
              <w:jc w:val="center"/>
              <w:rPr>
                <w:rFonts w:hint="eastAsia" w:ascii="Times New Roman" w:hAnsi="Times New Roman" w:eastAsia="宋体" w:cs="Times New Roman"/>
                <w:sz w:val="24"/>
                <w:szCs w:val="24"/>
                <w:lang w:eastAsia="zh-CN"/>
              </w:rPr>
            </w:pPr>
            <w:r>
              <w:rPr>
                <w:rFonts w:hint="eastAsia" w:ascii="Times New Roman" w:hAnsi="Times New Roman" w:cs="Times New Roman"/>
                <w:color w:val="auto"/>
                <w:sz w:val="24"/>
                <w:szCs w:val="24"/>
                <w:lang w:eastAsia="zh-CN"/>
              </w:rPr>
              <w:t>C4220非金属废料和碎屑加工处理</w:t>
            </w:r>
          </w:p>
        </w:tc>
        <w:tc>
          <w:tcPr>
            <w:tcW w:w="2138"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建设项目行业类别</w:t>
            </w:r>
          </w:p>
        </w:tc>
        <w:tc>
          <w:tcPr>
            <w:tcW w:w="3869" w:type="dxa"/>
            <w:vAlign w:val="center"/>
          </w:tcPr>
          <w:p>
            <w:pPr>
              <w:jc w:val="both"/>
              <w:rPr>
                <w:rFonts w:hint="default" w:ascii="Times New Roman" w:hAnsi="Times New Roman" w:eastAsia="宋体" w:cs="Times New Roman"/>
                <w:sz w:val="24"/>
                <w:szCs w:val="24"/>
                <w:lang w:val="en-US"/>
              </w:rPr>
            </w:pPr>
            <w:r>
              <w:rPr>
                <w:rFonts w:hint="default" w:ascii="Times New Roman" w:hAnsi="Times New Roman" w:eastAsia="宋体" w:cs="Times New Roman"/>
                <w:color w:val="auto"/>
                <w:sz w:val="24"/>
                <w:szCs w:val="24"/>
              </w:rPr>
              <w:t>三十九、废弃资源综合利用业42—85、非金属废料和碎屑加 工处理422—废塑料加工处理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102"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建设性质</w:t>
            </w:r>
          </w:p>
        </w:tc>
        <w:tc>
          <w:tcPr>
            <w:tcW w:w="2941" w:type="dxa"/>
            <w:vAlign w:val="center"/>
          </w:tcPr>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FE"/>
            </w:r>
            <w:r>
              <w:rPr>
                <w:rFonts w:hint="default" w:ascii="Times New Roman" w:hAnsi="Times New Roman" w:eastAsia="宋体" w:cs="Times New Roman"/>
                <w:sz w:val="24"/>
                <w:szCs w:val="24"/>
              </w:rPr>
              <w:t>新建（迁建）</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A8"/>
            </w:r>
            <w:r>
              <w:rPr>
                <w:rFonts w:hint="default" w:ascii="Times New Roman" w:hAnsi="Times New Roman" w:eastAsia="宋体" w:cs="Times New Roman"/>
                <w:sz w:val="24"/>
                <w:szCs w:val="24"/>
              </w:rPr>
              <w:t>改建</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A8"/>
            </w:r>
            <w:r>
              <w:rPr>
                <w:rFonts w:hint="default" w:ascii="Times New Roman" w:hAnsi="Times New Roman" w:eastAsia="宋体" w:cs="Times New Roman"/>
                <w:sz w:val="24"/>
                <w:szCs w:val="24"/>
              </w:rPr>
              <w:t>扩建</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A8"/>
            </w:r>
            <w:r>
              <w:rPr>
                <w:rFonts w:hint="default" w:ascii="Times New Roman" w:hAnsi="Times New Roman" w:eastAsia="宋体" w:cs="Times New Roman"/>
                <w:sz w:val="24"/>
                <w:szCs w:val="24"/>
              </w:rPr>
              <w:t>技术改造</w:t>
            </w:r>
          </w:p>
        </w:tc>
        <w:tc>
          <w:tcPr>
            <w:tcW w:w="2138"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建设项目申报情况</w:t>
            </w:r>
          </w:p>
        </w:tc>
        <w:tc>
          <w:tcPr>
            <w:tcW w:w="3869" w:type="dxa"/>
            <w:vAlign w:val="center"/>
          </w:tcPr>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FE"/>
            </w:r>
            <w:r>
              <w:rPr>
                <w:rFonts w:hint="default" w:ascii="Times New Roman" w:hAnsi="Times New Roman" w:eastAsia="宋体" w:cs="Times New Roman"/>
                <w:sz w:val="24"/>
                <w:szCs w:val="24"/>
              </w:rPr>
              <w:t>首次申报项目</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A8"/>
            </w:r>
            <w:r>
              <w:rPr>
                <w:rFonts w:hint="default" w:ascii="Times New Roman" w:hAnsi="Times New Roman" w:eastAsia="宋体" w:cs="Times New Roman"/>
                <w:sz w:val="24"/>
                <w:szCs w:val="24"/>
              </w:rPr>
              <w:t>不予批准后再次申报项目</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A8"/>
            </w:r>
            <w:r>
              <w:rPr>
                <w:rFonts w:hint="default" w:ascii="Times New Roman" w:hAnsi="Times New Roman" w:eastAsia="宋体" w:cs="Times New Roman"/>
                <w:sz w:val="24"/>
                <w:szCs w:val="24"/>
              </w:rPr>
              <w:t>超五年重新审核项目</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A8"/>
            </w:r>
            <w:r>
              <w:rPr>
                <w:rFonts w:hint="default" w:ascii="Times New Roman" w:hAnsi="Times New Roman" w:eastAsia="宋体" w:cs="Times New Roman"/>
                <w:sz w:val="24"/>
                <w:szCs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trPr>
        <w:tc>
          <w:tcPr>
            <w:tcW w:w="1102"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项目审批部门</w:t>
            </w:r>
          </w:p>
        </w:tc>
        <w:tc>
          <w:tcPr>
            <w:tcW w:w="2941" w:type="dxa"/>
            <w:vAlign w:val="center"/>
          </w:tcPr>
          <w:p>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方城县发展和改革委员会</w:t>
            </w:r>
          </w:p>
        </w:tc>
        <w:tc>
          <w:tcPr>
            <w:tcW w:w="2138"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项目审批文号</w:t>
            </w:r>
          </w:p>
        </w:tc>
        <w:tc>
          <w:tcPr>
            <w:tcW w:w="3869" w:type="dxa"/>
            <w:vAlign w:val="center"/>
          </w:tcPr>
          <w:p>
            <w:pPr>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2403-411322-04-01-948123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49" w:hRule="atLeast"/>
        </w:trPr>
        <w:tc>
          <w:tcPr>
            <w:tcW w:w="1102"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总投资（万元）</w:t>
            </w:r>
          </w:p>
        </w:tc>
        <w:tc>
          <w:tcPr>
            <w:tcW w:w="2941" w:type="dxa"/>
            <w:vAlign w:val="center"/>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2600</w:t>
            </w:r>
          </w:p>
        </w:tc>
        <w:tc>
          <w:tcPr>
            <w:tcW w:w="2138"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环保投资（万元）</w:t>
            </w:r>
          </w:p>
        </w:tc>
        <w:tc>
          <w:tcPr>
            <w:tcW w:w="3869" w:type="dxa"/>
            <w:vAlign w:val="center"/>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u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102"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环保投资占比（%）</w:t>
            </w:r>
          </w:p>
        </w:tc>
        <w:tc>
          <w:tcPr>
            <w:tcW w:w="2941" w:type="dxa"/>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u w:val="none"/>
                <w:lang w:val="en-US" w:eastAsia="zh-CN"/>
              </w:rPr>
              <w:t>1.92</w:t>
            </w:r>
          </w:p>
        </w:tc>
        <w:tc>
          <w:tcPr>
            <w:tcW w:w="2138"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施工工期</w:t>
            </w:r>
          </w:p>
        </w:tc>
        <w:tc>
          <w:tcPr>
            <w:tcW w:w="3869"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个月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102"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是否开工建设</w:t>
            </w:r>
          </w:p>
        </w:tc>
        <w:tc>
          <w:tcPr>
            <w:tcW w:w="2941" w:type="dxa"/>
            <w:vAlign w:val="center"/>
          </w:tcPr>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FE"/>
            </w:r>
            <w:r>
              <w:rPr>
                <w:rFonts w:hint="default" w:ascii="Times New Roman" w:hAnsi="Times New Roman" w:eastAsia="宋体" w:cs="Times New Roman"/>
                <w:sz w:val="24"/>
                <w:szCs w:val="24"/>
              </w:rPr>
              <w:t>否</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w:char="00A8"/>
            </w:r>
            <w:r>
              <w:rPr>
                <w:rFonts w:hint="default" w:ascii="Times New Roman" w:hAnsi="Times New Roman" w:eastAsia="宋体" w:cs="Times New Roman"/>
                <w:sz w:val="24"/>
                <w:szCs w:val="24"/>
              </w:rPr>
              <w:t xml:space="preserve">是：        </w:t>
            </w:r>
          </w:p>
        </w:tc>
        <w:tc>
          <w:tcPr>
            <w:tcW w:w="2138" w:type="dxa"/>
            <w:vAlign w:val="center"/>
          </w:tcPr>
          <w:p>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用地面积（m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tc>
        <w:tc>
          <w:tcPr>
            <w:tcW w:w="3869" w:type="dxa"/>
            <w:vAlign w:val="center"/>
          </w:tcPr>
          <w:p>
            <w:pPr>
              <w:jc w:val="center"/>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eastAsia="zh-CN"/>
              </w:rPr>
              <w:t>7250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219" w:hRule="atLeast"/>
        </w:trPr>
        <w:tc>
          <w:tcPr>
            <w:tcW w:w="1102"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u w:val="none"/>
              </w:rPr>
              <w:t>专项评价设置情况</w:t>
            </w:r>
          </w:p>
        </w:tc>
        <w:tc>
          <w:tcPr>
            <w:tcW w:w="8948" w:type="dxa"/>
            <w:gridSpan w:val="3"/>
            <w:vAlign w:val="center"/>
          </w:tcPr>
          <w:tbl>
            <w:tblPr>
              <w:tblStyle w:val="11"/>
              <w:tblW w:w="86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3719"/>
              <w:gridCol w:w="2751"/>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jc w:val="center"/>
              </w:trPr>
              <w:tc>
                <w:tcPr>
                  <w:tcW w:w="967"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专题</w:t>
                  </w:r>
                </w:p>
              </w:tc>
              <w:tc>
                <w:tcPr>
                  <w:tcW w:w="3719"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设置原则</w:t>
                  </w:r>
                </w:p>
              </w:tc>
              <w:tc>
                <w:tcPr>
                  <w:tcW w:w="2751"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本项目情况</w:t>
                  </w:r>
                </w:p>
              </w:tc>
              <w:tc>
                <w:tcPr>
                  <w:tcW w:w="1219"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专题设置情况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7"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大气</w:t>
                  </w:r>
                </w:p>
              </w:tc>
              <w:tc>
                <w:tcPr>
                  <w:tcW w:w="3719"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排放废气含有毒有害污染物、二噁英、苯并芘、氰化物、氯气且厂界外500m范围内有环境空气保护目标的建设项目</w:t>
                  </w:r>
                </w:p>
              </w:tc>
              <w:tc>
                <w:tcPr>
                  <w:tcW w:w="2751"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项目废气不涉及《有毒有害大气污染物名录》中的污染物，不涉及二噁英、苯并芘、氰化物、氯气等废气。</w:t>
                  </w:r>
                </w:p>
              </w:tc>
              <w:tc>
                <w:tcPr>
                  <w:tcW w:w="1219"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967"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地表水</w:t>
                  </w:r>
                </w:p>
              </w:tc>
              <w:tc>
                <w:tcPr>
                  <w:tcW w:w="3719"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新增工业废水直排建设项目（槽罐车外送污水处理厂的除外）；新增废水直排的污水集中处理厂</w:t>
                  </w:r>
                </w:p>
              </w:tc>
              <w:tc>
                <w:tcPr>
                  <w:tcW w:w="2751" w:type="dxa"/>
                  <w:vAlign w:val="center"/>
                </w:tcPr>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项目废水</w:t>
                  </w:r>
                  <w:r>
                    <w:rPr>
                      <w:rFonts w:hint="eastAsia" w:ascii="Times New Roman" w:hAnsi="Times New Roman" w:cs="Times New Roman"/>
                      <w:sz w:val="24"/>
                      <w:szCs w:val="24"/>
                      <w:lang w:eastAsia="zh-CN"/>
                    </w:rPr>
                    <w:t>不</w:t>
                  </w:r>
                  <w:r>
                    <w:rPr>
                      <w:rFonts w:hint="default" w:ascii="Times New Roman" w:hAnsi="Times New Roman" w:eastAsia="宋体" w:cs="Times New Roman"/>
                      <w:sz w:val="24"/>
                      <w:szCs w:val="24"/>
                      <w:lang w:val="en-US" w:eastAsia="zh-CN"/>
                    </w:rPr>
                    <w:t>外排</w:t>
                  </w:r>
                </w:p>
              </w:tc>
              <w:tc>
                <w:tcPr>
                  <w:tcW w:w="1219"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7"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环境风险</w:t>
                  </w:r>
                </w:p>
              </w:tc>
              <w:tc>
                <w:tcPr>
                  <w:tcW w:w="3719"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有毒有害和易燃易爆危险物质存储量超过临界量的建设项目</w:t>
                  </w:r>
                </w:p>
              </w:tc>
              <w:tc>
                <w:tcPr>
                  <w:tcW w:w="2751"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项目危险物质储存量未超过临界值</w:t>
                  </w:r>
                </w:p>
              </w:tc>
              <w:tc>
                <w:tcPr>
                  <w:tcW w:w="1219"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967"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生态</w:t>
                  </w:r>
                </w:p>
              </w:tc>
              <w:tc>
                <w:tcPr>
                  <w:tcW w:w="3719"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取水口下游500米范围内有重要水生生物的自然产卵场、索饵场、越冬场和洄游通道的新增河道取水的污染类建设项目</w:t>
                  </w:r>
                </w:p>
              </w:tc>
              <w:tc>
                <w:tcPr>
                  <w:tcW w:w="2751"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项目不设取水口</w:t>
                  </w:r>
                </w:p>
              </w:tc>
              <w:tc>
                <w:tcPr>
                  <w:tcW w:w="1219"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7"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海洋</w:t>
                  </w:r>
                </w:p>
              </w:tc>
              <w:tc>
                <w:tcPr>
                  <w:tcW w:w="3719"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直接向海排放污染物的海洋工程建设项目</w:t>
                  </w:r>
                </w:p>
              </w:tc>
              <w:tc>
                <w:tcPr>
                  <w:tcW w:w="2751"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项目地处内陆不向海洋排污</w:t>
                  </w:r>
                </w:p>
              </w:tc>
              <w:tc>
                <w:tcPr>
                  <w:tcW w:w="1219"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不设置</w:t>
                  </w:r>
                </w:p>
              </w:tc>
            </w:tr>
          </w:tbl>
          <w:p>
            <w:pPr>
              <w:spacing w:line="360" w:lineRule="auto"/>
              <w:jc w:val="center"/>
              <w:rPr>
                <w:rFonts w:hint="default" w:ascii="Times New Roman" w:hAnsi="Times New Roman" w:eastAsia="宋体" w:cs="Times New Roman"/>
                <w:sz w:val="24"/>
                <w:szCs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75" w:hRule="atLeast"/>
        </w:trPr>
        <w:tc>
          <w:tcPr>
            <w:tcW w:w="1102"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规划情况</w:t>
            </w:r>
          </w:p>
        </w:tc>
        <w:tc>
          <w:tcPr>
            <w:tcW w:w="8948" w:type="dxa"/>
            <w:gridSpan w:val="3"/>
            <w:vAlign w:val="center"/>
          </w:tcPr>
          <w:p>
            <w:pPr>
              <w:bidi w:val="0"/>
              <w:jc w:val="center"/>
              <w:rPr>
                <w:rFonts w:hint="eastAsia"/>
                <w:sz w:val="24"/>
                <w:szCs w:val="24"/>
                <w:lang w:eastAsia="zh-CN"/>
              </w:rPr>
            </w:pPr>
            <w:r>
              <w:rPr>
                <w:rFonts w:hint="eastAsia"/>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88" w:hRule="atLeast"/>
        </w:trPr>
        <w:tc>
          <w:tcPr>
            <w:tcW w:w="1102"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规划环境影响评价情况</w:t>
            </w:r>
          </w:p>
        </w:tc>
        <w:tc>
          <w:tcPr>
            <w:tcW w:w="8948" w:type="dxa"/>
            <w:gridSpan w:val="3"/>
            <w:vAlign w:val="center"/>
          </w:tcPr>
          <w:p>
            <w:pPr>
              <w:bidi w:val="0"/>
              <w:jc w:val="center"/>
              <w:rPr>
                <w:rFonts w:hint="eastAsia"/>
                <w:sz w:val="24"/>
                <w:szCs w:val="24"/>
                <w:lang w:eastAsia="zh-CN"/>
              </w:rPr>
            </w:pPr>
            <w:r>
              <w:rPr>
                <w:rFonts w:hint="eastAsia"/>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235" w:hRule="atLeast"/>
        </w:trPr>
        <w:tc>
          <w:tcPr>
            <w:tcW w:w="1102"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规划及规划环境影响评价符合性分析</w:t>
            </w:r>
          </w:p>
        </w:tc>
        <w:tc>
          <w:tcPr>
            <w:tcW w:w="8948" w:type="dxa"/>
            <w:gridSpan w:val="3"/>
            <w:vAlign w:val="center"/>
          </w:tcPr>
          <w:p>
            <w:pPr>
              <w:bidi w:val="0"/>
              <w:jc w:val="center"/>
              <w:rPr>
                <w:rFonts w:hint="eastAsia"/>
                <w:sz w:val="24"/>
                <w:szCs w:val="24"/>
                <w:lang w:val="en-US" w:eastAsia="zh-CN"/>
              </w:rPr>
            </w:pPr>
            <w:r>
              <w:rPr>
                <w:rFonts w:hint="eastAsia"/>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102"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其他符合性分析</w:t>
            </w:r>
          </w:p>
        </w:tc>
        <w:tc>
          <w:tcPr>
            <w:tcW w:w="8948" w:type="dxa"/>
            <w:gridSpan w:val="3"/>
            <w:vAlign w:val="center"/>
          </w:tcPr>
          <w:p>
            <w:pPr>
              <w:spacing w:line="360" w:lineRule="auto"/>
              <w:ind w:firstLine="500"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1、产业政策符合性</w:t>
            </w:r>
          </w:p>
          <w:p>
            <w:pPr>
              <w:spacing w:line="360" w:lineRule="auto"/>
              <w:ind w:firstLine="50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根据《产业结构调整指导目录（20</w:t>
            </w:r>
            <w:r>
              <w:rPr>
                <w:rFonts w:hint="eastAsia" w:ascii="Times New Roman" w:hAnsi="Times New Roman" w:eastAsia="宋体" w:cs="Times New Roman"/>
                <w:sz w:val="24"/>
                <w:szCs w:val="24"/>
                <w:lang w:val="en-US" w:eastAsia="zh-CN"/>
              </w:rPr>
              <w:t>24</w:t>
            </w:r>
            <w:r>
              <w:rPr>
                <w:rFonts w:hint="default" w:ascii="Times New Roman" w:hAnsi="Times New Roman" w:eastAsia="宋体" w:cs="Times New Roman"/>
                <w:sz w:val="24"/>
                <w:szCs w:val="24"/>
              </w:rPr>
              <w:t>年本）》，本项目不属于鼓励类、限制类和淘汰类，根据国务院发布的《促进产业结构调整暂行规定》（国发[2005]40号），本项目为允许类。同时，本项目采用的生产设备不属于《部分工业行业淘汰落后生产工艺装备和产品指导目录（2010年本）》（工产业[2010]第122号）和《限期淘汰产生严重污染环境的工业固体废物的落后生产工艺设备名录》（中华人民共和国工业和信息化部公告2021年第25号）中确定需要淘汰的落后生产工艺装备，符合相关法律法规和政策规定。同时，方城县发展和改革委员会已于202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日以2403-411322-04-01-948123号，给予本项目备案</w:t>
            </w:r>
            <w:r>
              <w:rPr>
                <w:rFonts w:hint="eastAsia" w:ascii="Times New Roman" w:hAnsi="Times New Roman" w:eastAsia="宋体" w:cs="Times New Roman"/>
                <w:sz w:val="24"/>
                <w:szCs w:val="24"/>
                <w:lang w:eastAsia="zh-CN"/>
              </w:rPr>
              <w:t>，因此该项目建设符合当前国家产业政策</w:t>
            </w:r>
            <w:r>
              <w:rPr>
                <w:rFonts w:hint="default" w:ascii="Times New Roman" w:hAnsi="Times New Roman" w:eastAsia="宋体" w:cs="Times New Roman"/>
                <w:sz w:val="24"/>
                <w:szCs w:val="24"/>
              </w:rPr>
              <w:t>。</w:t>
            </w:r>
          </w:p>
          <w:p>
            <w:pPr>
              <w:spacing w:line="336" w:lineRule="auto"/>
              <w:ind w:firstLine="500" w:firstLineChars="200"/>
              <w:rPr>
                <w:rFonts w:hint="eastAsia" w:ascii="Times New Roman" w:hAnsi="Times New Roman" w:eastAsia="宋体" w:cs="Times New Roman"/>
                <w:b/>
                <w:bCs/>
                <w:sz w:val="24"/>
                <w:szCs w:val="24"/>
                <w:u w:val="none"/>
                <w:lang w:eastAsia="zh-CN"/>
              </w:rPr>
            </w:pPr>
            <w:r>
              <w:rPr>
                <w:rFonts w:hint="eastAsia" w:ascii="Times New Roman" w:hAnsi="Times New Roman" w:eastAsia="宋体" w:cs="Times New Roman"/>
                <w:b/>
                <w:bCs/>
                <w:sz w:val="24"/>
                <w:szCs w:val="24"/>
                <w:u w:val="none"/>
                <w:lang w:val="en-US" w:eastAsia="zh-CN"/>
              </w:rPr>
              <w:t>2</w:t>
            </w:r>
            <w:r>
              <w:rPr>
                <w:rFonts w:hint="default" w:ascii="Times New Roman" w:hAnsi="Times New Roman" w:eastAsia="宋体" w:cs="Times New Roman"/>
                <w:b/>
                <w:bCs/>
                <w:sz w:val="24"/>
                <w:szCs w:val="24"/>
                <w:u w:val="none"/>
              </w:rPr>
              <w:t>、</w:t>
            </w:r>
            <w:r>
              <w:rPr>
                <w:rFonts w:hint="eastAsia" w:ascii="Times New Roman" w:hAnsi="Times New Roman" w:eastAsia="宋体" w:cs="Times New Roman"/>
                <w:b/>
                <w:bCs/>
                <w:sz w:val="24"/>
                <w:szCs w:val="24"/>
                <w:u w:val="none"/>
                <w:lang w:eastAsia="zh-CN"/>
              </w:rPr>
              <w:t>项目与</w:t>
            </w:r>
            <w:r>
              <w:rPr>
                <w:rFonts w:hint="default" w:ascii="Times New Roman" w:hAnsi="Times New Roman" w:eastAsia="宋体" w:cs="Times New Roman"/>
                <w:b/>
                <w:bCs/>
                <w:sz w:val="24"/>
                <w:szCs w:val="24"/>
                <w:u w:val="none"/>
              </w:rPr>
              <w:t>《方城县城乡总体规划（2016～2030年）》</w:t>
            </w:r>
            <w:r>
              <w:rPr>
                <w:rFonts w:hint="eastAsia" w:ascii="Times New Roman" w:hAnsi="Times New Roman" w:eastAsia="宋体" w:cs="Times New Roman"/>
                <w:b/>
                <w:bCs/>
                <w:sz w:val="24"/>
                <w:szCs w:val="24"/>
                <w:u w:val="none"/>
                <w:lang w:eastAsia="zh-CN"/>
              </w:rPr>
              <w:t>相符性分析</w:t>
            </w:r>
          </w:p>
          <w:p>
            <w:pPr>
              <w:spacing w:line="336" w:lineRule="auto"/>
              <w:ind w:firstLine="500" w:firstLineChars="200"/>
              <w:rPr>
                <w:rFonts w:hint="default" w:ascii="Times New Roman" w:hAnsi="Times New Roman" w:eastAsia="宋体" w:cs="Times New Roman"/>
                <w:b/>
                <w:bCs/>
                <w:sz w:val="24"/>
                <w:szCs w:val="24"/>
                <w:u w:val="none"/>
              </w:rPr>
            </w:pPr>
            <w:r>
              <w:rPr>
                <w:rFonts w:hint="eastAsia" w:ascii="Times New Roman" w:hAnsi="Times New Roman" w:eastAsia="宋体" w:cs="Times New Roman"/>
                <w:b/>
                <w:bCs/>
                <w:sz w:val="24"/>
                <w:szCs w:val="24"/>
                <w:u w:val="none"/>
                <w:lang w:val="en-US" w:eastAsia="zh-CN"/>
              </w:rPr>
              <w:t>2</w:t>
            </w:r>
            <w:r>
              <w:rPr>
                <w:rFonts w:hint="default" w:ascii="Times New Roman" w:hAnsi="Times New Roman" w:eastAsia="宋体" w:cs="Times New Roman"/>
                <w:b/>
                <w:bCs/>
                <w:sz w:val="24"/>
                <w:szCs w:val="24"/>
                <w:u w:val="none"/>
              </w:rPr>
              <w:t>.1 《方城县城乡总体规划（2016～2030年）》内容</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（1）规划期限</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规划期限为2016～2030年。其中近期为2016～2020年，远期为2021～2030年。</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（2）规划区范围</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规划共分三个层次，县域、城市规划区和中心城区。</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①县域：为方城县行政辖区范围，总面积2542</w:t>
            </w:r>
            <w:r>
              <w:rPr>
                <w:rFonts w:hint="eastAsia" w:ascii="Times New Roman" w:hAnsi="Times New Roman" w:cs="Times New Roman"/>
                <w:b w:val="0"/>
                <w:bCs w:val="0"/>
                <w:sz w:val="24"/>
                <w:szCs w:val="24"/>
                <w:u w:val="none"/>
                <w:lang w:val="en-US" w:eastAsia="zh-CN"/>
              </w:rPr>
              <w:t>km</w:t>
            </w:r>
            <w:r>
              <w:rPr>
                <w:rFonts w:hint="eastAsia" w:ascii="Times New Roman" w:hAnsi="Times New Roman" w:cs="Times New Roman"/>
                <w:b w:val="0"/>
                <w:bCs w:val="0"/>
                <w:sz w:val="24"/>
                <w:szCs w:val="24"/>
                <w:u w:val="none"/>
                <w:vertAlign w:val="superscript"/>
                <w:lang w:val="en-US" w:eastAsia="zh-CN"/>
              </w:rPr>
              <w:t>2</w:t>
            </w:r>
            <w:r>
              <w:rPr>
                <w:rFonts w:hint="default" w:ascii="Times New Roman" w:hAnsi="Times New Roman" w:eastAsia="宋体" w:cs="Times New Roman"/>
                <w:b w:val="0"/>
                <w:bCs w:val="0"/>
                <w:sz w:val="24"/>
                <w:szCs w:val="24"/>
                <w:u w:val="none"/>
              </w:rPr>
              <w:t>。</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②城市规划区：包括凤瑞、释之2个街道办事处的行政辖区，二郎庙镇、券桥镇全部行政辖区，以及杨集镇、古庄店镇、清河镇临近中心城区的33个行政村，总面积约346</w:t>
            </w:r>
            <w:r>
              <w:rPr>
                <w:rFonts w:hint="eastAsia" w:ascii="Times New Roman" w:hAnsi="Times New Roman" w:cs="Times New Roman"/>
                <w:b w:val="0"/>
                <w:bCs w:val="0"/>
                <w:sz w:val="24"/>
                <w:szCs w:val="24"/>
                <w:u w:val="none"/>
                <w:lang w:val="en-US" w:eastAsia="zh-CN"/>
              </w:rPr>
              <w:t>km</w:t>
            </w:r>
            <w:r>
              <w:rPr>
                <w:rFonts w:hint="eastAsia" w:ascii="Times New Roman" w:hAnsi="Times New Roman" w:cs="Times New Roman"/>
                <w:b w:val="0"/>
                <w:bCs w:val="0"/>
                <w:sz w:val="24"/>
                <w:szCs w:val="24"/>
                <w:u w:val="none"/>
                <w:vertAlign w:val="superscript"/>
                <w:lang w:val="en-US" w:eastAsia="zh-CN"/>
              </w:rPr>
              <w:t>2</w:t>
            </w:r>
            <w:r>
              <w:rPr>
                <w:rFonts w:hint="default" w:ascii="Times New Roman" w:hAnsi="Times New Roman" w:eastAsia="宋体" w:cs="Times New Roman"/>
                <w:b w:val="0"/>
                <w:bCs w:val="0"/>
                <w:sz w:val="24"/>
                <w:szCs w:val="24"/>
                <w:u w:val="none"/>
              </w:rPr>
              <w:t>。</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③中心城区：包括主城区和副城区。主城区北至江淮大道以北和规划北外环路，南至规划南环路和缯国大道，东至公至路，西至规划西外环路；副城区北至德云山，东至科研路，西侧和南侧沿环湖路。建设用地面积约50</w:t>
            </w:r>
            <w:r>
              <w:rPr>
                <w:rFonts w:hint="eastAsia" w:ascii="Times New Roman" w:hAnsi="Times New Roman" w:cs="Times New Roman"/>
                <w:b w:val="0"/>
                <w:bCs w:val="0"/>
                <w:sz w:val="24"/>
                <w:szCs w:val="24"/>
                <w:u w:val="none"/>
                <w:lang w:val="en-US" w:eastAsia="zh-CN"/>
              </w:rPr>
              <w:t>km</w:t>
            </w:r>
            <w:r>
              <w:rPr>
                <w:rFonts w:hint="eastAsia" w:ascii="Times New Roman" w:hAnsi="Times New Roman" w:cs="Times New Roman"/>
                <w:b w:val="0"/>
                <w:bCs w:val="0"/>
                <w:sz w:val="24"/>
                <w:szCs w:val="24"/>
                <w:u w:val="none"/>
                <w:vertAlign w:val="superscript"/>
                <w:lang w:val="en-US" w:eastAsia="zh-CN"/>
              </w:rPr>
              <w:t>2</w:t>
            </w:r>
            <w:r>
              <w:rPr>
                <w:rFonts w:hint="default" w:ascii="Times New Roman" w:hAnsi="Times New Roman" w:eastAsia="宋体" w:cs="Times New Roman"/>
                <w:b w:val="0"/>
                <w:bCs w:val="0"/>
                <w:sz w:val="24"/>
                <w:szCs w:val="24"/>
                <w:u w:val="none"/>
              </w:rPr>
              <w:t>。</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（3）城市性质</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南阳东北部中心城市，以装备制造业（轴承产业）、新材料（超硬材料产业）和生态旅游为主导的生态园林城市。</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（4）规划发展目标</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紧抓“中部崛起”、“建设中原经济区”、“一带一路”的政策机遇，借助国内外产业转移趋势，依托独特矿产资源和产业集聚区发展优势，发展装备制造、新材料、生态旅游等绿色产业，努力打造成为南阳东北部中心城市和南阳高效生态经济示范市重要增长极；深入挖掘独特的人文资源与生态环境优势，打造生态园林城市，并在规划期内完成撤县建市。</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（5）城乡空间结构</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形成“一主一副四核多点、一带两轴五区”的城乡空间布局结构。</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①一主一副：以中心城区为县域核心增长极，包括主城区、望花湖两个城市组团，主城区组团为县域综合服务中心，望花湖组团承担旅游服务功能。广阳镇为副中心城镇，是中心城区发展副核，产业集聚区超硬材料产业园所在地，县域经济发展新高地。</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②四核多点：四核指四个重点镇，为博望镇、赵河镇、独树镇、拐河镇。多点指九个一般乡镇。</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③一带两轴：一带指依托兰南高速、S103形成的东北至西南向的城镇复合发展带，是带动中心城区对外联通发展的主走向。两轴为依托方枣高速南北向和S331东西向形成的十字形城镇发展轴。</w:t>
            </w:r>
          </w:p>
          <w:p>
            <w:pPr>
              <w:spacing w:line="336" w:lineRule="auto"/>
              <w:ind w:firstLine="500" w:firstLineChars="200"/>
              <w:rPr>
                <w:rFonts w:hint="default" w:ascii="Times New Roman" w:hAnsi="Times New Roman" w:eastAsia="宋体" w:cs="Times New Roman"/>
                <w:b/>
                <w:bCs/>
                <w:sz w:val="24"/>
                <w:szCs w:val="24"/>
                <w:u w:val="none"/>
              </w:rPr>
            </w:pPr>
            <w:r>
              <w:rPr>
                <w:rFonts w:hint="eastAsia" w:ascii="Times New Roman" w:hAnsi="Times New Roman" w:eastAsia="宋体" w:cs="Times New Roman"/>
                <w:b/>
                <w:bCs/>
                <w:sz w:val="24"/>
                <w:szCs w:val="24"/>
                <w:u w:val="none"/>
                <w:lang w:val="en-US" w:eastAsia="zh-CN"/>
              </w:rPr>
              <w:t>2</w:t>
            </w:r>
            <w:r>
              <w:rPr>
                <w:rFonts w:hint="default" w:ascii="Times New Roman" w:hAnsi="Times New Roman" w:eastAsia="宋体" w:cs="Times New Roman"/>
                <w:b/>
                <w:bCs/>
                <w:sz w:val="24"/>
                <w:szCs w:val="24"/>
                <w:u w:val="none"/>
              </w:rPr>
              <w:t>.2 项目与《方城县城乡总体规划（2016～2030年）》相符性分析</w:t>
            </w:r>
          </w:p>
          <w:p>
            <w:pPr>
              <w:spacing w:line="336"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本项目位于南阳市方城县广阳镇后寨村168号，不在方城县城乡规划体系中的城市建成区和中心城区，另外根据</w:t>
            </w:r>
            <w:r>
              <w:rPr>
                <w:rFonts w:hint="eastAsia" w:ascii="Times New Roman" w:hAnsi="Times New Roman" w:eastAsia="宋体" w:cs="Times New Roman"/>
                <w:b w:val="0"/>
                <w:bCs w:val="0"/>
                <w:sz w:val="24"/>
                <w:szCs w:val="24"/>
                <w:u w:val="none"/>
                <w:lang w:eastAsia="zh-CN"/>
              </w:rPr>
              <w:t>方城县广阳镇</w:t>
            </w:r>
            <w:r>
              <w:rPr>
                <w:rFonts w:hint="default" w:ascii="Times New Roman" w:hAnsi="Times New Roman" w:eastAsia="宋体" w:cs="Times New Roman"/>
                <w:b w:val="0"/>
                <w:bCs w:val="0"/>
                <w:sz w:val="24"/>
                <w:szCs w:val="24"/>
                <w:u w:val="none"/>
              </w:rPr>
              <w:t>人民政府出具的</w:t>
            </w:r>
            <w:r>
              <w:rPr>
                <w:rFonts w:hint="eastAsia" w:ascii="Times New Roman" w:hAnsi="Times New Roman" w:eastAsia="宋体" w:cs="Times New Roman"/>
                <w:b w:val="0"/>
                <w:bCs w:val="0"/>
                <w:sz w:val="24"/>
                <w:szCs w:val="24"/>
                <w:u w:val="none"/>
                <w:lang w:eastAsia="zh-CN"/>
              </w:rPr>
              <w:t>土地</w:t>
            </w:r>
            <w:r>
              <w:rPr>
                <w:rFonts w:hint="default" w:ascii="Times New Roman" w:hAnsi="Times New Roman" w:eastAsia="宋体" w:cs="Times New Roman"/>
                <w:b w:val="0"/>
                <w:bCs w:val="0"/>
                <w:sz w:val="24"/>
                <w:szCs w:val="24"/>
                <w:u w:val="none"/>
              </w:rPr>
              <w:t>证明</w:t>
            </w:r>
            <w:r>
              <w:rPr>
                <w:rFonts w:hint="eastAsia" w:ascii="Times New Roman" w:hAnsi="Times New Roman" w:eastAsia="宋体" w:cs="Times New Roman"/>
                <w:b w:val="0"/>
                <w:bCs w:val="0"/>
                <w:sz w:val="24"/>
                <w:szCs w:val="24"/>
                <w:u w:val="none"/>
                <w:lang w:eastAsia="zh-CN"/>
              </w:rPr>
              <w:t>和广阳镇村镇规划建设办公室出具的规划证明可知</w:t>
            </w:r>
            <w:r>
              <w:rPr>
                <w:rFonts w:hint="default" w:ascii="Times New Roman" w:hAnsi="Times New Roman" w:eastAsia="宋体" w:cs="Times New Roman"/>
                <w:b w:val="0"/>
                <w:bCs w:val="0"/>
                <w:sz w:val="24"/>
                <w:szCs w:val="24"/>
                <w:u w:val="none"/>
              </w:rPr>
              <w:t>，本项目符合</w:t>
            </w:r>
            <w:r>
              <w:rPr>
                <w:rFonts w:hint="eastAsia" w:ascii="Times New Roman" w:hAnsi="Times New Roman" w:eastAsia="宋体" w:cs="Times New Roman"/>
                <w:b w:val="0"/>
                <w:bCs w:val="0"/>
                <w:sz w:val="24"/>
                <w:szCs w:val="24"/>
                <w:u w:val="none"/>
                <w:lang w:eastAsia="zh-CN"/>
              </w:rPr>
              <w:t>方城县广阳镇</w:t>
            </w:r>
            <w:r>
              <w:rPr>
                <w:rFonts w:hint="default" w:ascii="Times New Roman" w:hAnsi="Times New Roman" w:eastAsia="宋体" w:cs="Times New Roman"/>
                <w:b w:val="0"/>
                <w:bCs w:val="0"/>
                <w:sz w:val="24"/>
                <w:szCs w:val="24"/>
                <w:u w:val="none"/>
              </w:rPr>
              <w:t>总体规划的要求；因此，本项目建设符合《方城县城乡总体规划（2016～2030年）》要求。</w:t>
            </w:r>
          </w:p>
          <w:p>
            <w:pPr>
              <w:spacing w:line="336" w:lineRule="auto"/>
              <w:ind w:firstLine="500" w:firstLineChars="200"/>
              <w:rPr>
                <w:rFonts w:hint="default" w:ascii="Times New Roman" w:hAnsi="Times New Roman" w:eastAsia="宋体" w:cs="Times New Roman"/>
                <w:b/>
                <w:bCs/>
                <w:sz w:val="24"/>
                <w:szCs w:val="24"/>
                <w:u w:val="none"/>
              </w:rPr>
            </w:pPr>
            <w:r>
              <w:rPr>
                <w:rFonts w:hint="eastAsia" w:ascii="Times New Roman" w:hAnsi="Times New Roman" w:eastAsia="宋体" w:cs="Times New Roman"/>
                <w:b/>
                <w:bCs/>
                <w:sz w:val="24"/>
                <w:szCs w:val="24"/>
                <w:u w:val="none"/>
                <w:lang w:val="en-US" w:eastAsia="zh-CN"/>
              </w:rPr>
              <w:t>3</w:t>
            </w:r>
            <w:r>
              <w:rPr>
                <w:rFonts w:hint="default" w:ascii="Times New Roman" w:hAnsi="Times New Roman" w:eastAsia="宋体" w:cs="Times New Roman"/>
                <w:b/>
                <w:bCs/>
                <w:sz w:val="24"/>
                <w:szCs w:val="24"/>
                <w:u w:val="none"/>
              </w:rPr>
              <w:t>、《方城县广阳镇总体规划（2013-2030年）》</w:t>
            </w:r>
          </w:p>
          <w:p>
            <w:pPr>
              <w:spacing w:line="360"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根据《方城县广阳镇总体规划（2013-2030年）》中镇域镇村体系规划内容，中心镇规划镇区建设范围主要包括广店、陈茨园、官坡岭、朱寨、新集、高沟和魏楼等7个行政村以及中南厂厂区的区域。项目选址位于南阳市方城县广阳镇后寨村168号，</w:t>
            </w:r>
            <w:r>
              <w:rPr>
                <w:rFonts w:hint="eastAsia" w:ascii="Times New Roman" w:hAnsi="Times New Roman" w:eastAsia="宋体" w:cs="Times New Roman"/>
                <w:b w:val="0"/>
                <w:bCs w:val="0"/>
                <w:sz w:val="24"/>
                <w:szCs w:val="24"/>
                <w:u w:val="none"/>
                <w:lang w:eastAsia="zh-CN"/>
              </w:rPr>
              <w:t>不在广阳镇</w:t>
            </w:r>
            <w:r>
              <w:rPr>
                <w:rFonts w:hint="default" w:ascii="Times New Roman" w:hAnsi="Times New Roman" w:eastAsia="宋体" w:cs="Times New Roman"/>
                <w:b w:val="0"/>
                <w:bCs w:val="0"/>
                <w:sz w:val="24"/>
                <w:szCs w:val="24"/>
                <w:u w:val="none"/>
              </w:rPr>
              <w:t>中心镇规划镇区</w:t>
            </w:r>
            <w:r>
              <w:rPr>
                <w:rFonts w:hint="eastAsia" w:ascii="Times New Roman" w:hAnsi="Times New Roman" w:cs="Times New Roman"/>
                <w:b w:val="0"/>
                <w:bCs w:val="0"/>
                <w:sz w:val="24"/>
                <w:szCs w:val="24"/>
                <w:u w:val="none"/>
                <w:lang w:eastAsia="zh-CN"/>
              </w:rPr>
              <w:t>范围内</w:t>
            </w:r>
            <w:r>
              <w:rPr>
                <w:rFonts w:hint="default" w:ascii="Times New Roman" w:hAnsi="Times New Roman" w:eastAsia="宋体" w:cs="Times New Roman"/>
                <w:b w:val="0"/>
                <w:bCs w:val="0"/>
                <w:sz w:val="24"/>
                <w:szCs w:val="24"/>
                <w:u w:val="none"/>
              </w:rPr>
              <w:t>，另外根据</w:t>
            </w:r>
            <w:r>
              <w:rPr>
                <w:rFonts w:hint="eastAsia" w:ascii="Times New Roman" w:hAnsi="Times New Roman" w:eastAsia="宋体" w:cs="Times New Roman"/>
                <w:b w:val="0"/>
                <w:bCs w:val="0"/>
                <w:sz w:val="24"/>
                <w:szCs w:val="24"/>
                <w:u w:val="none"/>
                <w:lang w:eastAsia="zh-CN"/>
              </w:rPr>
              <w:t>方城县广阳镇</w:t>
            </w:r>
            <w:r>
              <w:rPr>
                <w:rFonts w:hint="default" w:ascii="Times New Roman" w:hAnsi="Times New Roman" w:eastAsia="宋体" w:cs="Times New Roman"/>
                <w:b w:val="0"/>
                <w:bCs w:val="0"/>
                <w:sz w:val="24"/>
                <w:szCs w:val="24"/>
                <w:u w:val="none"/>
              </w:rPr>
              <w:t>人民政府出具的</w:t>
            </w:r>
            <w:r>
              <w:rPr>
                <w:rFonts w:hint="eastAsia" w:ascii="Times New Roman" w:hAnsi="Times New Roman" w:eastAsia="宋体" w:cs="Times New Roman"/>
                <w:b w:val="0"/>
                <w:bCs w:val="0"/>
                <w:sz w:val="24"/>
                <w:szCs w:val="24"/>
                <w:u w:val="none"/>
                <w:lang w:eastAsia="zh-CN"/>
              </w:rPr>
              <w:t>土地</w:t>
            </w:r>
            <w:r>
              <w:rPr>
                <w:rFonts w:hint="default" w:ascii="Times New Roman" w:hAnsi="Times New Roman" w:eastAsia="宋体" w:cs="Times New Roman"/>
                <w:b w:val="0"/>
                <w:bCs w:val="0"/>
                <w:sz w:val="24"/>
                <w:szCs w:val="24"/>
                <w:u w:val="none"/>
              </w:rPr>
              <w:t>证明</w:t>
            </w:r>
            <w:r>
              <w:rPr>
                <w:rFonts w:hint="eastAsia" w:ascii="Times New Roman" w:hAnsi="Times New Roman" w:eastAsia="宋体" w:cs="Times New Roman"/>
                <w:b w:val="0"/>
                <w:bCs w:val="0"/>
                <w:sz w:val="24"/>
                <w:szCs w:val="24"/>
                <w:u w:val="none"/>
                <w:lang w:eastAsia="zh-CN"/>
              </w:rPr>
              <w:t>和广阳镇村镇规划建设办公室出具的规划证明可知</w:t>
            </w:r>
            <w:r>
              <w:rPr>
                <w:rFonts w:hint="default" w:ascii="Times New Roman" w:hAnsi="Times New Roman" w:eastAsia="宋体" w:cs="Times New Roman"/>
                <w:b w:val="0"/>
                <w:bCs w:val="0"/>
                <w:sz w:val="24"/>
                <w:szCs w:val="24"/>
                <w:u w:val="none"/>
              </w:rPr>
              <w:t>，本项目符合</w:t>
            </w:r>
            <w:r>
              <w:rPr>
                <w:rFonts w:hint="eastAsia" w:ascii="Times New Roman" w:hAnsi="Times New Roman" w:eastAsia="宋体" w:cs="Times New Roman"/>
                <w:b w:val="0"/>
                <w:bCs w:val="0"/>
                <w:sz w:val="24"/>
                <w:szCs w:val="24"/>
                <w:u w:val="none"/>
                <w:lang w:eastAsia="zh-CN"/>
              </w:rPr>
              <w:t>方城县广阳镇</w:t>
            </w:r>
            <w:r>
              <w:rPr>
                <w:rFonts w:hint="default" w:ascii="Times New Roman" w:hAnsi="Times New Roman" w:eastAsia="宋体" w:cs="Times New Roman"/>
                <w:b w:val="0"/>
                <w:bCs w:val="0"/>
                <w:sz w:val="24"/>
                <w:szCs w:val="24"/>
                <w:u w:val="none"/>
              </w:rPr>
              <w:t>总体规划的要求</w:t>
            </w:r>
            <w:r>
              <w:rPr>
                <w:rFonts w:hint="eastAsia" w:ascii="Times New Roman" w:hAnsi="Times New Roman" w:cs="Times New Roman"/>
                <w:b w:val="0"/>
                <w:bCs w:val="0"/>
                <w:sz w:val="24"/>
                <w:szCs w:val="24"/>
                <w:u w:val="none"/>
                <w:lang w:eastAsia="zh-CN"/>
              </w:rPr>
              <w:t>，因此，本</w:t>
            </w:r>
            <w:r>
              <w:rPr>
                <w:rFonts w:hint="default" w:ascii="Times New Roman" w:hAnsi="Times New Roman" w:eastAsia="宋体" w:cs="Times New Roman"/>
                <w:b w:val="0"/>
                <w:bCs w:val="0"/>
                <w:sz w:val="24"/>
                <w:szCs w:val="24"/>
                <w:u w:val="none"/>
              </w:rPr>
              <w:t>项目建设符合方城县广阳镇总体规划要求。</w:t>
            </w:r>
          </w:p>
          <w:p>
            <w:pPr>
              <w:spacing w:line="360" w:lineRule="auto"/>
              <w:ind w:firstLine="500" w:firstLineChars="200"/>
              <w:rPr>
                <w:rFonts w:hint="default" w:ascii="Times New Roman" w:hAnsi="Times New Roman" w:eastAsia="宋体" w:cs="Times New Roman"/>
                <w:b/>
                <w:bCs/>
                <w:sz w:val="24"/>
                <w:szCs w:val="24"/>
                <w:u w:val="none"/>
              </w:rPr>
            </w:pPr>
            <w:r>
              <w:rPr>
                <w:rFonts w:hint="eastAsia" w:ascii="Times New Roman" w:hAnsi="Times New Roman" w:eastAsia="宋体" w:cs="Times New Roman"/>
                <w:b/>
                <w:bCs/>
                <w:sz w:val="24"/>
                <w:szCs w:val="24"/>
                <w:u w:val="none"/>
                <w:lang w:val="en-US" w:eastAsia="zh-CN"/>
              </w:rPr>
              <w:t>4</w:t>
            </w:r>
            <w:r>
              <w:rPr>
                <w:rFonts w:hint="default" w:ascii="Times New Roman" w:hAnsi="Times New Roman" w:eastAsia="宋体" w:cs="Times New Roman"/>
                <w:b/>
                <w:bCs/>
                <w:sz w:val="24"/>
                <w:szCs w:val="24"/>
                <w:u w:val="none"/>
              </w:rPr>
              <w:t>、项目建设与所在地饮用水源保护区规划的相符性</w:t>
            </w:r>
          </w:p>
          <w:p>
            <w:pPr>
              <w:spacing w:line="360" w:lineRule="auto"/>
              <w:ind w:firstLine="500" w:firstLineChars="200"/>
              <w:rPr>
                <w:rFonts w:hint="default" w:ascii="Times New Roman" w:hAnsi="Times New Roman" w:eastAsia="宋体" w:cs="Times New Roman"/>
                <w:b/>
                <w:bCs/>
                <w:sz w:val="24"/>
                <w:szCs w:val="24"/>
                <w:u w:val="none"/>
              </w:rPr>
            </w:pPr>
            <w:r>
              <w:rPr>
                <w:rFonts w:hint="eastAsia" w:ascii="Times New Roman" w:hAnsi="Times New Roman" w:eastAsia="宋体" w:cs="Times New Roman"/>
                <w:b/>
                <w:bCs/>
                <w:sz w:val="24"/>
                <w:szCs w:val="24"/>
                <w:u w:val="none"/>
                <w:lang w:val="en-US" w:eastAsia="zh-CN"/>
              </w:rPr>
              <w:t>4</w:t>
            </w:r>
            <w:r>
              <w:rPr>
                <w:rFonts w:hint="default" w:ascii="Times New Roman" w:hAnsi="Times New Roman" w:eastAsia="宋体" w:cs="Times New Roman"/>
                <w:b/>
                <w:bCs/>
                <w:sz w:val="24"/>
                <w:szCs w:val="24"/>
                <w:u w:val="none"/>
              </w:rPr>
              <w:t>.1 县级饮用水源保护区区划</w:t>
            </w:r>
          </w:p>
          <w:p>
            <w:pPr>
              <w:spacing w:line="360"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根据《河南省人民政府办公厅关于印发河南省县级集中式饮用水水源保护区划的通知豫政办〔2013〕107 号》，方城县集中式饮用水源保护区划分如下：</w:t>
            </w:r>
          </w:p>
          <w:p>
            <w:pPr>
              <w:spacing w:line="360"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方城县贺大庄地下水井群(共 14 眼井)：</w:t>
            </w:r>
          </w:p>
          <w:p>
            <w:pPr>
              <w:spacing w:line="360"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一级保护区范围:井群小院及外围东 75 米、南 60 米、北 80 米、西至三里河的区域。</w:t>
            </w:r>
          </w:p>
          <w:p>
            <w:pPr>
              <w:spacing w:line="360" w:lineRule="auto"/>
              <w:ind w:firstLine="500" w:firstLineChars="200"/>
              <w:rPr>
                <w:rFonts w:hint="default" w:ascii="Times New Roman" w:hAnsi="Times New Roman" w:eastAsia="宋体" w:cs="Times New Roman"/>
                <w:b/>
                <w:bCs/>
                <w:sz w:val="24"/>
                <w:szCs w:val="24"/>
                <w:u w:val="none"/>
              </w:rPr>
            </w:pPr>
            <w:r>
              <w:rPr>
                <w:rFonts w:hint="eastAsia" w:ascii="Times New Roman" w:hAnsi="Times New Roman" w:eastAsia="宋体" w:cs="Times New Roman"/>
                <w:b/>
                <w:bCs/>
                <w:sz w:val="24"/>
                <w:szCs w:val="24"/>
                <w:u w:val="none"/>
                <w:lang w:val="en-US" w:eastAsia="zh-CN"/>
              </w:rPr>
              <w:t>4</w:t>
            </w:r>
            <w:r>
              <w:rPr>
                <w:rFonts w:hint="default" w:ascii="Times New Roman" w:hAnsi="Times New Roman" w:eastAsia="宋体" w:cs="Times New Roman"/>
                <w:b/>
                <w:bCs/>
                <w:sz w:val="24"/>
                <w:szCs w:val="24"/>
                <w:u w:val="none"/>
              </w:rPr>
              <w:t>.2 乡镇饮用水源保护区区划</w:t>
            </w:r>
          </w:p>
          <w:p>
            <w:pPr>
              <w:spacing w:line="360"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根据《方城县人民政府关于印发方城县乡镇集中式饮用水水源地保护区划的通知》（方政文</w:t>
            </w:r>
            <w:r>
              <w:rPr>
                <w:rFonts w:hint="eastAsia" w:ascii="Times New Roman" w:hAnsi="Times New Roman" w:cs="Times New Roman"/>
                <w:b w:val="0"/>
                <w:bCs w:val="0"/>
                <w:sz w:val="24"/>
                <w:szCs w:val="24"/>
                <w:u w:val="none"/>
                <w:lang w:val="en-US" w:eastAsia="zh-CN"/>
              </w:rPr>
              <w:t>[2019]</w:t>
            </w:r>
            <w:r>
              <w:rPr>
                <w:rFonts w:hint="default" w:ascii="Times New Roman" w:hAnsi="Times New Roman" w:eastAsia="宋体" w:cs="Times New Roman"/>
                <w:b w:val="0"/>
                <w:bCs w:val="0"/>
                <w:sz w:val="24"/>
                <w:szCs w:val="24"/>
                <w:u w:val="none"/>
              </w:rPr>
              <w:t>52 号），</w:t>
            </w:r>
            <w:r>
              <w:rPr>
                <w:rFonts w:hint="eastAsia" w:ascii="Times New Roman" w:hAnsi="Times New Roman" w:eastAsia="宋体" w:cs="Times New Roman"/>
                <w:b w:val="0"/>
                <w:bCs w:val="0"/>
                <w:sz w:val="24"/>
                <w:szCs w:val="24"/>
                <w:u w:val="none"/>
                <w:lang w:eastAsia="zh-CN"/>
              </w:rPr>
              <w:t>广阳镇</w:t>
            </w:r>
            <w:r>
              <w:rPr>
                <w:rFonts w:hint="default" w:ascii="Times New Roman" w:hAnsi="Times New Roman" w:eastAsia="宋体" w:cs="Times New Roman"/>
                <w:b w:val="0"/>
                <w:bCs w:val="0"/>
                <w:sz w:val="24"/>
                <w:szCs w:val="24"/>
                <w:u w:val="none"/>
              </w:rPr>
              <w:t>饮用水水源保护区范围为：</w:t>
            </w:r>
          </w:p>
          <w:p>
            <w:pPr>
              <w:spacing w:line="360" w:lineRule="auto"/>
              <w:ind w:firstLine="500" w:firstLineChars="200"/>
              <w:rPr>
                <w:rFonts w:hint="default" w:ascii="Times New Roman" w:hAnsi="Times New Roman" w:eastAsia="宋体" w:cs="Times New Roman"/>
                <w:b w:val="0"/>
                <w:bCs w:val="0"/>
                <w:sz w:val="24"/>
                <w:szCs w:val="24"/>
                <w:u w:val="none"/>
              </w:rPr>
            </w:pPr>
            <w:r>
              <w:rPr>
                <w:rFonts w:hint="eastAsia" w:ascii="Times New Roman" w:hAnsi="Times New Roman" w:eastAsia="宋体" w:cs="Times New Roman"/>
                <w:b w:val="0"/>
                <w:bCs w:val="0"/>
                <w:sz w:val="24"/>
                <w:szCs w:val="24"/>
                <w:u w:val="none"/>
                <w:lang w:eastAsia="zh-CN"/>
              </w:rPr>
              <w:t>广阳镇</w:t>
            </w:r>
            <w:r>
              <w:rPr>
                <w:rFonts w:hint="default" w:ascii="Times New Roman" w:hAnsi="Times New Roman" w:eastAsia="宋体" w:cs="Times New Roman"/>
                <w:b w:val="0"/>
                <w:bCs w:val="0"/>
                <w:sz w:val="24"/>
                <w:szCs w:val="24"/>
                <w:u w:val="none"/>
              </w:rPr>
              <w:t>自来水厂地下水井群（共 1 眼井）：</w:t>
            </w:r>
          </w:p>
          <w:p>
            <w:pPr>
              <w:spacing w:line="360"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一级保护区: 以各水源井为中心，向外距离30米为半径的区域。</w:t>
            </w:r>
          </w:p>
          <w:p>
            <w:pPr>
              <w:spacing w:line="360"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二级保护区：一级保护区外，以1#、2#水源井为中心，向外距离300米为半径的区域。</w:t>
            </w:r>
          </w:p>
          <w:p>
            <w:pPr>
              <w:spacing w:line="360" w:lineRule="auto"/>
              <w:ind w:firstLine="500" w:firstLineChars="200"/>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准保护区：考虑含水介质特征，水源井远离公路、临近村庄，周边主要为农田等基本情况，以乡村道路为边界线，划定准保护区，东至水厂西侧南北道路，南至万庄东西路，西至小刘庄南北路，北至罗庄南东西路。</w:t>
            </w:r>
          </w:p>
          <w:p>
            <w:pPr>
              <w:spacing w:line="360" w:lineRule="auto"/>
              <w:ind w:firstLine="500" w:firstLineChars="200"/>
              <w:rPr>
                <w:rFonts w:hint="default" w:ascii="Times New Roman" w:hAnsi="Times New Roman" w:eastAsia="宋体" w:cs="Times New Roman"/>
                <w:b/>
                <w:bCs/>
                <w:sz w:val="24"/>
                <w:szCs w:val="24"/>
                <w:u w:val="none"/>
              </w:rPr>
            </w:pPr>
            <w:r>
              <w:rPr>
                <w:rFonts w:hint="eastAsia" w:ascii="Times New Roman" w:hAnsi="Times New Roman" w:eastAsia="宋体" w:cs="Times New Roman"/>
                <w:b/>
                <w:bCs/>
                <w:sz w:val="24"/>
                <w:szCs w:val="24"/>
                <w:u w:val="none"/>
                <w:lang w:val="en-US" w:eastAsia="zh-CN"/>
              </w:rPr>
              <w:t>4</w:t>
            </w:r>
            <w:r>
              <w:rPr>
                <w:rFonts w:hint="default" w:ascii="Times New Roman" w:hAnsi="Times New Roman" w:eastAsia="宋体" w:cs="Times New Roman"/>
                <w:b/>
                <w:bCs/>
                <w:sz w:val="24"/>
                <w:szCs w:val="24"/>
                <w:u w:val="none"/>
              </w:rPr>
              <w:t>.3 相符性分析</w:t>
            </w:r>
          </w:p>
          <w:p>
            <w:pPr>
              <w:spacing w:line="360" w:lineRule="auto"/>
              <w:ind w:firstLine="500" w:firstLineChars="20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u w:val="none"/>
              </w:rPr>
              <w:t>本项目位于南阳市方城县广阳镇后寨168号，项目选址距离</w:t>
            </w:r>
            <w:r>
              <w:rPr>
                <w:rFonts w:hint="eastAsia" w:ascii="Times New Roman" w:hAnsi="Times New Roman" w:eastAsia="宋体" w:cs="Times New Roman"/>
                <w:b w:val="0"/>
                <w:bCs w:val="0"/>
                <w:sz w:val="24"/>
                <w:szCs w:val="24"/>
                <w:u w:val="none"/>
                <w:lang w:eastAsia="zh-CN"/>
              </w:rPr>
              <w:t>东</w:t>
            </w:r>
            <w:r>
              <w:rPr>
                <w:rFonts w:hint="default" w:ascii="Times New Roman" w:hAnsi="Times New Roman" w:eastAsia="宋体" w:cs="Times New Roman"/>
                <w:b w:val="0"/>
                <w:bCs w:val="0"/>
                <w:sz w:val="24"/>
                <w:szCs w:val="24"/>
                <w:u w:val="none"/>
              </w:rPr>
              <w:t>北侧贺大庄地下水井群水源保护区约</w:t>
            </w:r>
            <w:r>
              <w:rPr>
                <w:rFonts w:hint="eastAsia" w:ascii="Times New Roman" w:hAnsi="Times New Roman" w:eastAsia="宋体" w:cs="Times New Roman"/>
                <w:b w:val="0"/>
                <w:bCs w:val="0"/>
                <w:sz w:val="24"/>
                <w:szCs w:val="24"/>
                <w:u w:val="none"/>
                <w:lang w:val="en-US" w:eastAsia="zh-CN"/>
              </w:rPr>
              <w:t>21</w:t>
            </w:r>
            <w:r>
              <w:rPr>
                <w:rFonts w:hint="default" w:ascii="Times New Roman" w:hAnsi="Times New Roman" w:eastAsia="宋体" w:cs="Times New Roman"/>
                <w:b w:val="0"/>
                <w:bCs w:val="0"/>
                <w:sz w:val="24"/>
                <w:szCs w:val="24"/>
                <w:u w:val="none"/>
              </w:rPr>
              <w:t>km，不在其保护区范围之内；距离西北侧方城县</w:t>
            </w:r>
            <w:r>
              <w:rPr>
                <w:rFonts w:hint="eastAsia" w:ascii="Times New Roman" w:hAnsi="Times New Roman" w:eastAsia="宋体" w:cs="Times New Roman"/>
                <w:b w:val="0"/>
                <w:bCs w:val="0"/>
                <w:sz w:val="24"/>
                <w:szCs w:val="24"/>
                <w:u w:val="none"/>
                <w:lang w:eastAsia="zh-CN"/>
              </w:rPr>
              <w:t>广阳镇</w:t>
            </w:r>
            <w:r>
              <w:rPr>
                <w:rFonts w:hint="default" w:ascii="Times New Roman" w:hAnsi="Times New Roman" w:eastAsia="宋体" w:cs="Times New Roman"/>
                <w:b w:val="0"/>
                <w:bCs w:val="0"/>
                <w:sz w:val="24"/>
                <w:szCs w:val="24"/>
                <w:u w:val="none"/>
              </w:rPr>
              <w:t>自来水厂地下水井群准保护区约3.1km，项目不在其保护区范围之内。综上，项目不在方城县县级、乡镇级饮用水源保护区范围内，项目建设不会对饮用水源产生影响。</w:t>
            </w:r>
          </w:p>
          <w:p>
            <w:pPr>
              <w:spacing w:line="360" w:lineRule="auto"/>
              <w:ind w:firstLine="500" w:firstLineChars="200"/>
              <w:rPr>
                <w:rFonts w:hint="default" w:ascii="Times New Roman" w:hAnsi="Times New Roman" w:eastAsia="宋体" w:cs="Times New Roman"/>
                <w:b/>
                <w:sz w:val="24"/>
                <w:szCs w:val="24"/>
              </w:rPr>
            </w:pPr>
            <w:r>
              <w:rPr>
                <w:rFonts w:hint="eastAsia"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、项目建设与南水北调中线工程规划的相符性分析</w:t>
            </w:r>
          </w:p>
          <w:p>
            <w:pPr>
              <w:spacing w:line="360" w:lineRule="auto"/>
              <w:ind w:firstLine="500" w:firstLineChars="200"/>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.1方案内容</w:t>
            </w:r>
          </w:p>
          <w:p>
            <w:pPr>
              <w:widowControl/>
              <w:autoSpaceDE w:val="0"/>
              <w:autoSpaceDN w:val="0"/>
              <w:adjustRightInd w:val="0"/>
              <w:spacing w:line="360" w:lineRule="auto"/>
              <w:ind w:firstLine="48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根据2018年6月28日发布的《南水北调中线一期工程总干渠（河南段）两侧饮用水水源保护区划》。</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一、水源保护区设计行政区划范围</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南水北调中线一期工程总干渠（河南段）在我省境内全长731公里，水源保护区范围涉及8个省辖市、35个县（市、区）。</w:t>
            </w:r>
          </w:p>
          <w:p>
            <w:pPr>
              <w:widowControl/>
              <w:autoSpaceDE w:val="0"/>
              <w:autoSpaceDN w:val="0"/>
              <w:adjustRightInd w:val="0"/>
              <w:spacing w:line="360" w:lineRule="auto"/>
              <w:ind w:firstLine="48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二、水源保护区范围划定</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南水北调中线一期工程总干渠在河南省境内的工程类型分为建筑物段和总干渠明渠段。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（一）建筑物段（渡槽、倒虹吸、暗涵、遂洞） </w:t>
            </w:r>
          </w:p>
          <w:p>
            <w:pPr>
              <w:widowControl/>
              <w:autoSpaceDE w:val="0"/>
              <w:autoSpaceDN w:val="0"/>
              <w:adjustRightInd w:val="0"/>
              <w:spacing w:line="360" w:lineRule="auto"/>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一级保护区范围自总干渠管理范围边线（防护栏网）外延50m，不设二级保护区。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（二）总干渠明渠段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根据地下水水位与总干渠渠底高程的关系，分为以下几种类型：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1、地下水水位低于总干渠渠底的渠段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一级保护区范围自总干渠管理范围边线（防护栏网）外延50m。</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二级保护区范围自一级保护区边线外延150m。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2、地下水水位高于总干渠渠底的渠段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（1）微~弱透水性地层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一级保护区范围自总干渠管理范围边线（防护栏网）外延50m。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二级保护区范围自一级保护区边线外延 500m。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（2）弱~中等透水性地层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一级保护区范围自总干渠管理范围边线（防护栏网）外延100m。</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二级保护区范围自一级保护区边线外延 1000m。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（3）强透水性地层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一级保护区范围自总干渠管理范围边线（防护栏网）外延200m。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二级保护区范围自一级保护区边线外延 2000m、1500m。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三、监督与管理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南水北调中线一期工程总干渠（河南段）两侧饮用水水源保护区所在地各级政府要按照有关法律法规加强饮用水水源环境监督管理工作。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1）在饮用水水源保护区内，禁止设置排污口；禁止使用剧毒和高残留农药，不得滥用化肥；禁止利用渗坑、渗井、裂隙等排放污水和其他有害废弃物；禁止利用储水层孔隙、裂隙及废弃矿坑储存石油、放射性物质、有毒化学品、农药等。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（2）在一级保护区内，禁止新建、改建、扩建与供水设施和保护水源无关的建设项目。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xml:space="preserve">（3）在二级保护区内，禁止新建、改建、扩建排放污染物的建设项目。 </w:t>
            </w:r>
          </w:p>
          <w:p>
            <w:pPr>
              <w:widowControl/>
              <w:autoSpaceDE w:val="0"/>
              <w:autoSpaceDN w:val="0"/>
              <w:adjustRightInd w:val="0"/>
              <w:spacing w:line="360" w:lineRule="auto"/>
              <w:ind w:firstLine="50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4）在本区划公布前，保护区内已经建成的与法律法规不符的建设项目，各级政府要尽快组织排查并依法处置。各级政府要组织有关部门定期开展饮用水水源保护区专项执法活动，严肃查处环境违法行为，及时取缔饮用水水源保护区内违法建设项目和活动。</w:t>
            </w:r>
          </w:p>
          <w:p>
            <w:pPr>
              <w:spacing w:line="360" w:lineRule="auto"/>
              <w:ind w:firstLine="500" w:firstLineChars="200"/>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.2相符性分析</w:t>
            </w:r>
          </w:p>
          <w:p>
            <w:pPr>
              <w:bidi w:val="0"/>
              <w:spacing w:line="360" w:lineRule="auto"/>
              <w:ind w:firstLine="50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该项目位于南阳市方城县广阳镇后寨168号，</w:t>
            </w:r>
            <w:r>
              <w:rPr>
                <w:rFonts w:hint="default" w:ascii="Times New Roman" w:hAnsi="Times New Roman" w:eastAsia="宋体" w:cs="Times New Roman"/>
                <w:sz w:val="24"/>
                <w:szCs w:val="24"/>
                <w:lang w:val="en-US" w:eastAsia="zh-CN"/>
              </w:rPr>
              <w:t>属于TS1</w:t>
            </w:r>
            <w:r>
              <w:rPr>
                <w:rFonts w:hint="eastAsia" w:ascii="Times New Roman" w:hAnsi="Times New Roman" w:eastAsia="宋体" w:cs="Times New Roman"/>
                <w:sz w:val="24"/>
                <w:szCs w:val="24"/>
                <w:lang w:val="en-US" w:eastAsia="zh-CN"/>
              </w:rPr>
              <w:t>37</w:t>
            </w:r>
            <w:r>
              <w:rPr>
                <w:rFonts w:hint="default" w:ascii="Times New Roman" w:hAnsi="Times New Roman" w:eastAsia="宋体" w:cs="Times New Roman"/>
                <w:sz w:val="24"/>
                <w:szCs w:val="24"/>
                <w:lang w:val="en-US" w:eastAsia="zh-CN"/>
              </w:rPr>
              <w:t>+000~TS1</w:t>
            </w:r>
            <w:r>
              <w:rPr>
                <w:rFonts w:hint="eastAsia" w:ascii="Times New Roman" w:hAnsi="Times New Roman" w:eastAsia="宋体" w:cs="Times New Roman"/>
                <w:sz w:val="24"/>
                <w:szCs w:val="24"/>
                <w:lang w:val="en-US" w:eastAsia="zh-CN"/>
              </w:rPr>
              <w:t>38</w:t>
            </w: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0</w:t>
            </w:r>
            <w:r>
              <w:rPr>
                <w:rFonts w:hint="default" w:ascii="Times New Roman" w:hAnsi="Times New Roman" w:eastAsia="宋体" w:cs="Times New Roman"/>
                <w:sz w:val="24"/>
                <w:szCs w:val="24"/>
                <w:lang w:val="en-US" w:eastAsia="zh-CN"/>
              </w:rPr>
              <w:t>00段，该段一级饮用水源保护区宽度为100m，二级饮用水源保护区宽度为1000m，本项目距离厂区</w:t>
            </w:r>
            <w:r>
              <w:rPr>
                <w:rFonts w:hint="eastAsia" w:ascii="Times New Roman" w:hAnsi="Times New Roman" w:eastAsia="宋体" w:cs="Times New Roman"/>
                <w:sz w:val="24"/>
                <w:szCs w:val="24"/>
                <w:lang w:val="en-US" w:eastAsia="zh-CN"/>
              </w:rPr>
              <w:t>东南</w:t>
            </w:r>
            <w:r>
              <w:rPr>
                <w:rFonts w:hint="default" w:ascii="Times New Roman" w:hAnsi="Times New Roman" w:eastAsia="宋体" w:cs="Times New Roman"/>
                <w:sz w:val="24"/>
                <w:szCs w:val="24"/>
                <w:lang w:val="en-US" w:eastAsia="zh-CN"/>
              </w:rPr>
              <w:t>侧南水北调中线干渠</w:t>
            </w:r>
            <w:r>
              <w:rPr>
                <w:rFonts w:hint="eastAsia" w:ascii="Times New Roman" w:hAnsi="Times New Roman" w:eastAsia="宋体" w:cs="Times New Roman"/>
                <w:sz w:val="24"/>
                <w:szCs w:val="24"/>
                <w:lang w:val="en-US" w:eastAsia="zh-CN"/>
              </w:rPr>
              <w:t>左</w:t>
            </w:r>
            <w:r>
              <w:rPr>
                <w:rFonts w:hint="default" w:ascii="Times New Roman" w:hAnsi="Times New Roman" w:eastAsia="宋体" w:cs="Times New Roman"/>
                <w:sz w:val="24"/>
                <w:szCs w:val="24"/>
                <w:lang w:val="en-US" w:eastAsia="zh-CN"/>
              </w:rPr>
              <w:t>岸最近距离约</w:t>
            </w:r>
            <w:r>
              <w:rPr>
                <w:rFonts w:hint="eastAsia" w:ascii="Times New Roman" w:hAnsi="Times New Roman" w:eastAsia="宋体" w:cs="Times New Roman"/>
                <w:sz w:val="24"/>
                <w:szCs w:val="24"/>
                <w:lang w:val="en-US" w:eastAsia="zh-CN"/>
              </w:rPr>
              <w:t>14.9</w:t>
            </w:r>
            <w:r>
              <w:rPr>
                <w:rFonts w:hint="default" w:ascii="Times New Roman" w:hAnsi="Times New Roman" w:eastAsia="宋体" w:cs="Times New Roman"/>
                <w:sz w:val="24"/>
                <w:szCs w:val="24"/>
                <w:lang w:val="en-US" w:eastAsia="zh-CN"/>
              </w:rPr>
              <w:t>km，因此，项目选址区域距离二级饮用水源保护区</w:t>
            </w:r>
            <w:r>
              <w:rPr>
                <w:rFonts w:hint="eastAsia" w:ascii="Times New Roman" w:hAnsi="Times New Roman" w:eastAsia="宋体" w:cs="Times New Roman"/>
                <w:sz w:val="24"/>
                <w:szCs w:val="24"/>
                <w:lang w:val="en-US" w:eastAsia="zh-CN"/>
              </w:rPr>
              <w:t>13.8</w:t>
            </w:r>
            <w:r>
              <w:rPr>
                <w:rFonts w:hint="default" w:ascii="Times New Roman" w:hAnsi="Times New Roman" w:eastAsia="宋体" w:cs="Times New Roman"/>
                <w:sz w:val="24"/>
                <w:szCs w:val="24"/>
                <w:lang w:val="en-US" w:eastAsia="zh-CN"/>
              </w:rPr>
              <w:t>km，不在南水北调中线工程水源保护区内，项目建设对南水北调中线一期工程总干渠两侧水源保护区不会造成不良影响</w:t>
            </w:r>
            <w:r>
              <w:rPr>
                <w:rFonts w:hint="default" w:ascii="Times New Roman" w:hAnsi="Times New Roman" w:eastAsia="宋体" w:cs="Times New Roman"/>
                <w:sz w:val="24"/>
                <w:szCs w:val="24"/>
              </w:rPr>
              <w:t>。</w:t>
            </w:r>
          </w:p>
          <w:p>
            <w:pPr>
              <w:widowControl/>
              <w:adjustRightInd w:val="0"/>
              <w:snapToGrid w:val="0"/>
              <w:spacing w:line="360" w:lineRule="auto"/>
              <w:ind w:firstLine="500" w:firstLineChars="200"/>
              <w:rPr>
                <w:rFonts w:hint="default" w:ascii="Times New Roman" w:hAnsi="Times New Roman" w:eastAsia="宋体" w:cs="Times New Roman"/>
                <w:b/>
                <w:color w:val="000000"/>
                <w:sz w:val="24"/>
              </w:rPr>
            </w:pPr>
            <w:r>
              <w:rPr>
                <w:rFonts w:hint="eastAsia" w:ascii="Times New Roman" w:hAnsi="Times New Roman" w:eastAsia="宋体" w:cs="Times New Roman"/>
                <w:b/>
                <w:color w:val="000000"/>
                <w:sz w:val="24"/>
                <w:lang w:val="en-US" w:eastAsia="zh-CN"/>
              </w:rPr>
              <w:t>6</w:t>
            </w:r>
            <w:r>
              <w:rPr>
                <w:rFonts w:hint="default" w:ascii="Times New Roman" w:hAnsi="Times New Roman" w:eastAsia="宋体" w:cs="Times New Roman"/>
                <w:b/>
                <w:color w:val="000000"/>
                <w:sz w:val="24"/>
              </w:rPr>
              <w:t>、项目与河南省生态环境保护委员会办公室关于印发《河南省深入打好秋冬季重污染天气消除、夏季臭氧污染防治和柴油货车污染治理攻坚战行动方案》的通知（豫环委办[2023]3号）相符性分析</w:t>
            </w:r>
          </w:p>
          <w:p>
            <w:pPr>
              <w:bidi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表1-</w:t>
            </w:r>
            <w:r>
              <w:rPr>
                <w:rFonts w:hint="default" w:ascii="Times New Roman" w:hAnsi="Times New Roman" w:cs="Times New Roman"/>
                <w:b/>
                <w:bCs/>
                <w:sz w:val="24"/>
                <w:szCs w:val="24"/>
                <w:lang w:val="en-US" w:eastAsia="zh-CN"/>
              </w:rPr>
              <w:t>1</w:t>
            </w:r>
            <w:r>
              <w:rPr>
                <w:rFonts w:hint="default" w:ascii="Times New Roman" w:hAnsi="Times New Roman" w:cs="Times New Roman"/>
                <w:b/>
                <w:bCs/>
                <w:sz w:val="24"/>
                <w:szCs w:val="24"/>
              </w:rPr>
              <w:t xml:space="preserve">    项目与豫环委办[2023]3号（节选）相符性分析一览表</w:t>
            </w:r>
          </w:p>
          <w:tbl>
            <w:tblPr>
              <w:tblStyle w:val="11"/>
              <w:tblW w:w="870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0"/>
              <w:gridCol w:w="4254"/>
              <w:gridCol w:w="2593"/>
              <w:gridCol w:w="86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 w:hRule="atLeast"/>
                <w:jc w:val="center"/>
              </w:trPr>
              <w:tc>
                <w:tcPr>
                  <w:tcW w:w="990" w:type="dxa"/>
                  <w:vAlign w:val="center"/>
                </w:tcPr>
                <w:p>
                  <w:pPr>
                    <w:snapToGrid w:val="0"/>
                    <w:spacing w:line="36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分类</w:t>
                  </w:r>
                </w:p>
              </w:tc>
              <w:tc>
                <w:tcPr>
                  <w:tcW w:w="4254" w:type="dxa"/>
                  <w:vAlign w:val="center"/>
                </w:tcPr>
                <w:p>
                  <w:pPr>
                    <w:snapToGrid w:val="0"/>
                    <w:spacing w:line="36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行动方案内容</w:t>
                  </w:r>
                </w:p>
              </w:tc>
              <w:tc>
                <w:tcPr>
                  <w:tcW w:w="2593" w:type="dxa"/>
                  <w:vAlign w:val="center"/>
                </w:tcPr>
                <w:p>
                  <w:pPr>
                    <w:snapToGrid w:val="0"/>
                    <w:spacing w:line="36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 xml:space="preserve">本项目情况                                                                                                                                                                                                                                                                                                                                                                                                                                                                                                               </w:t>
                  </w:r>
                </w:p>
              </w:tc>
              <w:tc>
                <w:tcPr>
                  <w:tcW w:w="869" w:type="dxa"/>
                  <w:vAlign w:val="center"/>
                </w:tcPr>
                <w:p>
                  <w:pPr>
                    <w:snapToGrid w:val="0"/>
                    <w:spacing w:line="360" w:lineRule="auto"/>
                    <w:jc w:val="center"/>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相符性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46" w:hRule="atLeast"/>
                <w:jc w:val="center"/>
              </w:trPr>
              <w:tc>
                <w:tcPr>
                  <w:tcW w:w="8706" w:type="dxa"/>
                  <w:gridSpan w:val="4"/>
                  <w:vAlign w:val="center"/>
                </w:tcPr>
                <w:p>
                  <w:pPr>
                    <w:snapToGrid w:val="0"/>
                    <w:spacing w:line="360" w:lineRule="auto"/>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秋冬季重污染天气消除攻坚战行动方案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46" w:hRule="atLeast"/>
                <w:jc w:val="center"/>
              </w:trPr>
              <w:tc>
                <w:tcPr>
                  <w:tcW w:w="990" w:type="dxa"/>
                  <w:vAlign w:val="center"/>
                </w:tcPr>
                <w:p>
                  <w:pPr>
                    <w:snapToGrid w:val="0"/>
                    <w:spacing w:line="360" w:lineRule="auto"/>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二、大气减污降碳协同增效行动</w:t>
                  </w:r>
                </w:p>
              </w:tc>
              <w:tc>
                <w:tcPr>
                  <w:tcW w:w="4254" w:type="dxa"/>
                  <w:vAlign w:val="center"/>
                </w:tcPr>
                <w:p>
                  <w:pPr>
                    <w:snapToGrid w:val="0"/>
                    <w:spacing w:line="360" w:lineRule="auto"/>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遏制“两高”项目盲目发展。严格落实国家产业规划、产业政策、“三线一单”、规划环评，以及产能置换、煤炭消费减量替代、区域污染物削减等要求，严把高耗能、高排放、低水平项目准入关口。全省大气污染防治重点区域禁止新增钢铁、电解铝、氧化铝、水泥熟料、平板玻璃（光伏压延玻璃除外）、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A级绩效水平，改建项目污染物排放限值、污染治理措施、无组织排放控制水平、运输方式等达到B级以上绩效水平。新建、改建、扩建项目大宗货物年货运量150万吨及以上的</w:t>
                  </w:r>
                  <w:r>
                    <w:rPr>
                      <w:rFonts w:hint="default" w:ascii="Times New Roman" w:hAnsi="Times New Roman" w:eastAsia="宋体" w:cs="Times New Roman"/>
                      <w:bCs/>
                      <w:color w:val="000000"/>
                      <w:kern w:val="0"/>
                      <w:sz w:val="21"/>
                      <w:szCs w:val="21"/>
                      <w:lang w:eastAsia="zh-CN"/>
                    </w:rPr>
                    <w:t>，</w:t>
                  </w:r>
                  <w:r>
                    <w:rPr>
                      <w:rFonts w:hint="default" w:ascii="Times New Roman" w:hAnsi="Times New Roman" w:eastAsia="宋体" w:cs="Times New Roman"/>
                      <w:bCs/>
                      <w:color w:val="000000"/>
                      <w:kern w:val="0"/>
                      <w:sz w:val="21"/>
                      <w:szCs w:val="21"/>
                    </w:rPr>
                    <w:t>原则上要接入铁路专用线或管道；具有铁专用线的，大宗货物铁路运输比例应达到80%以上。</w:t>
                  </w:r>
                </w:p>
              </w:tc>
              <w:tc>
                <w:tcPr>
                  <w:tcW w:w="2593" w:type="dxa"/>
                  <w:vAlign w:val="center"/>
                </w:tcPr>
                <w:p>
                  <w:pPr>
                    <w:snapToGrid w:val="0"/>
                    <w:spacing w:line="360" w:lineRule="auto"/>
                    <w:jc w:val="both"/>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本项目主要</w:t>
                  </w:r>
                  <w:r>
                    <w:rPr>
                      <w:rFonts w:hint="default" w:ascii="Times New Roman" w:hAnsi="Times New Roman" w:eastAsia="宋体" w:cs="Times New Roman"/>
                      <w:bCs/>
                      <w:color w:val="000000"/>
                      <w:kern w:val="0"/>
                      <w:sz w:val="21"/>
                      <w:szCs w:val="21"/>
                      <w:lang w:val="en-US" w:eastAsia="zh-CN"/>
                    </w:rPr>
                    <w:t>进行再生塑料颗粒的生产，</w:t>
                  </w:r>
                  <w:r>
                    <w:rPr>
                      <w:rFonts w:hint="default" w:ascii="Times New Roman" w:hAnsi="Times New Roman" w:eastAsia="宋体" w:cs="Times New Roman"/>
                      <w:bCs/>
                      <w:color w:val="000000"/>
                      <w:kern w:val="0"/>
                      <w:sz w:val="21"/>
                      <w:szCs w:val="21"/>
                    </w:rPr>
                    <w:t>属于</w:t>
                  </w:r>
                  <w:r>
                    <w:rPr>
                      <w:rFonts w:hint="eastAsia" w:ascii="Times New Roman" w:hAnsi="Times New Roman" w:cs="Times New Roman"/>
                      <w:bCs/>
                      <w:color w:val="000000"/>
                      <w:kern w:val="0"/>
                      <w:sz w:val="21"/>
                      <w:szCs w:val="21"/>
                      <w:lang w:val="en-US" w:eastAsia="zh-CN"/>
                    </w:rPr>
                    <w:t>C4220非金属废料和碎屑加工处理</w:t>
                  </w:r>
                  <w:r>
                    <w:rPr>
                      <w:rFonts w:hint="default" w:ascii="Times New Roman" w:hAnsi="Times New Roman" w:eastAsia="宋体" w:cs="Times New Roman"/>
                      <w:bCs/>
                      <w:color w:val="000000"/>
                      <w:kern w:val="0"/>
                      <w:sz w:val="21"/>
                      <w:szCs w:val="21"/>
                    </w:rPr>
                    <w:t>，不属于“两高”项目</w:t>
                  </w:r>
                  <w:r>
                    <w:rPr>
                      <w:rFonts w:hint="default" w:ascii="Times New Roman" w:hAnsi="Times New Roman" w:eastAsia="宋体" w:cs="Times New Roman"/>
                      <w:bCs/>
                      <w:color w:val="000000"/>
                      <w:kern w:val="0"/>
                      <w:sz w:val="21"/>
                      <w:szCs w:val="21"/>
                      <w:lang w:eastAsia="zh-CN"/>
                    </w:rPr>
                    <w:t>，不在禁止新增产能行业</w:t>
                  </w:r>
                  <w:r>
                    <w:rPr>
                      <w:rFonts w:hint="eastAsia" w:ascii="Times New Roman" w:hAnsi="Times New Roman" w:eastAsia="宋体" w:cs="Times New Roman"/>
                      <w:bCs/>
                      <w:color w:val="000000"/>
                      <w:kern w:val="0"/>
                      <w:sz w:val="21"/>
                      <w:szCs w:val="21"/>
                      <w:lang w:eastAsia="zh-CN"/>
                    </w:rPr>
                    <w:t>，</w:t>
                  </w:r>
                  <w:r>
                    <w:rPr>
                      <w:rFonts w:hint="default" w:ascii="Times New Roman" w:hAnsi="Times New Roman" w:eastAsia="宋体" w:cs="Times New Roman"/>
                      <w:bCs/>
                      <w:color w:val="000000"/>
                      <w:kern w:val="0"/>
                      <w:sz w:val="21"/>
                      <w:szCs w:val="21"/>
                    </w:rPr>
                    <w:t>项目建设符合当前国家产业政策，符合区域“三线一单”管控要求；</w:t>
                  </w:r>
                  <w:r>
                    <w:rPr>
                      <w:rFonts w:hint="default" w:ascii="Times New Roman" w:hAnsi="Times New Roman" w:eastAsia="宋体" w:cs="Times New Roman"/>
                      <w:bCs/>
                      <w:color w:val="000000" w:themeColor="text1"/>
                      <w:kern w:val="0"/>
                      <w:sz w:val="21"/>
                      <w:szCs w:val="21"/>
                      <w:u w:val="none"/>
                      <w14:textFill>
                        <w14:solidFill>
                          <w14:schemeClr w14:val="tx1"/>
                        </w14:solidFill>
                      </w14:textFill>
                    </w:rPr>
                    <w:t>经比对《重污染天气重点行业应急减排措施制定技术指南（2020修订版）》及《河南省重污染天气重点行业应急减排措施制定技术指南（2021年修订版）》，本项目不属于国家、省划定的重点行业，项目绩效分级要求应满足《河南省重污染天气通用行业应急减排措施制定技术指南》（2021年修订版）中相关要求</w:t>
                  </w:r>
                  <w:r>
                    <w:rPr>
                      <w:rFonts w:hint="default" w:ascii="Times New Roman" w:hAnsi="Times New Roman" w:eastAsia="宋体" w:cs="Times New Roman"/>
                      <w:bCs/>
                      <w:color w:val="000000" w:themeColor="text1"/>
                      <w:kern w:val="0"/>
                      <w:sz w:val="21"/>
                      <w:szCs w:val="21"/>
                      <w:u w:val="none"/>
                      <w:lang w:val="en-US" w:eastAsia="zh-CN"/>
                      <w14:textFill>
                        <w14:solidFill>
                          <w14:schemeClr w14:val="tx1"/>
                        </w14:solidFill>
                      </w14:textFill>
                    </w:rPr>
                    <w:t>。</w:t>
                  </w:r>
                  <w:r>
                    <w:rPr>
                      <w:rFonts w:hint="default" w:ascii="Times New Roman" w:hAnsi="Times New Roman" w:eastAsia="宋体" w:cs="Times New Roman"/>
                      <w:bCs/>
                      <w:color w:val="000000"/>
                      <w:kern w:val="0"/>
                      <w:sz w:val="21"/>
                      <w:szCs w:val="21"/>
                    </w:rPr>
                    <w:t xml:space="preserve"> </w:t>
                  </w:r>
                </w:p>
              </w:tc>
              <w:tc>
                <w:tcPr>
                  <w:tcW w:w="869" w:type="dxa"/>
                  <w:vAlign w:val="center"/>
                </w:tcPr>
                <w:p>
                  <w:pPr>
                    <w:snapToGrid w:val="0"/>
                    <w:spacing w:line="360" w:lineRule="auto"/>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062" w:hRule="atLeast"/>
                <w:jc w:val="center"/>
              </w:trPr>
              <w:tc>
                <w:tcPr>
                  <w:tcW w:w="990" w:type="dxa"/>
                  <w:vAlign w:val="center"/>
                </w:tcPr>
                <w:p>
                  <w:pPr>
                    <w:snapToGrid w:val="0"/>
                    <w:spacing w:line="360" w:lineRule="auto"/>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四、面源污染综合防治攻坚行动</w:t>
                  </w:r>
                </w:p>
              </w:tc>
              <w:tc>
                <w:tcPr>
                  <w:tcW w:w="4254" w:type="dxa"/>
                  <w:vAlign w:val="center"/>
                </w:tcPr>
                <w:p>
                  <w:pPr>
                    <w:snapToGrid w:val="0"/>
                    <w:spacing w:line="360" w:lineRule="auto"/>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强化扬尘综合管控。各城市平均降尘量不得高于7吨/月·平方公里，鼓励各地细化降尘量控制要求，逐月实施区县降尘量监测排名。严格落实扬尘污染防治“两个标准”要求，加强施工扬尘动态化、精细化管理，强化土石方作业、渣土运输扬尘问题的监管，增加作业车辆和机械冲洗频次，严禁带泥上路行驶。强化道路扬尘综合整治，加大机械化清扫与保洁力度，有效提升国省道、县乡道路、城乡结合部和背街小巷等各类道路清扫保洁效果。对城市连片裸露地面、易产尘堆放场所以及废旧厂区等进行排查建档并采取围挡、苫盖、洒扫或绿化、硬化等抑尘措施，提升扬尘污染精细化管理水平。</w:t>
                  </w:r>
                </w:p>
              </w:tc>
              <w:tc>
                <w:tcPr>
                  <w:tcW w:w="2593" w:type="dxa"/>
                  <w:vAlign w:val="center"/>
                </w:tcPr>
                <w:p>
                  <w:pPr>
                    <w:snapToGrid w:val="0"/>
                    <w:spacing w:line="360" w:lineRule="auto"/>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企业在运行过程严格落实扬尘污染防治“两个标准”要求，施工期施工场地严格落实市大气攻坚战要求，禁止施工工地现场搅拌混凝土、现场配置砂浆等；规范管理</w:t>
                  </w:r>
                  <w:r>
                    <w:rPr>
                      <w:rFonts w:hint="default" w:ascii="Times New Roman" w:hAnsi="Times New Roman" w:eastAsia="宋体" w:cs="Times New Roman"/>
                      <w:bCs/>
                      <w:color w:val="000000"/>
                      <w:kern w:val="0"/>
                      <w:sz w:val="21"/>
                      <w:szCs w:val="21"/>
                      <w:lang w:val="en-US" w:eastAsia="zh-CN"/>
                    </w:rPr>
                    <w:t>物料</w:t>
                  </w:r>
                  <w:r>
                    <w:rPr>
                      <w:rFonts w:hint="default" w:ascii="Times New Roman" w:hAnsi="Times New Roman" w:eastAsia="宋体" w:cs="Times New Roman"/>
                      <w:bCs/>
                      <w:color w:val="000000"/>
                      <w:kern w:val="0"/>
                      <w:sz w:val="21"/>
                      <w:szCs w:val="21"/>
                    </w:rPr>
                    <w:t>运输车辆</w:t>
                  </w:r>
                  <w:r>
                    <w:rPr>
                      <w:rFonts w:hint="default" w:ascii="Times New Roman" w:hAnsi="Times New Roman" w:eastAsia="宋体" w:cs="Times New Roman"/>
                      <w:bCs/>
                      <w:color w:val="000000"/>
                      <w:kern w:val="0"/>
                      <w:sz w:val="21"/>
                      <w:szCs w:val="21"/>
                      <w:lang w:eastAsia="zh-CN"/>
                    </w:rPr>
                    <w:t>，</w:t>
                  </w:r>
                  <w:r>
                    <w:rPr>
                      <w:rFonts w:hint="default" w:ascii="Times New Roman" w:hAnsi="Times New Roman" w:eastAsia="宋体" w:cs="Times New Roman"/>
                      <w:bCs/>
                      <w:color w:val="000000"/>
                      <w:kern w:val="0"/>
                      <w:sz w:val="21"/>
                      <w:szCs w:val="21"/>
                    </w:rPr>
                    <w:t>达到标准化施工</w:t>
                  </w:r>
                  <w:r>
                    <w:rPr>
                      <w:rFonts w:hint="default" w:ascii="Times New Roman" w:hAnsi="Times New Roman" w:eastAsia="宋体" w:cs="Times New Roman"/>
                      <w:bCs/>
                      <w:color w:val="000000"/>
                      <w:kern w:val="0"/>
                      <w:sz w:val="21"/>
                      <w:szCs w:val="21"/>
                      <w:lang w:eastAsia="zh-CN"/>
                    </w:rPr>
                    <w:t>，</w:t>
                  </w:r>
                  <w:r>
                    <w:rPr>
                      <w:rFonts w:hint="default" w:ascii="Times New Roman" w:hAnsi="Times New Roman" w:eastAsia="宋体" w:cs="Times New Roman"/>
                      <w:bCs/>
                      <w:color w:val="000000"/>
                      <w:kern w:val="0"/>
                      <w:sz w:val="21"/>
                      <w:szCs w:val="21"/>
                    </w:rPr>
                    <w:t>可有效控制施工扬尘产生</w:t>
                  </w:r>
                  <w:r>
                    <w:rPr>
                      <w:rFonts w:hint="default" w:ascii="Times New Roman" w:hAnsi="Times New Roman" w:eastAsia="宋体" w:cs="Times New Roman"/>
                      <w:bCs/>
                      <w:color w:val="000000"/>
                      <w:kern w:val="0"/>
                      <w:sz w:val="21"/>
                      <w:szCs w:val="21"/>
                      <w:lang w:eastAsia="zh-CN"/>
                    </w:rPr>
                    <w:t>；</w:t>
                  </w:r>
                  <w:r>
                    <w:rPr>
                      <w:rFonts w:hint="default" w:ascii="Times New Roman" w:hAnsi="Times New Roman" w:eastAsia="宋体" w:cs="Times New Roman"/>
                      <w:bCs/>
                      <w:color w:val="000000"/>
                      <w:kern w:val="0"/>
                      <w:sz w:val="21"/>
                      <w:szCs w:val="21"/>
                    </w:rPr>
                    <w:t>施工道路全部硬化，定期洒水降尘，可有效减少运输扬尘的产生。</w:t>
                  </w:r>
                </w:p>
              </w:tc>
              <w:tc>
                <w:tcPr>
                  <w:tcW w:w="869" w:type="dxa"/>
                  <w:vAlign w:val="center"/>
                </w:tcPr>
                <w:p>
                  <w:pPr>
                    <w:snapToGrid w:val="0"/>
                    <w:spacing w:line="360" w:lineRule="auto"/>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46" w:hRule="atLeast"/>
                <w:jc w:val="center"/>
              </w:trPr>
              <w:tc>
                <w:tcPr>
                  <w:tcW w:w="8706" w:type="dxa"/>
                  <w:gridSpan w:val="4"/>
                  <w:vAlign w:val="center"/>
                </w:tcPr>
                <w:p>
                  <w:pPr>
                    <w:snapToGrid w:val="0"/>
                    <w:spacing w:line="360" w:lineRule="auto"/>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夏季臭氧污染防治攻坚战行动方案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46" w:hRule="atLeast"/>
                <w:jc w:val="center"/>
              </w:trPr>
              <w:tc>
                <w:tcPr>
                  <w:tcW w:w="990" w:type="dxa"/>
                  <w:vAlign w:val="center"/>
                </w:tcPr>
                <w:p>
                  <w:pPr>
                    <w:snapToGrid w:val="0"/>
                    <w:spacing w:line="360" w:lineRule="auto"/>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四、推进NO</w:t>
                  </w:r>
                  <w:r>
                    <w:rPr>
                      <w:rFonts w:hint="default" w:ascii="Times New Roman" w:hAnsi="Times New Roman" w:eastAsia="宋体" w:cs="Times New Roman"/>
                      <w:bCs/>
                      <w:color w:val="000000"/>
                      <w:kern w:val="0"/>
                      <w:sz w:val="21"/>
                      <w:szCs w:val="21"/>
                      <w:vertAlign w:val="subscript"/>
                    </w:rPr>
                    <w:t>X</w:t>
                  </w:r>
                  <w:r>
                    <w:rPr>
                      <w:rFonts w:hint="default" w:ascii="Times New Roman" w:hAnsi="Times New Roman" w:eastAsia="宋体" w:cs="Times New Roman"/>
                      <w:bCs/>
                      <w:color w:val="000000"/>
                      <w:kern w:val="0"/>
                      <w:sz w:val="21"/>
                      <w:szCs w:val="21"/>
                    </w:rPr>
                    <w:t>污染治理提升行动</w:t>
                  </w:r>
                </w:p>
              </w:tc>
              <w:tc>
                <w:tcPr>
                  <w:tcW w:w="4254" w:type="dxa"/>
                  <w:vAlign w:val="center"/>
                </w:tcPr>
                <w:p>
                  <w:pPr>
                    <w:snapToGrid w:val="0"/>
                    <w:spacing w:line="360" w:lineRule="auto"/>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推动工业锅炉和炉窑提标改造。加快推进全面完成燃气锅炉低氮燃烧改造</w:t>
                  </w:r>
                  <w:r>
                    <w:rPr>
                      <w:rFonts w:hint="default" w:ascii="Times New Roman" w:hAnsi="Times New Roman" w:eastAsia="宋体" w:cs="Times New Roman"/>
                      <w:bCs/>
                      <w:color w:val="000000"/>
                      <w:kern w:val="0"/>
                      <w:sz w:val="21"/>
                      <w:szCs w:val="21"/>
                      <w:lang w:eastAsia="zh-CN"/>
                    </w:rPr>
                    <w:t>，</w:t>
                  </w:r>
                  <w:r>
                    <w:rPr>
                      <w:rFonts w:hint="default" w:ascii="Times New Roman" w:hAnsi="Times New Roman" w:eastAsia="宋体" w:cs="Times New Roman"/>
                      <w:bCs/>
                      <w:color w:val="000000"/>
                      <w:kern w:val="0"/>
                      <w:sz w:val="21"/>
                      <w:szCs w:val="21"/>
                    </w:rPr>
                    <w:t>鼓励4蒸吨/小时以下燃气锅炉实施低氮改造，已完成低氮燃烧改造的，加强低氮燃烧系统运行维护；取消燃气锅炉烟气再循环系统开关阀，确有必要保留的，可通过设置电动阀、气动阀或铅封等方式加强监管。生物质锅炉应配套袋式等高效除尘设施，NO</w:t>
                  </w:r>
                  <w:r>
                    <w:rPr>
                      <w:rFonts w:hint="default" w:ascii="Times New Roman" w:hAnsi="Times New Roman" w:eastAsia="宋体" w:cs="Times New Roman"/>
                      <w:bCs/>
                      <w:color w:val="000000"/>
                      <w:kern w:val="0"/>
                      <w:sz w:val="21"/>
                      <w:szCs w:val="21"/>
                      <w:vertAlign w:val="subscript"/>
                    </w:rPr>
                    <w:t>X</w:t>
                  </w:r>
                  <w:r>
                    <w:rPr>
                      <w:rFonts w:hint="default" w:ascii="Times New Roman" w:hAnsi="Times New Roman" w:eastAsia="宋体" w:cs="Times New Roman"/>
                      <w:bCs/>
                      <w:color w:val="000000"/>
                      <w:kern w:val="0"/>
                      <w:sz w:val="21"/>
                      <w:szCs w:val="21"/>
                    </w:rPr>
                    <w:t>排放浓度无法稳定达标的应配备脱硝设施，禁止掺烧煤炭、垃圾、工业固体废物等其他物料。制定《河南省生活垃圾焚烧大气污染物排放标准》，开展生活垃圾焚烧烟气深度治理，推动垃圾运输、卸料、贮存等设施密闭式改造，鼓励采用高效脱硝工艺，提升设施运行管理水平，确保污染物达标排放。</w:t>
                  </w:r>
                </w:p>
              </w:tc>
              <w:tc>
                <w:tcPr>
                  <w:tcW w:w="2593" w:type="dxa"/>
                  <w:vAlign w:val="center"/>
                </w:tcPr>
                <w:p>
                  <w:pPr>
                    <w:snapToGrid w:val="0"/>
                    <w:spacing w:line="360" w:lineRule="auto"/>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color w:val="000000"/>
                      <w:sz w:val="21"/>
                      <w:szCs w:val="21"/>
                    </w:rPr>
                    <w:t>本项目生产设备运行全部用电，无NOx产生。</w:t>
                  </w:r>
                </w:p>
              </w:tc>
              <w:tc>
                <w:tcPr>
                  <w:tcW w:w="869" w:type="dxa"/>
                  <w:vAlign w:val="center"/>
                </w:tcPr>
                <w:p>
                  <w:pPr>
                    <w:snapToGrid w:val="0"/>
                    <w:spacing w:line="360" w:lineRule="auto"/>
                    <w:jc w:val="center"/>
                    <w:rPr>
                      <w:rFonts w:hint="default" w:ascii="Times New Roman" w:hAnsi="Times New Roman" w:eastAsia="宋体" w:cs="Times New Roman"/>
                      <w:bCs/>
                      <w:color w:val="000000"/>
                      <w:kern w:val="0"/>
                      <w:sz w:val="21"/>
                      <w:szCs w:val="21"/>
                    </w:rPr>
                  </w:pPr>
                  <w:r>
                    <w:rPr>
                      <w:rFonts w:hint="default" w:ascii="Times New Roman" w:hAnsi="Times New Roman" w:eastAsia="宋体" w:cs="Times New Roman"/>
                      <w:bCs/>
                      <w:color w:val="000000"/>
                      <w:kern w:val="0"/>
                      <w:sz w:val="21"/>
                      <w:szCs w:val="21"/>
                    </w:rPr>
                    <w:t>相符</w:t>
                  </w:r>
                </w:p>
              </w:tc>
            </w:tr>
          </w:tbl>
          <w:p>
            <w:pPr>
              <w:bidi w:val="0"/>
              <w:spacing w:line="360" w:lineRule="auto"/>
              <w:ind w:firstLine="500"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7</w:t>
            </w:r>
            <w:r>
              <w:rPr>
                <w:rFonts w:hint="default" w:ascii="Times New Roman" w:hAnsi="Times New Roman" w:eastAsia="宋体" w:cs="Times New Roman"/>
                <w:b/>
                <w:bCs/>
                <w:sz w:val="24"/>
                <w:szCs w:val="24"/>
              </w:rPr>
              <w:t>、项目与《关于印发南阳市2023年蓝天保卫战实施方案的通知》（宛环委办[2023]20号）、《关于印发南阳市2023年碧水保卫战实施方案的通知》（宛环委[2023]22号）和《关于印发南阳市2023年净土保卫战实施方案的通知》（宛环委[2023]19号）相符性分析</w:t>
            </w:r>
          </w:p>
          <w:p>
            <w:pPr>
              <w:bidi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表1-</w:t>
            </w:r>
            <w:r>
              <w:rPr>
                <w:rFonts w:hint="default" w:ascii="Times New Roman" w:hAnsi="Times New Roman" w:cs="Times New Roman"/>
                <w:b/>
                <w:bCs/>
                <w:sz w:val="24"/>
                <w:szCs w:val="24"/>
                <w:lang w:val="en-US" w:eastAsia="zh-CN"/>
              </w:rPr>
              <w:t>2</w:t>
            </w:r>
            <w:r>
              <w:rPr>
                <w:rFonts w:hint="default" w:ascii="Times New Roman" w:hAnsi="Times New Roman" w:cs="Times New Roman"/>
                <w:b/>
                <w:bCs/>
                <w:sz w:val="24"/>
                <w:szCs w:val="24"/>
              </w:rPr>
              <w:t xml:space="preserve"> 项目与南阳市蓝天、碧水、净土保卫战实施方案（节选）相符性分析表</w:t>
            </w:r>
          </w:p>
          <w:tbl>
            <w:tblPr>
              <w:tblStyle w:val="11"/>
              <w:tblW w:w="832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803"/>
              <w:gridCol w:w="2685"/>
              <w:gridCol w:w="8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46" w:hRule="atLeast"/>
                <w:jc w:val="center"/>
              </w:trPr>
              <w:tc>
                <w:tcPr>
                  <w:tcW w:w="4803" w:type="dxa"/>
                  <w:vAlign w:val="center"/>
                </w:tcPr>
                <w:p>
                  <w:pPr>
                    <w:bidi w:val="0"/>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实施方案内容</w:t>
                  </w:r>
                </w:p>
              </w:tc>
              <w:tc>
                <w:tcPr>
                  <w:tcW w:w="2685" w:type="dxa"/>
                  <w:vAlign w:val="center"/>
                </w:tcPr>
                <w:p>
                  <w:pPr>
                    <w:bidi w:val="0"/>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本项目情况</w:t>
                  </w:r>
                </w:p>
              </w:tc>
              <w:tc>
                <w:tcPr>
                  <w:tcW w:w="840" w:type="dxa"/>
                  <w:vAlign w:val="center"/>
                </w:tcPr>
                <w:p>
                  <w:pPr>
                    <w:bidi w:val="0"/>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相符性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64" w:hRule="atLeast"/>
                <w:jc w:val="center"/>
              </w:trPr>
              <w:tc>
                <w:tcPr>
                  <w:tcW w:w="8328" w:type="dxa"/>
                  <w:gridSpan w:val="3"/>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宛环委办[2023]20号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41" w:hRule="atLeast"/>
                <w:jc w:val="center"/>
              </w:trPr>
              <w:tc>
                <w:tcPr>
                  <w:tcW w:w="4803"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5.实施工业炉窑清洁能源替代</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在钢铁、建材、石化化工、铸造等重点行业及其他行业加热、烘干、蒸汽供应等环节，加快淘汰不达标的燃煤锅炉和以煤、石油焦、渣油、重油等为燃料的加热炉、热处理炉、干燥炉等炉窑，实施清洁低碳能源或利用工厂余热、集中供热等进行替代，或者采取园区（集群）集中供气供热、分散使用的方式。2023年底前，岩矿棉行业完成电代煤改造。</w:t>
                  </w:r>
                </w:p>
              </w:tc>
              <w:tc>
                <w:tcPr>
                  <w:tcW w:w="2685"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w:t>
                  </w:r>
                  <w:r>
                    <w:rPr>
                      <w:rFonts w:hint="default" w:ascii="Times New Roman" w:hAnsi="Times New Roman" w:eastAsia="宋体" w:cs="Times New Roman"/>
                      <w:sz w:val="21"/>
                      <w:szCs w:val="21"/>
                      <w:lang w:val="en-US" w:eastAsia="zh-CN"/>
                    </w:rPr>
                    <w:t>不涉及工业炉窑，生产过程设备全部用电，属于清洁能源</w:t>
                  </w:r>
                  <w:r>
                    <w:rPr>
                      <w:rFonts w:hint="default" w:ascii="Times New Roman" w:hAnsi="Times New Roman" w:eastAsia="宋体" w:cs="Times New Roman"/>
                      <w:sz w:val="21"/>
                      <w:szCs w:val="21"/>
                    </w:rPr>
                    <w:t>。</w:t>
                  </w:r>
                </w:p>
              </w:tc>
              <w:tc>
                <w:tcPr>
                  <w:tcW w:w="840"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00" w:hRule="atLeast"/>
                <w:jc w:val="center"/>
              </w:trPr>
              <w:tc>
                <w:tcPr>
                  <w:tcW w:w="4803"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提升扬尘污染防治水平。深入开展扬尘治理提升行动，实行施工工地清单化动态管理，严格落实“十个百分之百”、“两个标准”、“四员”管理、“两个禁止”等制度要求，强化开复工验收，加大扬尘污染防治执法监管力度。严格降尘量控制，各县市区平均降尘量不得高于7 吨/月·平方公里。</w:t>
                  </w:r>
                </w:p>
              </w:tc>
              <w:tc>
                <w:tcPr>
                  <w:tcW w:w="2685"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施工期施工场地严格落实市大气攻坚战要求，禁止施工工地现场搅拌混凝土、现场配置砂浆等；规范管理物料运输车辆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达到标准化施工，可有效控制施工扬尘产生；施工道路全部硬化，定期洒水降尘，可有效减少运输扬尘的产生。</w:t>
                  </w:r>
                </w:p>
              </w:tc>
              <w:tc>
                <w:tcPr>
                  <w:tcW w:w="840"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4803" w:type="dxa"/>
                  <w:tcBorders>
                    <w:top w:val="single" w:color="auto" w:sz="4" w:space="0"/>
                    <w:bottom w:val="single" w:color="auto" w:sz="4" w:space="0"/>
                  </w:tcBorders>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实施工业污染排放深度治理。以钢铁、水泥、砖瓦窑、玻璃、陶瓷、炭素、耐火材料、石灰窑等行业工业窑炉为重点，全面提升污染物治理设施、无组织排放管控和在线监控设施运行管理水平，加强物料运输、装卸 储存及生产过程中的无组织排放控制，推进实施清洁生产改造，确保污染物稳定达标排放。2023年5月底前，全面排查除尘脱硫一体化、简易碱法脱硫、简易氨法脱硫脱硝、湿法脱硝、氧化法脱硝等低效治理设施以及低温等离子、光催化、光氧化等VOCs简易低效设施；取缔直接向烟道内喷洒脱硫脱硝剂等敷衍式治理工艺。</w:t>
                  </w:r>
                </w:p>
              </w:tc>
              <w:tc>
                <w:tcPr>
                  <w:tcW w:w="2685"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w:t>
                  </w:r>
                  <w:r>
                    <w:rPr>
                      <w:rFonts w:hint="default" w:ascii="Times New Roman" w:hAnsi="Times New Roman" w:eastAsia="宋体" w:cs="Times New Roman"/>
                      <w:sz w:val="21"/>
                      <w:szCs w:val="21"/>
                      <w:lang w:val="en-US" w:eastAsia="zh-CN"/>
                    </w:rPr>
                    <w:t>生产过程</w:t>
                  </w:r>
                  <w:r>
                    <w:rPr>
                      <w:rFonts w:hint="eastAsia" w:ascii="Times New Roman" w:hAnsi="Times New Roman" w:cs="Times New Roman"/>
                      <w:sz w:val="21"/>
                      <w:szCs w:val="21"/>
                      <w:lang w:val="en-US" w:eastAsia="zh-CN"/>
                    </w:rPr>
                    <w:t>中</w:t>
                  </w:r>
                  <w:r>
                    <w:rPr>
                      <w:rFonts w:hint="default" w:ascii="Times New Roman" w:hAnsi="Times New Roman" w:eastAsia="宋体" w:cs="Times New Roman"/>
                      <w:sz w:val="21"/>
                      <w:szCs w:val="21"/>
                      <w:lang w:val="en-US" w:eastAsia="zh-CN"/>
                    </w:rPr>
                    <w:t>熔融挤出过程产生的有机废气经集气收集后引至1套旋流式喷淋塔+除湿干燥装置+UV光氧催化设备+活性炭吸附装置进行处理，经处理后废气可实现达标排放；且项目各生产工序均在封闭车间内进行，可有效减少废气无组织排放</w:t>
                  </w:r>
                  <w:r>
                    <w:rPr>
                      <w:rFonts w:hint="default" w:ascii="Times New Roman" w:hAnsi="Times New Roman" w:eastAsia="宋体" w:cs="Times New Roman"/>
                      <w:sz w:val="21"/>
                      <w:szCs w:val="21"/>
                    </w:rPr>
                    <w:t>。</w:t>
                  </w:r>
                </w:p>
              </w:tc>
              <w:tc>
                <w:tcPr>
                  <w:tcW w:w="840"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4803" w:type="dxa"/>
                  <w:tcBorders>
                    <w:top w:val="single" w:color="auto" w:sz="4" w:space="0"/>
                    <w:bottom w:val="single" w:color="auto" w:sz="4" w:space="0"/>
                  </w:tcBorders>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开展锅炉综合治理“回头看”。2023年底前，全面淘汰35蒸吨/小时及以下的燃煤锅炉（含茶水炉、经营性炉灶、储粮烘干设备等燃煤设施）；鼓励淘汰4蒸吨/小时以下生物质锅炉，保留及现有生物质锅炉应采用专用炉具，禁止掺烧煤炭、垃圾、工业固体废物等其他物料；推进燃气锅炉低氮燃烧改造，取消烟气再循环系统开关阀，确有必要保留的，通过设置电动阀、气动阀或铅封等方式加强监管。加强燃煤锅炉、生物质锅炉除尘、脱硫、脱硝设施运行管理，强化全过程排放控制和监管力度，对于污染物无法稳定达标排放的，依法依规实施整治。将新建燃煤锅炉、10蒸吨/小时及以上燃气锅炉、4蒸吨/小时及以上生物质锅炉实施自动监控载入排污许可证；持续推动已建成燃煤锅炉、10蒸吨/小时及以上燃气锅炉、4蒸吨/小时及以上生物质锅炉实施自动监控，督促排污单位安装自动监控设施、与生态环境部门联网，并载入排污许可证。</w:t>
                  </w:r>
                </w:p>
              </w:tc>
              <w:tc>
                <w:tcPr>
                  <w:tcW w:w="2685"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w:t>
                  </w:r>
                  <w:r>
                    <w:rPr>
                      <w:rFonts w:hint="default" w:ascii="Times New Roman" w:hAnsi="Times New Roman" w:eastAsia="宋体" w:cs="Times New Roman"/>
                      <w:sz w:val="21"/>
                      <w:szCs w:val="21"/>
                      <w:lang w:val="en-US" w:eastAsia="zh-CN"/>
                    </w:rPr>
                    <w:t>不涉及锅炉</w:t>
                  </w:r>
                  <w:r>
                    <w:rPr>
                      <w:rFonts w:hint="default" w:ascii="Times New Roman" w:hAnsi="Times New Roman" w:eastAsia="宋体" w:cs="Times New Roman"/>
                      <w:sz w:val="21"/>
                      <w:szCs w:val="21"/>
                    </w:rPr>
                    <w:t>。</w:t>
                  </w:r>
                </w:p>
              </w:tc>
              <w:tc>
                <w:tcPr>
                  <w:tcW w:w="840"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4803" w:type="dxa"/>
                  <w:tcBorders>
                    <w:top w:val="single" w:color="auto" w:sz="4" w:space="0"/>
                    <w:bottom w:val="single" w:color="auto" w:sz="4" w:space="0"/>
                  </w:tcBorders>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推进低VOCs含量原辅材料源头替代。按照“可替尽替、应代尽代”的原则，开展汽车制造、工业涂装、家具制造、包装印刷、钢结构制造、工程机械等行业溶剂型涂料、油墨、胶粘剂、清洗剂使用低VOCs含量原辅材料替代，明确治理任务，动态更新清单台账。</w:t>
                  </w:r>
                </w:p>
              </w:tc>
              <w:tc>
                <w:tcPr>
                  <w:tcW w:w="2685"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本项目原料为</w:t>
                  </w:r>
                  <w:r>
                    <w:rPr>
                      <w:rFonts w:hint="eastAsia" w:ascii="Times New Roman" w:hAnsi="Times New Roman" w:cs="Times New Roman"/>
                      <w:sz w:val="21"/>
                      <w:szCs w:val="21"/>
                      <w:lang w:val="en-US" w:eastAsia="zh-CN"/>
                    </w:rPr>
                    <w:t>外购的干净</w:t>
                  </w:r>
                  <w:r>
                    <w:rPr>
                      <w:rFonts w:hint="default" w:ascii="Times New Roman" w:hAnsi="Times New Roman" w:eastAsia="宋体" w:cs="Times New Roman"/>
                      <w:sz w:val="21"/>
                      <w:szCs w:val="21"/>
                      <w:lang w:val="en-US" w:eastAsia="zh-CN"/>
                    </w:rPr>
                    <w:t>废塑料碎片，不属于溶剂型涂料、油墨、胶粘剂、清洗剂，仅在熔融挤出过程会挥发产生少量的有机废气</w:t>
                  </w:r>
                  <w:r>
                    <w:rPr>
                      <w:rFonts w:hint="default" w:ascii="Times New Roman" w:hAnsi="Times New Roman" w:eastAsia="宋体" w:cs="Times New Roman"/>
                      <w:sz w:val="21"/>
                      <w:szCs w:val="21"/>
                    </w:rPr>
                    <w:t>。</w:t>
                  </w:r>
                </w:p>
              </w:tc>
              <w:tc>
                <w:tcPr>
                  <w:tcW w:w="840"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4803" w:type="dxa"/>
                  <w:tcBorders>
                    <w:top w:val="single" w:color="auto" w:sz="4" w:space="0"/>
                    <w:bottom w:val="single" w:color="auto" w:sz="4" w:space="0"/>
                  </w:tcBorders>
                  <w:vAlign w:val="center"/>
                </w:tcPr>
                <w:p>
                  <w:pPr>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持续加大无组织排放整治力度。2023年5月底前，排查含VOCs物料储存、转移和输送、设备与管线组件泄漏、敞开液面逸散以及工艺过程等五类排放源，在保证安全生产前提下，督促企业通过采取设备与场所密闭、工艺改进、废气有效收集等措施，对VOCs无组织排放废气进行综合治理，将需要集气罩收集无组织排放的集气流速测量监控纳入日常管理工作中监督落实。</w:t>
                  </w:r>
                </w:p>
              </w:tc>
              <w:tc>
                <w:tcPr>
                  <w:tcW w:w="2685" w:type="dxa"/>
                  <w:vAlign w:val="center"/>
                </w:tcPr>
                <w:p>
                  <w:pPr>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本项目原料为</w:t>
                  </w:r>
                  <w:r>
                    <w:rPr>
                      <w:rFonts w:hint="eastAsia" w:ascii="Times New Roman" w:hAnsi="Times New Roman" w:cs="Times New Roman"/>
                      <w:sz w:val="21"/>
                      <w:szCs w:val="21"/>
                      <w:lang w:val="en-US" w:eastAsia="zh-CN"/>
                    </w:rPr>
                    <w:t>外购的干净</w:t>
                  </w:r>
                  <w:r>
                    <w:rPr>
                      <w:rFonts w:hint="default" w:ascii="Times New Roman" w:hAnsi="Times New Roman" w:eastAsia="宋体" w:cs="Times New Roman"/>
                      <w:sz w:val="21"/>
                      <w:szCs w:val="21"/>
                      <w:lang w:val="en-US" w:eastAsia="zh-CN"/>
                    </w:rPr>
                    <w:t>废塑料碎片，各生产工序均在封闭车间内进行，可减少VOCs废气的无组织排放。</w:t>
                  </w:r>
                </w:p>
              </w:tc>
              <w:tc>
                <w:tcPr>
                  <w:tcW w:w="840" w:type="dxa"/>
                  <w:vAlign w:val="center"/>
                </w:tcPr>
                <w:p>
                  <w:pPr>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4803" w:type="dxa"/>
                  <w:tcBorders>
                    <w:top w:val="single" w:color="auto" w:sz="4" w:space="0"/>
                    <w:bottom w:val="single" w:color="auto" w:sz="4" w:space="0"/>
                  </w:tcBorders>
                  <w:vAlign w:val="center"/>
                </w:tcPr>
                <w:p>
                  <w:pPr>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强化重污染天气应急分类分级管控，持续推进重点行业企业绩效分级，加强应急减排清单标准化管理，鼓励企业加快实施升级改造，建立完善“有进有出”动态调整机制，着力培育一批绩效水平高、行业带动强的省级绿色标杆企业，对存在环境违法违规行为、环境绩效水平达不到相应指标要求的企业实施降级处理。</w:t>
                  </w:r>
                </w:p>
              </w:tc>
              <w:tc>
                <w:tcPr>
                  <w:tcW w:w="2685" w:type="dxa"/>
                  <w:vAlign w:val="center"/>
                </w:tcPr>
                <w:p>
                  <w:pPr>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经比《河南省重污染天气通用行业应急减排措施制定技术指南》（2021年修订版），项目营运期按本环评提出的污染防治措施落实到位后，可满足涉及VOCs企业基本要求。</w:t>
                  </w:r>
                </w:p>
              </w:tc>
              <w:tc>
                <w:tcPr>
                  <w:tcW w:w="840" w:type="dxa"/>
                  <w:vAlign w:val="center"/>
                </w:tcPr>
                <w:p>
                  <w:pPr>
                    <w:bidi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8328" w:type="dxa"/>
                  <w:gridSpan w:val="3"/>
                  <w:tcBorders>
                    <w:top w:val="single" w:color="auto" w:sz="4" w:space="0"/>
                    <w:bottom w:val="single" w:color="auto" w:sz="4" w:space="0"/>
                  </w:tcBorders>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宛环委[2023]22号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4803" w:type="dxa"/>
                  <w:tcBorders>
                    <w:top w:val="single" w:color="auto" w:sz="4" w:space="0"/>
                    <w:bottom w:val="single" w:color="auto" w:sz="4" w:space="0"/>
                  </w:tcBorders>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持续开展城市黑臭水体治理攻坚战。把黑臭水体治理纳入河湖长制重点工作。开展城市黑臭水体整治环境保护行动，核实完善黑臭水体治理清单，督促加快黑臭水体治理进度。巩固提升中心城区建成区黑臭水体治理成效，坚决遏制返黑返臭，努力实现“长制久清”。加快推动县级城市建成区黑臭水体排查治理，开展全面排查，摸清底数，建立台账，制定治理方案，明确重点任务、完成时限、责任主体，按要求整治到位。2023年8月25日前将工作情况报市生态环境局、住建局</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城管局。到2023年底，县级城市建成区黑臭水体消除比例达到60%。</w:t>
                  </w:r>
                </w:p>
              </w:tc>
              <w:tc>
                <w:tcPr>
                  <w:tcW w:w="2685"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本项目营运期</w:t>
                  </w:r>
                  <w:r>
                    <w:rPr>
                      <w:rFonts w:hint="eastAsia" w:ascii="Times New Roman" w:hAnsi="Times New Roman" w:cs="Times New Roman"/>
                      <w:sz w:val="21"/>
                      <w:szCs w:val="21"/>
                      <w:lang w:eastAsia="zh-CN"/>
                    </w:rPr>
                    <w:t>生产废水为冷却水和喷淋塔废水，循环使用，不外排</w:t>
                  </w:r>
                  <w:r>
                    <w:rPr>
                      <w:rFonts w:hint="default" w:ascii="Times New Roman" w:hAnsi="Times New Roman" w:eastAsia="宋体" w:cs="Times New Roman"/>
                      <w:sz w:val="21"/>
                      <w:szCs w:val="21"/>
                      <w:lang w:val="en-US" w:eastAsia="zh-CN"/>
                    </w:rPr>
                    <w:t>；职工生活污水</w:t>
                  </w:r>
                  <w:r>
                    <w:rPr>
                      <w:rFonts w:hint="default" w:ascii="Times New Roman" w:hAnsi="Times New Roman" w:eastAsia="宋体" w:cs="Times New Roman"/>
                      <w:sz w:val="21"/>
                      <w:szCs w:val="21"/>
                    </w:rPr>
                    <w:t>经化粪池处理后</w:t>
                  </w:r>
                  <w:r>
                    <w:rPr>
                      <w:rFonts w:hint="default" w:ascii="Times New Roman" w:hAnsi="Times New Roman" w:eastAsia="宋体" w:cs="Times New Roman"/>
                      <w:sz w:val="21"/>
                      <w:szCs w:val="21"/>
                      <w:lang w:val="en-US" w:eastAsia="zh-CN"/>
                    </w:rPr>
                    <w:t>用于周围农田施肥，资源化利用不外排</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项目</w:t>
                  </w:r>
                  <w:r>
                    <w:rPr>
                      <w:rFonts w:hint="default" w:ascii="Times New Roman" w:hAnsi="Times New Roman" w:eastAsia="宋体" w:cs="Times New Roman"/>
                      <w:sz w:val="21"/>
                      <w:szCs w:val="21"/>
                    </w:rPr>
                    <w:t>无废水排入地表水体</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因此不会对周围地表水体造成影响</w:t>
                  </w:r>
                  <w:r>
                    <w:rPr>
                      <w:rFonts w:hint="default" w:ascii="Times New Roman" w:hAnsi="Times New Roman" w:eastAsia="宋体" w:cs="Times New Roman"/>
                      <w:sz w:val="21"/>
                      <w:szCs w:val="21"/>
                    </w:rPr>
                    <w:t>。</w:t>
                  </w:r>
                </w:p>
              </w:tc>
              <w:tc>
                <w:tcPr>
                  <w:tcW w:w="840"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4803" w:type="dxa"/>
                  <w:tcBorders>
                    <w:top w:val="single" w:color="auto" w:sz="4" w:space="0"/>
                    <w:bottom w:val="single" w:color="auto" w:sz="4" w:space="0"/>
                  </w:tcBorders>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推动企业绿色转型发展。严格落实环境准入，落实“三线一单”生态环境分区管控体系，构建以“三线一单”为空间管控基础、环境影响评价为环境准入把关、排污许可为企业运行守法依据的生态环境管理框架，从源头预防环境污染和生态破坏。在造纸、农副食品加工、皮革、印染、有色、原料药制造、等重点水污染物排放行业，深入推进清洁生产审核，推动智能化、清洁生产改造，减少单位产品耗水量和单位产品排污量，促进企业废水厂内回用。</w:t>
                  </w:r>
                </w:p>
              </w:tc>
              <w:tc>
                <w:tcPr>
                  <w:tcW w:w="2685"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本项目位于</w:t>
                  </w:r>
                  <w:r>
                    <w:rPr>
                      <w:rFonts w:hint="default" w:ascii="Times New Roman" w:hAnsi="Times New Roman" w:eastAsia="宋体" w:cs="Times New Roman"/>
                      <w:sz w:val="21"/>
                      <w:szCs w:val="21"/>
                      <w:lang w:val="en-US" w:eastAsia="zh-CN"/>
                    </w:rPr>
                    <w:t>南阳市方城县广阳镇后寨168号</w:t>
                  </w:r>
                  <w:r>
                    <w:rPr>
                      <w:rFonts w:hint="default" w:ascii="Times New Roman" w:hAnsi="Times New Roman" w:eastAsia="宋体" w:cs="Times New Roman"/>
                      <w:sz w:val="21"/>
                      <w:szCs w:val="21"/>
                    </w:rPr>
                    <w:t>，项目建设严格落实“三线一单”生态环境分区管控要求；项目不属于重点水污染物排放行业。</w:t>
                  </w:r>
                </w:p>
              </w:tc>
              <w:tc>
                <w:tcPr>
                  <w:tcW w:w="840"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8328" w:type="dxa"/>
                  <w:gridSpan w:val="3"/>
                  <w:tcBorders>
                    <w:top w:val="single" w:color="auto" w:sz="4" w:space="0"/>
                    <w:bottom w:val="single" w:color="auto" w:sz="4" w:space="0"/>
                  </w:tcBorders>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宛环委[2023]19号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jc w:val="center"/>
              </w:trPr>
              <w:tc>
                <w:tcPr>
                  <w:tcW w:w="4803" w:type="dxa"/>
                  <w:tcBorders>
                    <w:top w:val="single" w:color="auto" w:sz="4" w:space="0"/>
                  </w:tcBorders>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全面加强固体废物监管。持续开展危险废物排查整治，全面提升危险废物环境监管、利用处置和环境风险防范“三个能力”。加快健全医疗废物收集转运体系，支持现有医疗废物集中处置设施提标改造。动态更新涉危险废物企业“四个清单”，有序推进固废监管信息化建设，强化危险废物源头管控和收集转运等过程监管。持续开展小微企业危险废物收集和废铅酸蓄电池收集转运试点工作。</w:t>
                  </w:r>
                </w:p>
              </w:tc>
              <w:tc>
                <w:tcPr>
                  <w:tcW w:w="2685"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本项目营运期危险废物</w:t>
                  </w:r>
                  <w:r>
                    <w:rPr>
                      <w:rFonts w:hint="default" w:ascii="Times New Roman" w:hAnsi="Times New Roman" w:eastAsia="宋体" w:cs="Times New Roman"/>
                      <w:sz w:val="21"/>
                      <w:szCs w:val="21"/>
                      <w:lang w:val="en-US" w:eastAsia="zh-CN"/>
                    </w:rPr>
                    <w:t>分类</w:t>
                  </w:r>
                  <w:r>
                    <w:rPr>
                      <w:rFonts w:hint="default" w:ascii="Times New Roman" w:hAnsi="Times New Roman" w:eastAsia="宋体" w:cs="Times New Roman"/>
                      <w:sz w:val="21"/>
                      <w:szCs w:val="21"/>
                    </w:rPr>
                    <w:t>集中收集至危废暂存间，定期交由有资质单位处置。项目营运期加强危险废物管理，严格按照危险废物收集、贮存、运输等要求进行监管。</w:t>
                  </w:r>
                </w:p>
              </w:tc>
              <w:tc>
                <w:tcPr>
                  <w:tcW w:w="840"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bl>
          <w:p>
            <w:pPr>
              <w:pStyle w:val="13"/>
              <w:snapToGrid w:val="0"/>
              <w:ind w:firstLine="500" w:firstLineChars="200"/>
              <w:rPr>
                <w:rFonts w:ascii="Times New Roman"/>
                <w:color w:val="000000"/>
                <w:szCs w:val="24"/>
              </w:rPr>
            </w:pPr>
            <w:r>
              <w:rPr>
                <w:rFonts w:hint="eastAsia" w:ascii="Times New Roman"/>
                <w:color w:val="000000"/>
                <w:szCs w:val="24"/>
              </w:rPr>
              <w:t>由上表分析可知，项目建设符合《关于印发南阳市2023年蓝天保卫战实施方案的通知》（宛环委办[2023]20号）、《关于印发南阳市2023年碧水保卫战实施方案的通知》（宛环委[2023]22号）和《关于印发南阳市2023年净土保卫战实施方案的通知》（宛环委[2023]19号）中相关要求。</w:t>
            </w:r>
          </w:p>
          <w:p>
            <w:pPr>
              <w:bidi w:val="0"/>
              <w:spacing w:line="360" w:lineRule="auto"/>
              <w:ind w:firstLine="500"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8、</w:t>
            </w:r>
            <w:r>
              <w:rPr>
                <w:rFonts w:hint="default" w:ascii="Times New Roman" w:hAnsi="Times New Roman" w:eastAsia="宋体" w:cs="Times New Roman"/>
                <w:b/>
                <w:bCs/>
                <w:sz w:val="24"/>
                <w:szCs w:val="24"/>
              </w:rPr>
              <w:t>项目与《河南省生态环境厅关于印发河南省工业大气污染防治6个专项方案的通知》（豫环文[2019]84号）中“《河南省2019年挥发性有机物治理方案》”、“《河南省2019年工业企业无组织排放治理方案》”相符性</w:t>
            </w:r>
            <w:r>
              <w:rPr>
                <w:rFonts w:hint="default" w:ascii="Times New Roman" w:hAnsi="Times New Roman" w:eastAsia="宋体" w:cs="Times New Roman"/>
                <w:b/>
                <w:bCs/>
                <w:sz w:val="24"/>
                <w:szCs w:val="24"/>
                <w:lang w:val="en-US" w:eastAsia="zh-CN"/>
              </w:rPr>
              <w:t>分析</w:t>
            </w:r>
          </w:p>
          <w:p>
            <w:pPr>
              <w:bidi w:val="0"/>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表1-</w:t>
            </w: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项目与</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河南省2019年挥发性有机物治理方案</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相符性分析</w:t>
            </w:r>
            <w:r>
              <w:rPr>
                <w:rFonts w:hint="default" w:ascii="Times New Roman" w:hAnsi="Times New Roman" w:eastAsia="宋体" w:cs="Times New Roman"/>
                <w:b/>
                <w:bCs/>
                <w:sz w:val="24"/>
                <w:szCs w:val="24"/>
                <w:lang w:val="en-US" w:eastAsia="zh-CN"/>
              </w:rPr>
              <w:t>一览</w:t>
            </w:r>
            <w:r>
              <w:rPr>
                <w:rFonts w:hint="default" w:ascii="Times New Roman" w:hAnsi="Times New Roman" w:eastAsia="宋体" w:cs="Times New Roman"/>
                <w:b/>
                <w:bCs/>
                <w:sz w:val="24"/>
                <w:szCs w:val="24"/>
              </w:rPr>
              <w:t>表</w:t>
            </w:r>
          </w:p>
          <w:tbl>
            <w:tblPr>
              <w:tblStyle w:val="11"/>
              <w:tblW w:w="8601" w:type="dxa"/>
              <w:jc w:val="center"/>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11"/>
              <w:gridCol w:w="4408"/>
              <w:gridCol w:w="2760"/>
              <w:gridCol w:w="102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19" w:type="dxa"/>
                  <w:gridSpan w:val="2"/>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方案内容</w:t>
                  </w:r>
                </w:p>
              </w:tc>
              <w:tc>
                <w:tcPr>
                  <w:tcW w:w="2760"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本项目情况</w:t>
                  </w:r>
                </w:p>
              </w:tc>
              <w:tc>
                <w:tcPr>
                  <w:tcW w:w="1022"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相符性</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1" w:type="dxa"/>
                  <w:tcBorders>
                    <w:top w:val="single" w:color="auto" w:sz="6" w:space="0"/>
                    <w:bottom w:val="single" w:color="auto" w:sz="6" w:space="0"/>
                  </w:tcBorders>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工作目标</w:t>
                  </w:r>
                </w:p>
              </w:tc>
              <w:tc>
                <w:tcPr>
                  <w:tcW w:w="4408"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2019年6月底前，全省石油化学、石油炼制、工业涂装、包装印刷、化工、制药等工业企业，全面完成VOCs污染治理；8月底前，全省石油化学、石油炼制企业完成VOCs深度治理和泄漏检测与修复（LDAR）治理；12月底前，省辖市建成区全面淘汰开启式干洗机。石油炼制企业VOCs排放全面达到《石油炼制工业污染物排放标准（GB31570-2015）》特别排放限值要求，石油化学企业VOCs排放全面达到《石油化学行业污染物排放标准（GB31571-2015）》特别排放限值要求，其他行业VOCs排放全面达到《河南省污染防治攻坚战领导小组办公室关于全省开展工业企业挥发性有机物专项治理工作中排放建议值的通知》（豫环攻坚办[2017]162号）要求。</w:t>
                  </w:r>
                </w:p>
              </w:tc>
              <w:tc>
                <w:tcPr>
                  <w:tcW w:w="276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本项目属于属于</w:t>
                  </w:r>
                  <w:r>
                    <w:rPr>
                      <w:rFonts w:hint="eastAsia" w:ascii="Times New Roman" w:hAnsi="Times New Roman" w:cs="Times New Roman"/>
                      <w:sz w:val="21"/>
                      <w:szCs w:val="21"/>
                      <w:lang w:eastAsia="zh-CN"/>
                    </w:rPr>
                    <w:t>C4220非金属废料和碎屑加工处理</w:t>
                  </w:r>
                  <w:r>
                    <w:rPr>
                      <w:rFonts w:hint="default" w:ascii="Times New Roman" w:hAnsi="Times New Roman" w:eastAsia="宋体" w:cs="Times New Roman"/>
                      <w:sz w:val="21"/>
                      <w:szCs w:val="21"/>
                    </w:rPr>
                    <w:t>，废塑料熔融挤出过程会产生</w:t>
                  </w:r>
                  <w:r>
                    <w:rPr>
                      <w:rFonts w:hint="default" w:ascii="Times New Roman" w:hAnsi="Times New Roman" w:eastAsia="宋体" w:cs="Times New Roman"/>
                      <w:sz w:val="21"/>
                      <w:szCs w:val="21"/>
                      <w:lang w:val="en-US" w:eastAsia="zh-CN"/>
                    </w:rPr>
                    <w:t>有机废气</w:t>
                  </w:r>
                  <w:r>
                    <w:rPr>
                      <w:rFonts w:hint="default" w:ascii="Times New Roman" w:hAnsi="Times New Roman" w:eastAsia="宋体" w:cs="Times New Roman"/>
                      <w:sz w:val="21"/>
                      <w:szCs w:val="21"/>
                    </w:rPr>
                    <w:t>，有机废气经集气收集至1套旋流式喷淋塔+除湿干燥装置+UV光氧催化设备+活性炭吸附装置处理后排放浓度可以满足《合成树脂工业污染物排放标准》（GB31572-2015）要求</w:t>
                  </w:r>
                  <w:r>
                    <w:rPr>
                      <w:rFonts w:hint="eastAsia" w:ascii="Times New Roman" w:hAnsi="Times New Roman" w:eastAsia="宋体" w:cs="Times New Roman"/>
                      <w:sz w:val="21"/>
                      <w:szCs w:val="21"/>
                      <w:lang w:eastAsia="zh-CN"/>
                    </w:rPr>
                    <w:t>，同时要求满足</w:t>
                  </w:r>
                  <w:r>
                    <w:rPr>
                      <w:rFonts w:hint="default" w:ascii="Times New Roman" w:hAnsi="Times New Roman" w:eastAsia="宋体" w:cs="Times New Roman"/>
                      <w:sz w:val="21"/>
                      <w:szCs w:val="21"/>
                    </w:rPr>
                    <w:t>豫环攻坚办[2017]162号中非甲烷总烃排放限值</w:t>
                  </w:r>
                  <w:r>
                    <w:rPr>
                      <w:rFonts w:hint="eastAsia" w:ascii="Times New Roman" w:hAnsi="Times New Roman" w:eastAsia="宋体" w:cs="Times New Roman"/>
                      <w:sz w:val="21"/>
                      <w:szCs w:val="21"/>
                      <w:lang w:val="en-US" w:eastAsia="zh-CN"/>
                    </w:rPr>
                    <w:t>的相关要求</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废气处理措施可行</w:t>
                  </w:r>
                  <w:r>
                    <w:rPr>
                      <w:rFonts w:hint="default" w:ascii="Times New Roman" w:hAnsi="Times New Roman" w:eastAsia="宋体" w:cs="Times New Roman"/>
                      <w:sz w:val="21"/>
                      <w:szCs w:val="21"/>
                    </w:rPr>
                    <w:t>。</w:t>
                  </w:r>
                </w:p>
              </w:tc>
              <w:tc>
                <w:tcPr>
                  <w:tcW w:w="1022"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bl>
          <w:p>
            <w:pPr>
              <w:bidi w:val="0"/>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表1-</w:t>
            </w: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 xml:space="preserve">  项目与</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河南省2019年工业企业无组织排放治理方案</w:t>
            </w:r>
            <w:r>
              <w:rPr>
                <w:rFonts w:hint="default"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相符性分析表</w:t>
            </w:r>
          </w:p>
          <w:tbl>
            <w:tblPr>
              <w:tblStyle w:val="11"/>
              <w:tblW w:w="8559"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83"/>
              <w:gridCol w:w="4140"/>
              <w:gridCol w:w="2935"/>
              <w:gridCol w:w="70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c>
                <w:tcPr>
                  <w:tcW w:w="4923" w:type="dxa"/>
                  <w:gridSpan w:val="2"/>
                  <w:tcBorders>
                    <w:top w:val="single" w:color="auto" w:sz="6" w:space="0"/>
                    <w:left w:val="single" w:color="auto" w:sz="6" w:space="0"/>
                    <w:bottom w:val="single" w:color="auto" w:sz="6" w:space="0"/>
                  </w:tcBorders>
                  <w:shd w:val="clear" w:color="auto" w:fill="auto"/>
                  <w:vAlign w:val="center"/>
                </w:tcPr>
                <w:p>
                  <w:pPr>
                    <w:bidi w:val="0"/>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方案内容</w:t>
                  </w:r>
                </w:p>
              </w:tc>
              <w:tc>
                <w:tcPr>
                  <w:tcW w:w="2935" w:type="dxa"/>
                  <w:tcBorders>
                    <w:top w:val="single" w:color="auto" w:sz="6" w:space="0"/>
                    <w:bottom w:val="single" w:color="auto" w:sz="6" w:space="0"/>
                  </w:tcBorders>
                  <w:shd w:val="clear" w:color="auto" w:fill="auto"/>
                  <w:vAlign w:val="center"/>
                </w:tcPr>
                <w:p>
                  <w:pPr>
                    <w:bidi w:val="0"/>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本项目情况</w:t>
                  </w:r>
                </w:p>
              </w:tc>
              <w:tc>
                <w:tcPr>
                  <w:tcW w:w="701" w:type="dxa"/>
                  <w:tcBorders>
                    <w:top w:val="single" w:color="auto" w:sz="6" w:space="0"/>
                    <w:bottom w:val="single" w:color="auto" w:sz="6" w:space="0"/>
                    <w:right w:val="single" w:color="auto" w:sz="6" w:space="0"/>
                  </w:tcBorders>
                  <w:shd w:val="clear" w:color="auto" w:fill="auto"/>
                  <w:vAlign w:val="center"/>
                </w:tcPr>
                <w:p>
                  <w:pPr>
                    <w:bidi w:val="0"/>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相符性</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c>
                <w:tcPr>
                  <w:tcW w:w="8559" w:type="dxa"/>
                  <w:gridSpan w:val="4"/>
                  <w:tcBorders>
                    <w:top w:val="single" w:color="auto" w:sz="6" w:space="0"/>
                    <w:left w:val="single" w:color="auto" w:sz="6" w:space="0"/>
                    <w:right w:val="single" w:color="auto" w:sz="6" w:space="0"/>
                  </w:tcBorders>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十六、其他行业无组织排放治理标准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783" w:type="dxa"/>
                  <w:tcBorders>
                    <w:top w:val="single" w:color="auto" w:sz="6" w:space="0"/>
                    <w:left w:val="single" w:color="auto" w:sz="6" w:space="0"/>
                    <w:bottom w:val="single" w:color="auto" w:sz="6" w:space="0"/>
                  </w:tcBorders>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w:t>
                  </w:r>
                </w:p>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料场密闭治理</w:t>
                  </w:r>
                </w:p>
                <w:p>
                  <w:pPr>
                    <w:bidi w:val="0"/>
                    <w:spacing w:line="360" w:lineRule="auto"/>
                    <w:jc w:val="center"/>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所有物料（包括原辅料、半成品、成品）进库存放，厂界内无露天堆放物料。料场安装喷干雾抑尘设施；2.密闭料场必须覆盖所有堆场料区（堆放区、工作区和主通道区）；3.车间、料库四面密闭，通道口安装卷帘门、推拉门等封闭性良好且便于开关的硬质门，在无车辆出入时将门关闭，保证空气合理流动不产生湍流；4.所有地面完成硬化，并保证除物料堆放区域外没有明显积尘；5.每个下料口设置独立集气罩，配套的除尘设施不与其他工序混用；6.厂房车间各生产工序须功能区化，各功能区安装固定的喷干雾抑尘装置；7.厂区出口应安装车辆冲洗装置，保证出场车辆车轮车身干净、运行不起尘。</w:t>
                  </w:r>
                </w:p>
              </w:tc>
              <w:tc>
                <w:tcPr>
                  <w:tcW w:w="2935" w:type="dxa"/>
                  <w:tcBorders>
                    <w:bottom w:val="single" w:color="auto" w:sz="6" w:space="0"/>
                  </w:tcBorders>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本项目原料为外购的干净废塑料碎片，</w:t>
                  </w:r>
                  <w:r>
                    <w:rPr>
                      <w:rFonts w:hint="eastAsia" w:ascii="Times New Roman" w:hAnsi="Times New Roman" w:eastAsia="宋体" w:cs="Times New Roman"/>
                      <w:sz w:val="21"/>
                      <w:szCs w:val="21"/>
                      <w:lang w:eastAsia="zh-CN"/>
                    </w:rPr>
                    <w:t>袋装存储，</w:t>
                  </w:r>
                  <w:r>
                    <w:rPr>
                      <w:rFonts w:hint="default" w:ascii="Times New Roman" w:hAnsi="Times New Roman" w:eastAsia="宋体" w:cs="Times New Roman"/>
                      <w:sz w:val="21"/>
                      <w:szCs w:val="21"/>
                    </w:rPr>
                    <w:t>废塑料运至厂区后储存于</w:t>
                  </w:r>
                  <w:r>
                    <w:rPr>
                      <w:rFonts w:hint="default" w:ascii="Times New Roman" w:hAnsi="Times New Roman" w:eastAsia="宋体" w:cs="Times New Roman"/>
                      <w:sz w:val="21"/>
                      <w:szCs w:val="21"/>
                      <w:lang w:eastAsia="zh-CN"/>
                    </w:rPr>
                    <w:t>原料区</w:t>
                  </w:r>
                  <w:r>
                    <w:rPr>
                      <w:rFonts w:hint="default" w:ascii="Times New Roman" w:hAnsi="Times New Roman" w:eastAsia="宋体" w:cs="Times New Roman"/>
                      <w:sz w:val="21"/>
                      <w:szCs w:val="21"/>
                    </w:rPr>
                    <w:t>，成品再生塑料颗粒袋装后储存于封闭车间成品区，原料及成品均入库</w:t>
                  </w:r>
                  <w:r>
                    <w:rPr>
                      <w:rFonts w:hint="eastAsia" w:ascii="Times New Roman" w:hAnsi="Times New Roman" w:eastAsia="宋体" w:cs="Times New Roman"/>
                      <w:sz w:val="21"/>
                      <w:szCs w:val="21"/>
                      <w:lang w:eastAsia="zh-CN"/>
                    </w:rPr>
                    <w:t>袋装</w:t>
                  </w:r>
                  <w:r>
                    <w:rPr>
                      <w:rFonts w:hint="default" w:ascii="Times New Roman" w:hAnsi="Times New Roman" w:eastAsia="宋体" w:cs="Times New Roman"/>
                      <w:sz w:val="21"/>
                      <w:szCs w:val="21"/>
                    </w:rPr>
                    <w:t>存放。原料装卸、储存均在</w:t>
                  </w:r>
                  <w:r>
                    <w:rPr>
                      <w:rFonts w:hint="eastAsia" w:ascii="Times New Roman" w:hAnsi="Times New Roman" w:eastAsia="宋体" w:cs="Times New Roman"/>
                      <w:sz w:val="21"/>
                      <w:szCs w:val="21"/>
                      <w:lang w:eastAsia="zh-CN"/>
                    </w:rPr>
                    <w:t>密闭生产车间</w:t>
                  </w:r>
                  <w:r>
                    <w:rPr>
                      <w:rFonts w:hint="default" w:ascii="Times New Roman" w:hAnsi="Times New Roman" w:eastAsia="宋体" w:cs="Times New Roman"/>
                      <w:sz w:val="21"/>
                      <w:szCs w:val="21"/>
                      <w:lang w:eastAsia="zh-CN"/>
                    </w:rPr>
                    <w:t>区</w:t>
                  </w:r>
                  <w:r>
                    <w:rPr>
                      <w:rFonts w:hint="default" w:ascii="Times New Roman" w:hAnsi="Times New Roman" w:eastAsia="宋体" w:cs="Times New Roman"/>
                      <w:sz w:val="21"/>
                      <w:szCs w:val="21"/>
                    </w:rPr>
                    <w:t>进行；</w:t>
                  </w:r>
                  <w:r>
                    <w:rPr>
                      <w:rFonts w:hint="default" w:ascii="Times New Roman" w:hAnsi="Times New Roman" w:eastAsia="宋体" w:cs="Times New Roman"/>
                      <w:sz w:val="21"/>
                      <w:szCs w:val="21"/>
                      <w:lang w:eastAsia="zh-CN"/>
                    </w:rPr>
                    <w:t>生产</w:t>
                  </w:r>
                  <w:r>
                    <w:rPr>
                      <w:rFonts w:hint="default" w:ascii="Times New Roman" w:hAnsi="Times New Roman" w:eastAsia="宋体" w:cs="Times New Roman"/>
                      <w:sz w:val="21"/>
                      <w:szCs w:val="21"/>
                      <w:lang w:val="en-US" w:eastAsia="zh-CN"/>
                    </w:rPr>
                    <w:t>车间</w:t>
                  </w:r>
                  <w:r>
                    <w:rPr>
                      <w:rFonts w:hint="default" w:ascii="Times New Roman" w:hAnsi="Times New Roman" w:eastAsia="宋体" w:cs="Times New Roman"/>
                      <w:sz w:val="21"/>
                      <w:szCs w:val="21"/>
                    </w:rPr>
                    <w:t>大门安装有硬质卷帘门</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地面全部硬化，定期打扫，没有积尘；项目生产车间内功能分区明确。</w:t>
                  </w:r>
                </w:p>
              </w:tc>
              <w:tc>
                <w:tcPr>
                  <w:tcW w:w="701" w:type="dxa"/>
                  <w:tcBorders>
                    <w:right w:val="single" w:color="auto" w:sz="6" w:space="0"/>
                  </w:tcBorders>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c>
                <w:tcPr>
                  <w:tcW w:w="783" w:type="dxa"/>
                  <w:tcBorders>
                    <w:top w:val="single" w:color="auto" w:sz="6" w:space="0"/>
                    <w:left w:val="single" w:color="auto" w:sz="6" w:space="0"/>
                    <w:bottom w:val="single" w:color="auto" w:sz="6" w:space="0"/>
                  </w:tcBorders>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w:t>
                  </w:r>
                </w:p>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物料输送环节治理</w:t>
                  </w:r>
                </w:p>
                <w:p>
                  <w:pPr>
                    <w:bidi w:val="0"/>
                    <w:spacing w:line="360" w:lineRule="auto"/>
                    <w:jc w:val="center"/>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散状物料采用封闭式输送方式，皮带输送机受料点、卸料点应设置密闭罩，并配备除尘设施；2.皮带输送机或物料提升机需在密闭廊道内运行，并在所有落料位置设置集尘装置及配备除尘系统；3.运输车辆装载高度最高点不得超过车辆槽帮上沿40厘米，两侧边缘应当低于槽帮上缘10厘米，车斗应采用苫布覆盖，苫布边缘至少要遮住槽帮上沿以下15厘米，禁止厂内露天转运散状物料；4.除尘器卸灰不直接卸落到地面，卸灰区封闭。除尘灰采用气力输送、罐车等密闭方式运输；采用非密闭方式运输的</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车辆应苫盖，装卸车时应采取加湿等措施抑尘。</w:t>
                  </w:r>
                </w:p>
              </w:tc>
              <w:tc>
                <w:tcPr>
                  <w:tcW w:w="2935" w:type="dxa"/>
                  <w:tcBorders>
                    <w:top w:val="single" w:color="auto" w:sz="6" w:space="0"/>
                    <w:bottom w:val="single" w:color="auto" w:sz="6" w:space="0"/>
                  </w:tcBorders>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本项目原料主要为外购的干净废塑料碎片</w:t>
                  </w:r>
                  <w:r>
                    <w:rPr>
                      <w:rFonts w:hint="default" w:ascii="Times New Roman" w:hAnsi="Times New Roman" w:eastAsia="宋体" w:cs="Times New Roman"/>
                      <w:sz w:val="21"/>
                      <w:szCs w:val="21"/>
                      <w:lang w:eastAsia="zh-CN"/>
                    </w:rPr>
                    <w:t>，原料均为袋装，物料通过原料均料仓</w:t>
                  </w:r>
                  <w:r>
                    <w:rPr>
                      <w:rFonts w:hint="eastAsia" w:ascii="Times New Roman" w:hAnsi="Times New Roman" w:eastAsia="宋体" w:cs="Times New Roman"/>
                      <w:sz w:val="21"/>
                      <w:szCs w:val="21"/>
                      <w:lang w:eastAsia="zh-CN"/>
                    </w:rPr>
                    <w:t>（带绞龙输料机）</w:t>
                  </w:r>
                  <w:r>
                    <w:rPr>
                      <w:rFonts w:hint="default" w:ascii="Times New Roman" w:hAnsi="Times New Roman" w:eastAsia="宋体" w:cs="Times New Roman"/>
                      <w:sz w:val="21"/>
                      <w:szCs w:val="21"/>
                      <w:lang w:eastAsia="zh-CN"/>
                    </w:rPr>
                    <w:t>上料，</w:t>
                  </w:r>
                  <w:r>
                    <w:rPr>
                      <w:rFonts w:hint="eastAsia" w:ascii="Times New Roman" w:hAnsi="Times New Roman" w:cs="Times New Roman"/>
                      <w:sz w:val="21"/>
                      <w:szCs w:val="21"/>
                      <w:lang w:eastAsia="zh-CN"/>
                    </w:rPr>
                    <w:t>且原料为</w:t>
                  </w:r>
                  <w:r>
                    <w:rPr>
                      <w:rFonts w:hint="eastAsia" w:ascii="Times New Roman" w:hAnsi="Times New Roman" w:cs="Times New Roman"/>
                      <w:sz w:val="21"/>
                      <w:szCs w:val="21"/>
                      <w:lang w:val="en-US" w:eastAsia="zh-CN"/>
                    </w:rPr>
                    <w:t>1~3cm的片状，</w:t>
                  </w:r>
                  <w:r>
                    <w:rPr>
                      <w:rFonts w:hint="default" w:ascii="Times New Roman" w:hAnsi="Times New Roman" w:eastAsia="宋体" w:cs="Times New Roman"/>
                      <w:sz w:val="21"/>
                      <w:szCs w:val="21"/>
                    </w:rPr>
                    <w:t>废塑料转移、输送过程不易产尘；废塑料汽车运输过程采用苫布覆盖，</w:t>
                  </w:r>
                  <w:r>
                    <w:rPr>
                      <w:rFonts w:hint="default" w:ascii="Times New Roman" w:hAnsi="Times New Roman" w:eastAsia="宋体" w:cs="Times New Roman"/>
                      <w:sz w:val="21"/>
                      <w:szCs w:val="21"/>
                      <w:lang w:val="en-US" w:eastAsia="zh-CN"/>
                    </w:rPr>
                    <w:t>可</w:t>
                  </w:r>
                  <w:r>
                    <w:rPr>
                      <w:rFonts w:hint="default" w:ascii="Times New Roman" w:hAnsi="Times New Roman" w:eastAsia="宋体" w:cs="Times New Roman"/>
                      <w:sz w:val="21"/>
                      <w:szCs w:val="21"/>
                    </w:rPr>
                    <w:t>减少无组织扬尘产生。</w:t>
                  </w:r>
                </w:p>
              </w:tc>
              <w:tc>
                <w:tcPr>
                  <w:tcW w:w="701" w:type="dxa"/>
                  <w:tcBorders>
                    <w:right w:val="single" w:color="auto" w:sz="6" w:space="0"/>
                  </w:tcBorders>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c>
                <w:tcPr>
                  <w:tcW w:w="783" w:type="dxa"/>
                  <w:tcBorders>
                    <w:top w:val="single" w:color="auto" w:sz="6" w:space="0"/>
                    <w:left w:val="single" w:color="auto" w:sz="6" w:space="0"/>
                    <w:bottom w:val="single" w:color="auto" w:sz="6" w:space="0"/>
                  </w:tcBorders>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w:t>
                  </w:r>
                </w:p>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生产环节治理</w:t>
                  </w:r>
                </w:p>
              </w:tc>
              <w:tc>
                <w:tcPr>
                  <w:tcW w:w="4140"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物料上料、破碎、筛分、混料等生产过程中的产尘点应在封闭的厂房内进行二次封闭，并安装集气设施和除尘设施；2.在生产过程中的产生VOCS的工序应在封闭的厂房内进行二次封闭，并安装集气设施和VOCS处理设施；3.其他方面：禁止生产车间内散放原料，需采用全封闭式/地下料仓，并配备完备的废气收集和处理系统，生产环节必须在密闭良好的车间内运行。</w:t>
                  </w:r>
                </w:p>
              </w:tc>
              <w:tc>
                <w:tcPr>
                  <w:tcW w:w="2935" w:type="dxa"/>
                  <w:tcBorders>
                    <w:top w:val="single" w:color="auto" w:sz="6" w:space="0"/>
                    <w:bottom w:val="single" w:color="auto" w:sz="6" w:space="0"/>
                  </w:tcBorders>
                  <w:shd w:val="clear" w:color="auto" w:fill="auto"/>
                  <w:vAlign w:val="center"/>
                </w:tcPr>
                <w:p>
                  <w:pPr>
                    <w:bidi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rPr>
                    <w:t>本项目原料主要为外购的干净废塑料碎片</w:t>
                  </w:r>
                  <w:r>
                    <w:rPr>
                      <w:rFonts w:hint="default" w:ascii="Times New Roman" w:hAnsi="Times New Roman" w:eastAsia="宋体" w:cs="Times New Roman"/>
                      <w:sz w:val="21"/>
                      <w:szCs w:val="21"/>
                      <w:lang w:eastAsia="zh-CN"/>
                    </w:rPr>
                    <w:t>，原料不再破碎和清洗</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原料通过原料均料仓（带绞龙输料机），管道输送</w:t>
                  </w:r>
                  <w:r>
                    <w:rPr>
                      <w:rFonts w:hint="default" w:ascii="Times New Roman" w:hAnsi="Times New Roman" w:eastAsia="宋体" w:cs="Times New Roman"/>
                      <w:sz w:val="21"/>
                      <w:szCs w:val="21"/>
                      <w:lang w:val="en-US" w:eastAsia="zh-CN"/>
                    </w:rPr>
                    <w:t>，</w:t>
                  </w:r>
                  <w:r>
                    <w:rPr>
                      <w:rFonts w:hint="eastAsia" w:ascii="Times New Roman" w:hAnsi="Times New Roman" w:cs="Times New Roman"/>
                      <w:sz w:val="21"/>
                      <w:szCs w:val="21"/>
                      <w:lang w:eastAsia="zh-CN"/>
                    </w:rPr>
                    <w:t>且原料为</w:t>
                  </w:r>
                  <w:r>
                    <w:rPr>
                      <w:rFonts w:hint="eastAsia" w:ascii="Times New Roman" w:hAnsi="Times New Roman" w:cs="Times New Roman"/>
                      <w:sz w:val="21"/>
                      <w:szCs w:val="21"/>
                      <w:lang w:val="en-US" w:eastAsia="zh-CN"/>
                    </w:rPr>
                    <w:t>1~3cm的片状，</w:t>
                  </w:r>
                  <w:r>
                    <w:rPr>
                      <w:rFonts w:hint="default" w:ascii="Times New Roman" w:hAnsi="Times New Roman" w:eastAsia="宋体" w:cs="Times New Roman"/>
                      <w:sz w:val="21"/>
                      <w:szCs w:val="21"/>
                    </w:rPr>
                    <w:t>废塑料转移、输送过程不易产尘</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lang w:val="en-US" w:eastAsia="zh-CN"/>
                    </w:rPr>
                    <w:t>外购的废塑料集中堆存于原料区内，</w:t>
                  </w:r>
                  <w:r>
                    <w:rPr>
                      <w:rFonts w:hint="default" w:ascii="Times New Roman" w:hAnsi="Times New Roman" w:eastAsia="宋体" w:cs="Times New Roman"/>
                      <w:sz w:val="21"/>
                      <w:szCs w:val="21"/>
                    </w:rPr>
                    <w:t>车间内无散放原料</w:t>
                  </w:r>
                  <w:r>
                    <w:rPr>
                      <w:rFonts w:hint="default" w:ascii="Times New Roman" w:hAnsi="Times New Roman" w:eastAsia="宋体" w:cs="Times New Roman"/>
                      <w:sz w:val="21"/>
                      <w:szCs w:val="21"/>
                      <w:lang w:eastAsia="zh-CN"/>
                    </w:rPr>
                    <w:t>。</w:t>
                  </w:r>
                  <w:r>
                    <w:rPr>
                      <w:rFonts w:hint="eastAsia" w:ascii="Times New Roman" w:hAnsi="Times New Roman" w:cs="Times New Roman"/>
                      <w:sz w:val="21"/>
                      <w:szCs w:val="21"/>
                      <w:lang w:val="en-US" w:eastAsia="zh-CN"/>
                    </w:rPr>
                    <w:t>2、本项目生产过程中熔融挤出过程产生的有机废气经集气收集后引至1套旋流式喷淋塔+除湿干燥装置+UV光氧催化设备+活性炭吸附装置进行处理，经处理后废气可实现达标排放；且项目各生产工序均在封闭车间内进行。3、本项目生产车间车间内无散装原料，原料均为袋装并均存放于原料区，生产环节均在密闭的生产车间内进行。</w:t>
                  </w:r>
                </w:p>
              </w:tc>
              <w:tc>
                <w:tcPr>
                  <w:tcW w:w="701" w:type="dxa"/>
                  <w:tcBorders>
                    <w:right w:val="single" w:color="auto" w:sz="6" w:space="0"/>
                  </w:tcBorders>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c>
                <w:tcPr>
                  <w:tcW w:w="783" w:type="dxa"/>
                  <w:tcBorders>
                    <w:top w:val="single" w:color="auto" w:sz="6" w:space="0"/>
                    <w:left w:val="single" w:color="auto" w:sz="6" w:space="0"/>
                    <w:bottom w:val="single" w:color="auto" w:sz="6" w:space="0"/>
                  </w:tcBorders>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w:t>
                  </w:r>
                </w:p>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厂区、车辆治理</w:t>
                  </w:r>
                </w:p>
              </w:tc>
              <w:tc>
                <w:tcPr>
                  <w:tcW w:w="4140"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1.厂区道路硬化，平整无破损，无积尘，厂区无裸露空地，闲置裸露空地绿化；2.对厂区道路定期洒水清扫；3.企业出厂口处配备高压清洗装置对所有车辆车轮、底盘进行冲洗，严禁带 泥上路。洗车平台四周应设置洗车废水收集防治设施。</w:t>
                  </w:r>
                </w:p>
              </w:tc>
              <w:tc>
                <w:tcPr>
                  <w:tcW w:w="2935" w:type="dxa"/>
                  <w:tcBorders>
                    <w:top w:val="single" w:color="auto" w:sz="6" w:space="0"/>
                    <w:bottom w:val="single" w:color="auto" w:sz="6" w:space="0"/>
                  </w:tcBorders>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本</w:t>
                  </w:r>
                  <w:r>
                    <w:rPr>
                      <w:rFonts w:hint="default" w:ascii="Times New Roman" w:hAnsi="Times New Roman" w:eastAsia="宋体" w:cs="Times New Roman"/>
                      <w:sz w:val="21"/>
                      <w:szCs w:val="21"/>
                    </w:rPr>
                    <w:t>项目厂区道路全部硬化，保证平整无破损、无积尘；厂区道路定期洒水清扫。</w:t>
                  </w:r>
                </w:p>
              </w:tc>
              <w:tc>
                <w:tcPr>
                  <w:tcW w:w="701" w:type="dxa"/>
                  <w:tcBorders>
                    <w:right w:val="single" w:color="auto" w:sz="6" w:space="0"/>
                  </w:tcBorders>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bl>
          <w:p>
            <w:pPr>
              <w:bidi w:val="0"/>
              <w:spacing w:line="360" w:lineRule="auto"/>
              <w:ind w:firstLine="500"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9、</w:t>
            </w:r>
            <w:r>
              <w:rPr>
                <w:rFonts w:hint="default" w:ascii="Times New Roman" w:hAnsi="Times New Roman" w:eastAsia="宋体" w:cs="Times New Roman"/>
                <w:b/>
                <w:bCs/>
                <w:sz w:val="24"/>
                <w:szCs w:val="24"/>
              </w:rPr>
              <w:t>项目与《废塑料综合利用行业规范条件》相符性</w:t>
            </w:r>
            <w:r>
              <w:rPr>
                <w:rFonts w:hint="default" w:ascii="Times New Roman" w:hAnsi="Times New Roman" w:eastAsia="宋体" w:cs="Times New Roman"/>
                <w:b/>
                <w:bCs/>
                <w:sz w:val="24"/>
                <w:szCs w:val="24"/>
                <w:lang w:val="en-US" w:eastAsia="zh-CN"/>
              </w:rPr>
              <w:t>分析</w:t>
            </w:r>
          </w:p>
          <w:p>
            <w:pPr>
              <w:bidi w:val="0"/>
              <w:spacing w:line="360" w:lineRule="auto"/>
              <w:ind w:firstLine="50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中华人民共和国工业和信息部于2015年12月发布《废塑料综合利用行业规范条件》，于2016年1月1日起执行。项目建设与该文件的相符性分析见下表。</w:t>
            </w:r>
          </w:p>
          <w:p>
            <w:pPr>
              <w:bidi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表1-</w:t>
            </w:r>
            <w:r>
              <w:rPr>
                <w:rFonts w:hint="default" w:ascii="Times New Roman" w:hAnsi="Times New Roman" w:eastAsia="宋体" w:cs="Times New Roman"/>
                <w:b/>
                <w:bCs/>
                <w:sz w:val="24"/>
                <w:szCs w:val="24"/>
                <w:lang w:val="en-US"/>
              </w:rPr>
              <w:t>5</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bCs/>
                <w:sz w:val="24"/>
                <w:szCs w:val="24"/>
                <w:lang w:val="en-US"/>
              </w:rPr>
              <w:t xml:space="preserve"> </w:t>
            </w:r>
            <w:r>
              <w:rPr>
                <w:rFonts w:hint="default" w:ascii="Times New Roman" w:hAnsi="Times New Roman" w:eastAsia="宋体" w:cs="Times New Roman"/>
                <w:b/>
                <w:bCs/>
                <w:sz w:val="24"/>
                <w:szCs w:val="24"/>
              </w:rPr>
              <w:t>项目与《废塑料综合利用行业规范条件》相符性分析</w:t>
            </w:r>
            <w:r>
              <w:rPr>
                <w:rFonts w:hint="default" w:ascii="Times New Roman" w:hAnsi="Times New Roman" w:eastAsia="宋体" w:cs="Times New Roman"/>
                <w:b/>
                <w:bCs/>
                <w:sz w:val="24"/>
                <w:szCs w:val="24"/>
                <w:lang w:val="en-US"/>
              </w:rPr>
              <w:t>一览</w:t>
            </w:r>
            <w:r>
              <w:rPr>
                <w:rFonts w:hint="default" w:ascii="Times New Roman" w:hAnsi="Times New Roman" w:eastAsia="宋体" w:cs="Times New Roman"/>
                <w:b/>
                <w:bCs/>
                <w:sz w:val="24"/>
                <w:szCs w:val="24"/>
              </w:rPr>
              <w:t>表</w:t>
            </w:r>
          </w:p>
          <w:tbl>
            <w:tblPr>
              <w:tblStyle w:val="11"/>
              <w:tblW w:w="87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4290"/>
              <w:gridCol w:w="2955"/>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 w:hRule="atLeast"/>
                <w:jc w:val="center"/>
              </w:trPr>
              <w:tc>
                <w:tcPr>
                  <w:tcW w:w="670"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4290"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具体要求</w:t>
                  </w:r>
                </w:p>
              </w:tc>
              <w:tc>
                <w:tcPr>
                  <w:tcW w:w="2955"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本项目情况</w:t>
                  </w:r>
                </w:p>
              </w:tc>
              <w:tc>
                <w:tcPr>
                  <w:tcW w:w="884"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0" w:type="dxa"/>
                  <w:vMerge w:val="restart"/>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一、企业的设立和布局</w:t>
                  </w:r>
                </w:p>
              </w:tc>
              <w:tc>
                <w:tcPr>
                  <w:tcW w:w="4290"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废塑料综合利用企业是指采用物理机械法对热塑性废塑料进行再生加工的企业，企业类型包括PET再生瓶片类企业、废塑料破碎清洗分选类企业、塑料再生造粒类企业及以废塑料为原料的各类制品类企业。</w:t>
                  </w:r>
                </w:p>
              </w:tc>
              <w:tc>
                <w:tcPr>
                  <w:tcW w:w="2955"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本项目原料主要为外购的干净废塑料碎片，主要成分为聚乙烯（PE）</w:t>
                  </w:r>
                  <w:r>
                    <w:rPr>
                      <w:rFonts w:hint="default" w:ascii="Times New Roman" w:hAnsi="Times New Roman" w:eastAsia="宋体" w:cs="Times New Roman"/>
                      <w:sz w:val="21"/>
                      <w:szCs w:val="21"/>
                      <w:lang w:val="en-US" w:eastAsia="zh-CN"/>
                    </w:rPr>
                    <w:t>及聚丙烯（PP）</w:t>
                  </w:r>
                  <w:r>
                    <w:rPr>
                      <w:rFonts w:hint="default" w:ascii="Times New Roman" w:hAnsi="Times New Roman" w:eastAsia="宋体" w:cs="Times New Roman"/>
                      <w:sz w:val="21"/>
                      <w:szCs w:val="21"/>
                    </w:rPr>
                    <w:t>，经</w:t>
                  </w:r>
                  <w:r>
                    <w:rPr>
                      <w:rFonts w:hint="eastAsia" w:ascii="Times New Roman" w:hAnsi="Times New Roman" w:eastAsia="宋体" w:cs="Times New Roman"/>
                      <w:sz w:val="21"/>
                      <w:szCs w:val="21"/>
                      <w:lang w:eastAsia="zh-CN"/>
                    </w:rPr>
                    <w:t>熔融挤出</w:t>
                  </w:r>
                  <w:r>
                    <w:rPr>
                      <w:rFonts w:hint="default" w:ascii="Times New Roman" w:hAnsi="Times New Roman" w:eastAsia="宋体" w:cs="Times New Roman"/>
                      <w:sz w:val="21"/>
                      <w:szCs w:val="21"/>
                    </w:rPr>
                    <w:t>再生造粒，应为塑料再生造粒类企业。</w:t>
                  </w:r>
                </w:p>
              </w:tc>
              <w:tc>
                <w:tcPr>
                  <w:tcW w:w="884"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70" w:type="dxa"/>
                  <w:vMerge w:val="continue"/>
                  <w:vAlign w:val="center"/>
                </w:tcPr>
                <w:p>
                  <w:pPr>
                    <w:bidi w:val="0"/>
                    <w:spacing w:line="360" w:lineRule="auto"/>
                    <w:rPr>
                      <w:rFonts w:hint="default" w:ascii="Times New Roman" w:hAnsi="Times New Roman" w:eastAsia="宋体" w:cs="Times New Roman"/>
                      <w:sz w:val="21"/>
                      <w:szCs w:val="21"/>
                    </w:rPr>
                  </w:pPr>
                </w:p>
              </w:tc>
              <w:tc>
                <w:tcPr>
                  <w:tcW w:w="4290"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废塑料综合利用企业所涉及的热塑性废塑料原料，不包括受到危险化学品、农药等污染的废弃塑料包装物、废弃一次性医疗用塑料制品等塑料类危险废物，以及氟塑料等特种工程塑料。</w:t>
                  </w:r>
                </w:p>
              </w:tc>
              <w:tc>
                <w:tcPr>
                  <w:tcW w:w="2955"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本项目原料</w:t>
                  </w:r>
                  <w:r>
                    <w:rPr>
                      <w:rFonts w:hint="eastAsia" w:ascii="Times New Roman" w:hAnsi="Times New Roman" w:eastAsia="宋体" w:cs="Times New Roman"/>
                      <w:sz w:val="21"/>
                      <w:szCs w:val="21"/>
                      <w:lang w:eastAsia="zh-CN"/>
                    </w:rPr>
                    <w:t>为</w:t>
                  </w:r>
                  <w:r>
                    <w:rPr>
                      <w:rFonts w:hint="default" w:ascii="Times New Roman" w:hAnsi="Times New Roman" w:eastAsia="宋体" w:cs="Times New Roman"/>
                      <w:sz w:val="21"/>
                      <w:szCs w:val="21"/>
                    </w:rPr>
                    <w:t>外购的干净废塑料碎片</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主要为聚乙烯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聚丙烯</w:t>
                  </w:r>
                  <w:r>
                    <w:rPr>
                      <w:rFonts w:hint="default" w:ascii="Times New Roman" w:hAnsi="Times New Roman" w:eastAsia="宋体" w:cs="Times New Roman"/>
                      <w:sz w:val="21"/>
                      <w:szCs w:val="21"/>
                    </w:rPr>
                    <w:t>类废塑料，不涉及塑料类危险废物及特种工程塑料。</w:t>
                  </w:r>
                </w:p>
              </w:tc>
              <w:tc>
                <w:tcPr>
                  <w:tcW w:w="884"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70" w:type="dxa"/>
                  <w:vMerge w:val="continue"/>
                  <w:vAlign w:val="center"/>
                </w:tcPr>
                <w:p>
                  <w:pPr>
                    <w:bidi w:val="0"/>
                    <w:spacing w:line="360" w:lineRule="auto"/>
                    <w:rPr>
                      <w:rFonts w:hint="default" w:ascii="Times New Roman" w:hAnsi="Times New Roman" w:eastAsia="宋体" w:cs="Times New Roman"/>
                      <w:sz w:val="21"/>
                      <w:szCs w:val="21"/>
                    </w:rPr>
                  </w:pPr>
                </w:p>
              </w:tc>
              <w:tc>
                <w:tcPr>
                  <w:tcW w:w="4290"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新建及改造、扩建废塑料加工企业应符合国家产业政策及所在地区土地利用总体规划、城乡建设规划、环境保护、污染防治规划。企业建设应有规范化设计要求，采用节能环保技术及生产装备。</w:t>
                  </w:r>
                </w:p>
              </w:tc>
              <w:tc>
                <w:tcPr>
                  <w:tcW w:w="2955"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根据企业提供的土地及规划证明</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项目</w:t>
                  </w:r>
                  <w:r>
                    <w:rPr>
                      <w:rFonts w:hint="default" w:ascii="Times New Roman" w:hAnsi="Times New Roman" w:eastAsia="宋体" w:cs="Times New Roman"/>
                      <w:sz w:val="21"/>
                      <w:szCs w:val="21"/>
                    </w:rPr>
                    <w:t>用地性质为建设用地，符合</w:t>
                  </w:r>
                  <w:r>
                    <w:rPr>
                      <w:rFonts w:hint="eastAsia" w:ascii="Times New Roman" w:hAnsi="Times New Roman" w:eastAsia="宋体" w:cs="Times New Roman"/>
                      <w:sz w:val="21"/>
                      <w:szCs w:val="21"/>
                      <w:lang w:val="en-US" w:eastAsia="zh-CN"/>
                    </w:rPr>
                    <w:t>方城县广阳镇</w:t>
                  </w:r>
                  <w:r>
                    <w:rPr>
                      <w:rFonts w:hint="default" w:ascii="Times New Roman" w:hAnsi="Times New Roman" w:eastAsia="宋体" w:cs="Times New Roman"/>
                      <w:sz w:val="21"/>
                      <w:szCs w:val="21"/>
                    </w:rPr>
                    <w:t>土地利用总体规划及</w:t>
                  </w:r>
                  <w:r>
                    <w:rPr>
                      <w:rFonts w:hint="eastAsia" w:ascii="Times New Roman" w:hAnsi="Times New Roman" w:eastAsia="宋体" w:cs="Times New Roman"/>
                      <w:sz w:val="21"/>
                      <w:szCs w:val="21"/>
                      <w:lang w:val="en-US" w:eastAsia="zh-CN"/>
                    </w:rPr>
                    <w:t>方城县广阳镇</w:t>
                  </w:r>
                  <w:r>
                    <w:rPr>
                      <w:rFonts w:hint="default" w:ascii="Times New Roman" w:hAnsi="Times New Roman" w:eastAsia="宋体" w:cs="Times New Roman"/>
                      <w:sz w:val="21"/>
                      <w:szCs w:val="21"/>
                    </w:rPr>
                    <w:t>总体发展规划；项目建设符合当前国家产业政策、环境保护、污染防治规划；项目</w:t>
                  </w:r>
                  <w:r>
                    <w:rPr>
                      <w:rFonts w:hint="default" w:ascii="Times New Roman" w:hAnsi="Times New Roman" w:eastAsia="宋体" w:cs="Times New Roman"/>
                      <w:sz w:val="21"/>
                      <w:szCs w:val="21"/>
                      <w:lang w:val="en-US" w:eastAsia="zh-CN"/>
                    </w:rPr>
                    <w:t>生产过程</w:t>
                  </w:r>
                  <w:r>
                    <w:rPr>
                      <w:rFonts w:hint="default" w:ascii="Times New Roman" w:hAnsi="Times New Roman" w:eastAsia="宋体" w:cs="Times New Roman"/>
                      <w:sz w:val="21"/>
                      <w:szCs w:val="21"/>
                    </w:rPr>
                    <w:t>采用节能环保技术及生产设备。</w:t>
                  </w:r>
                </w:p>
              </w:tc>
              <w:tc>
                <w:tcPr>
                  <w:tcW w:w="884"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jc w:val="center"/>
              </w:trPr>
              <w:tc>
                <w:tcPr>
                  <w:tcW w:w="670" w:type="dxa"/>
                  <w:vMerge w:val="continue"/>
                  <w:vAlign w:val="center"/>
                </w:tcPr>
                <w:p>
                  <w:pPr>
                    <w:bidi w:val="0"/>
                    <w:spacing w:line="360" w:lineRule="auto"/>
                    <w:rPr>
                      <w:rFonts w:hint="default" w:ascii="Times New Roman" w:hAnsi="Times New Roman" w:eastAsia="宋体" w:cs="Times New Roman"/>
                      <w:sz w:val="21"/>
                      <w:szCs w:val="21"/>
                    </w:rPr>
                  </w:pPr>
                </w:p>
              </w:tc>
              <w:tc>
                <w:tcPr>
                  <w:tcW w:w="4290" w:type="dxa"/>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国家法律、法规、规章和规划确定或县级及以上人民政府规定的自然保护区、风景名胜区、饮用水源保护区、基本农田保护区和其他需要特别保护的区域内，不得新建塑料再生加工企业；已在上述区域投产运营的废塑料再生加工企业，要根据该区域规划要求，依法通过搬迁、转产等方式逐步退出。</w:t>
                  </w:r>
                </w:p>
              </w:tc>
              <w:tc>
                <w:tcPr>
                  <w:tcW w:w="2955"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本项目选址不在自然保护区、风景名胜区、饮用水源保护区、基本农田保护区和其他需要特别保护的区域范围内。</w:t>
                  </w:r>
                </w:p>
              </w:tc>
              <w:tc>
                <w:tcPr>
                  <w:tcW w:w="884"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70"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二、生产经营规模</w:t>
                  </w:r>
                </w:p>
              </w:tc>
              <w:tc>
                <w:tcPr>
                  <w:tcW w:w="4290"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塑料再生造粒类企业：新建企业年废塑料处理能力不低于5000吨；已建企业年废塑料处理能力不低于3000吨。</w:t>
                  </w:r>
                </w:p>
              </w:tc>
              <w:tc>
                <w:tcPr>
                  <w:tcW w:w="2955"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本项目属于塑料再生造粒类企业，年产再生塑料颗粒</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000吨，生产能力符合不低于5000吨的</w:t>
                  </w:r>
                  <w:r>
                    <w:rPr>
                      <w:rFonts w:hint="default" w:ascii="Times New Roman" w:hAnsi="Times New Roman" w:eastAsia="宋体" w:cs="Times New Roman"/>
                      <w:sz w:val="21"/>
                      <w:szCs w:val="21"/>
                      <w:lang w:val="en-US" w:eastAsia="zh-CN"/>
                    </w:rPr>
                    <w:t>规模</w:t>
                  </w:r>
                  <w:r>
                    <w:rPr>
                      <w:rFonts w:hint="default" w:ascii="Times New Roman" w:hAnsi="Times New Roman" w:eastAsia="宋体" w:cs="Times New Roman"/>
                      <w:sz w:val="21"/>
                      <w:szCs w:val="21"/>
                    </w:rPr>
                    <w:t>要求。</w:t>
                  </w:r>
                </w:p>
              </w:tc>
              <w:tc>
                <w:tcPr>
                  <w:tcW w:w="884"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670" w:type="dxa"/>
                  <w:vMerge w:val="restart"/>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三、资源综合利用及能耗</w:t>
                  </w:r>
                </w:p>
              </w:tc>
              <w:tc>
                <w:tcPr>
                  <w:tcW w:w="4290" w:type="dxa"/>
                  <w:tcBorders>
                    <w:bottom w:val="single" w:color="auto" w:sz="4" w:space="0"/>
                  </w:tcBorders>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企业应对收集的废塑料进行充分利用，提高资源回收利用效率，不得倾倒、焚烧与填埋。</w:t>
                  </w:r>
                </w:p>
              </w:tc>
              <w:tc>
                <w:tcPr>
                  <w:tcW w:w="2955" w:type="dxa"/>
                  <w:tcBorders>
                    <w:bottom w:val="single" w:color="auto" w:sz="4" w:space="0"/>
                  </w:tcBorders>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本项目外购的干净废塑料碎片</w:t>
                  </w:r>
                  <w:r>
                    <w:rPr>
                      <w:rFonts w:hint="default" w:ascii="Times New Roman" w:hAnsi="Times New Roman" w:eastAsia="宋体" w:cs="Times New Roman"/>
                      <w:sz w:val="21"/>
                      <w:szCs w:val="21"/>
                      <w:lang w:val="en-US" w:eastAsia="zh-CN"/>
                    </w:rPr>
                    <w:t>全部</w:t>
                  </w:r>
                  <w:r>
                    <w:rPr>
                      <w:rFonts w:hint="default" w:ascii="Times New Roman" w:hAnsi="Times New Roman" w:eastAsia="宋体" w:cs="Times New Roman"/>
                      <w:sz w:val="21"/>
                      <w:szCs w:val="21"/>
                    </w:rPr>
                    <w:t>用于</w:t>
                  </w:r>
                  <w:r>
                    <w:rPr>
                      <w:rFonts w:hint="default" w:ascii="Times New Roman" w:hAnsi="Times New Roman" w:eastAsia="宋体" w:cs="Times New Roman"/>
                      <w:sz w:val="21"/>
                      <w:szCs w:val="21"/>
                      <w:lang w:val="en-US" w:eastAsia="zh-CN"/>
                    </w:rPr>
                    <w:t>再生</w:t>
                  </w:r>
                  <w:r>
                    <w:rPr>
                      <w:rFonts w:hint="default" w:ascii="Times New Roman" w:hAnsi="Times New Roman" w:eastAsia="宋体" w:cs="Times New Roman"/>
                      <w:sz w:val="21"/>
                      <w:szCs w:val="21"/>
                    </w:rPr>
                    <w:t>造粒，不</w:t>
                  </w:r>
                  <w:r>
                    <w:rPr>
                      <w:rFonts w:hint="default" w:ascii="Times New Roman" w:hAnsi="Times New Roman" w:eastAsia="宋体" w:cs="Times New Roman"/>
                      <w:sz w:val="21"/>
                      <w:szCs w:val="21"/>
                      <w:lang w:val="en-US" w:eastAsia="zh-CN"/>
                    </w:rPr>
                    <w:t>涉及</w:t>
                  </w:r>
                  <w:r>
                    <w:rPr>
                      <w:rFonts w:hint="default" w:ascii="Times New Roman" w:hAnsi="Times New Roman" w:eastAsia="宋体" w:cs="Times New Roman"/>
                      <w:sz w:val="21"/>
                      <w:szCs w:val="21"/>
                    </w:rPr>
                    <w:t>随意倾倒、焚烧与填埋。</w:t>
                  </w:r>
                </w:p>
              </w:tc>
              <w:tc>
                <w:tcPr>
                  <w:tcW w:w="884"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jc w:val="center"/>
              </w:trPr>
              <w:tc>
                <w:tcPr>
                  <w:tcW w:w="670" w:type="dxa"/>
                  <w:vMerge w:val="continue"/>
                  <w:vAlign w:val="center"/>
                </w:tcPr>
                <w:p>
                  <w:pPr>
                    <w:bidi w:val="0"/>
                    <w:spacing w:line="360" w:lineRule="auto"/>
                    <w:rPr>
                      <w:rFonts w:hint="default" w:ascii="Times New Roman" w:hAnsi="Times New Roman" w:eastAsia="宋体" w:cs="Times New Roman"/>
                      <w:sz w:val="21"/>
                      <w:szCs w:val="21"/>
                    </w:rPr>
                  </w:pPr>
                </w:p>
              </w:tc>
              <w:tc>
                <w:tcPr>
                  <w:tcW w:w="4290" w:type="dxa"/>
                  <w:tcBorders>
                    <w:bottom w:val="single" w:color="auto" w:sz="4" w:space="0"/>
                  </w:tcBorders>
                  <w:vAlign w:val="center"/>
                </w:tcPr>
                <w:p>
                  <w:pPr>
                    <w:bidi w:val="0"/>
                    <w:spacing w:line="360" w:lineRule="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塑料再生加工相关生产环节的综合电耗低于500千瓦时/吨废塑料。PET再生瓶片类企业与废塑料破碎、清洗、分选类企业的综合新水消耗低于1.5吨/吨废塑料。塑料再生造粒类企业的综合新水消耗低于0.2吨/吨废塑料</w:t>
                  </w:r>
                  <w:r>
                    <w:rPr>
                      <w:rFonts w:hint="default" w:ascii="Times New Roman" w:hAnsi="Times New Roman" w:eastAsia="宋体" w:cs="Times New Roman"/>
                      <w:sz w:val="21"/>
                      <w:szCs w:val="21"/>
                      <w:lang w:eastAsia="zh-CN"/>
                    </w:rPr>
                    <w:t>。</w:t>
                  </w:r>
                </w:p>
              </w:tc>
              <w:tc>
                <w:tcPr>
                  <w:tcW w:w="2955" w:type="dxa"/>
                  <w:tcBorders>
                    <w:bottom w:val="single" w:color="auto" w:sz="4" w:space="0"/>
                  </w:tcBorders>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本项目综合电耗约为</w:t>
                  </w:r>
                  <w:r>
                    <w:rPr>
                      <w:rFonts w:hint="eastAsia" w:ascii="Times New Roman" w:hAnsi="Times New Roman" w:cs="Times New Roman"/>
                      <w:color w:val="auto"/>
                      <w:sz w:val="21"/>
                      <w:szCs w:val="21"/>
                      <w:lang w:val="en-US" w:eastAsia="zh-CN"/>
                    </w:rPr>
                    <w:t>40</w:t>
                  </w:r>
                  <w:r>
                    <w:rPr>
                      <w:rFonts w:hint="default" w:ascii="Times New Roman" w:hAnsi="Times New Roman" w:eastAsia="宋体" w:cs="Times New Roman"/>
                      <w:color w:val="auto"/>
                      <w:sz w:val="21"/>
                      <w:szCs w:val="21"/>
                    </w:rPr>
                    <w:t>千瓦时/吨废塑料，生产过程综合新水消耗为</w:t>
                  </w:r>
                  <w:r>
                    <w:rPr>
                      <w:rFonts w:hint="eastAsia" w:ascii="Times New Roman" w:hAnsi="Times New Roman" w:cs="Times New Roman"/>
                      <w:color w:val="auto"/>
                      <w:sz w:val="21"/>
                      <w:szCs w:val="21"/>
                      <w:lang w:val="en-US" w:eastAsia="zh-CN"/>
                    </w:rPr>
                    <w:t>0.11</w:t>
                  </w:r>
                  <w:r>
                    <w:rPr>
                      <w:rFonts w:hint="default" w:ascii="Times New Roman" w:hAnsi="Times New Roman" w:eastAsia="宋体" w:cs="Times New Roman"/>
                      <w:color w:val="auto"/>
                      <w:sz w:val="21"/>
                      <w:szCs w:val="21"/>
                    </w:rPr>
                    <w:t>t/t废塑料</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满足塑料再生造粒类企业综合电耗和水耗均满足规范要求。</w:t>
                  </w:r>
                </w:p>
              </w:tc>
              <w:tc>
                <w:tcPr>
                  <w:tcW w:w="884"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jc w:val="center"/>
              </w:trPr>
              <w:tc>
                <w:tcPr>
                  <w:tcW w:w="670" w:type="dxa"/>
                  <w:vMerge w:val="restart"/>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工艺与装备</w:t>
                  </w:r>
                </w:p>
              </w:tc>
              <w:tc>
                <w:tcPr>
                  <w:tcW w:w="4290"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新建及改造、扩建废塑料综合利用企业应采用先进技术、工艺和装备，提高废塑料再生加工过程的自动化水平。</w:t>
                  </w:r>
                </w:p>
              </w:tc>
              <w:tc>
                <w:tcPr>
                  <w:tcW w:w="2955"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w:t>
                  </w:r>
                  <w:r>
                    <w:rPr>
                      <w:rFonts w:hint="eastAsia" w:ascii="Times New Roman" w:hAnsi="Times New Roman" w:eastAsia="宋体" w:cs="Times New Roman"/>
                      <w:sz w:val="21"/>
                      <w:szCs w:val="21"/>
                      <w:lang w:eastAsia="zh-CN"/>
                    </w:rPr>
                    <w:t>原料上料（绞龙输料机）</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eastAsia="zh-CN"/>
                    </w:rPr>
                    <w:t>熔融</w:t>
                  </w:r>
                  <w:r>
                    <w:rPr>
                      <w:rFonts w:hint="default" w:ascii="Times New Roman" w:hAnsi="Times New Roman" w:eastAsia="宋体" w:cs="Times New Roman"/>
                      <w:sz w:val="21"/>
                      <w:szCs w:val="21"/>
                      <w:lang w:val="en-US" w:eastAsia="zh-CN"/>
                    </w:rPr>
                    <w:t>造粒等设备均采用当前国内先进技术、工艺和装备</w:t>
                  </w:r>
                  <w:r>
                    <w:rPr>
                      <w:rFonts w:hint="default" w:ascii="Times New Roman" w:hAnsi="Times New Roman" w:eastAsia="宋体" w:cs="Times New Roman"/>
                      <w:sz w:val="21"/>
                      <w:szCs w:val="21"/>
                    </w:rPr>
                    <w:t>，自动化水平较高。</w:t>
                  </w:r>
                </w:p>
              </w:tc>
              <w:tc>
                <w:tcPr>
                  <w:tcW w:w="884"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jc w:val="center"/>
              </w:trPr>
              <w:tc>
                <w:tcPr>
                  <w:tcW w:w="670" w:type="dxa"/>
                  <w:vMerge w:val="continue"/>
                  <w:vAlign w:val="center"/>
                </w:tcPr>
                <w:p>
                  <w:pPr>
                    <w:bidi w:val="0"/>
                    <w:spacing w:line="360" w:lineRule="auto"/>
                    <w:rPr>
                      <w:rFonts w:hint="default" w:ascii="Times New Roman" w:hAnsi="Times New Roman" w:eastAsia="宋体" w:cs="Times New Roman"/>
                      <w:sz w:val="21"/>
                      <w:szCs w:val="21"/>
                    </w:rPr>
                  </w:pPr>
                </w:p>
              </w:tc>
              <w:tc>
                <w:tcPr>
                  <w:tcW w:w="4290"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塑料再生造粒类企业。应具有与加工利用能力相适应的预处理设备和造粒设备。其中，造粒设备应具有强制排气系统，通过集气装置实现废气的集中处理；过滤装置的废弃过滤网应按照环境保护有关规定处理，禁止露天焚烧。</w:t>
                  </w:r>
                </w:p>
              </w:tc>
              <w:tc>
                <w:tcPr>
                  <w:tcW w:w="2955"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本项目所用造粒设备符合生产能力要求</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且</w:t>
                  </w:r>
                  <w:r>
                    <w:rPr>
                      <w:rFonts w:hint="default" w:ascii="Times New Roman" w:hAnsi="Times New Roman" w:eastAsia="宋体" w:cs="Times New Roman"/>
                      <w:sz w:val="21"/>
                      <w:szCs w:val="21"/>
                      <w:lang w:val="en-US" w:eastAsia="zh-CN"/>
                    </w:rPr>
                    <w:t>造粒</w:t>
                  </w:r>
                  <w:r>
                    <w:rPr>
                      <w:rFonts w:hint="default" w:ascii="Times New Roman" w:hAnsi="Times New Roman" w:eastAsia="宋体" w:cs="Times New Roman"/>
                      <w:sz w:val="21"/>
                      <w:szCs w:val="21"/>
                    </w:rPr>
                    <w:t>过程中产生的有机废气经1套旋流式喷淋塔+除湿干燥装置+UV光氧催化设备+活性炭吸附装置处理后经1根15m高排气筒排放；</w:t>
                  </w:r>
                  <w:r>
                    <w:rPr>
                      <w:rFonts w:hint="eastAsia" w:ascii="Times New Roman" w:hAnsi="Times New Roman" w:cs="Times New Roman"/>
                      <w:sz w:val="21"/>
                      <w:szCs w:val="21"/>
                      <w:lang w:eastAsia="zh-CN"/>
                    </w:rPr>
                    <w:t>废滤网（含滤渣）收集后由厂家回收</w:t>
                  </w:r>
                  <w:r>
                    <w:rPr>
                      <w:rFonts w:hint="default" w:ascii="Times New Roman" w:hAnsi="Times New Roman" w:eastAsia="宋体" w:cs="Times New Roman"/>
                      <w:sz w:val="21"/>
                      <w:szCs w:val="21"/>
                    </w:rPr>
                    <w:t>。</w:t>
                  </w:r>
                </w:p>
              </w:tc>
              <w:tc>
                <w:tcPr>
                  <w:tcW w:w="884"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 w:hRule="atLeast"/>
                <w:jc w:val="center"/>
              </w:trPr>
              <w:tc>
                <w:tcPr>
                  <w:tcW w:w="670" w:type="dxa"/>
                  <w:vMerge w:val="restart"/>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五、环境保护</w:t>
                  </w:r>
                </w:p>
              </w:tc>
              <w:tc>
                <w:tcPr>
                  <w:tcW w:w="4290"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塑料再生加工企业应严格执行《中华人民共和国环境影响评价法》，按照环境保护主管部门的相关规定报批环境影响评价文件。按照环境保护“三同时”的要求建设配套的环境保护设施，编制环境风险应急预案，并依法申请项目竣工环境保护验收。</w:t>
                  </w:r>
                </w:p>
              </w:tc>
              <w:tc>
                <w:tcPr>
                  <w:tcW w:w="2955"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本项目处于环评编制审批阶段，后期项目的建设应落实“三同时”环保措施，并完善相关的环境风险应急预案及环保验收工作。</w:t>
                  </w:r>
                </w:p>
              </w:tc>
              <w:tc>
                <w:tcPr>
                  <w:tcW w:w="884"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70" w:type="dxa"/>
                  <w:vMerge w:val="continue"/>
                  <w:vAlign w:val="center"/>
                </w:tcPr>
                <w:p>
                  <w:pPr>
                    <w:bidi w:val="0"/>
                    <w:spacing w:line="360" w:lineRule="auto"/>
                    <w:rPr>
                      <w:rFonts w:hint="default" w:ascii="Times New Roman" w:hAnsi="Times New Roman" w:eastAsia="宋体" w:cs="Times New Roman"/>
                      <w:sz w:val="21"/>
                      <w:szCs w:val="21"/>
                    </w:rPr>
                  </w:pPr>
                </w:p>
              </w:tc>
              <w:tc>
                <w:tcPr>
                  <w:tcW w:w="4290"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企业加工存储场地应建有围墙，在园区内的企业可为单独厂房，地面全部硬化且无明显破损现象。</w:t>
                  </w:r>
                </w:p>
              </w:tc>
              <w:tc>
                <w:tcPr>
                  <w:tcW w:w="2955"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w:t>
                  </w:r>
                  <w:r>
                    <w:rPr>
                      <w:rFonts w:hint="eastAsia" w:ascii="Times New Roman" w:hAnsi="Times New Roman" w:eastAsia="宋体" w:cs="Times New Roman"/>
                      <w:sz w:val="21"/>
                      <w:szCs w:val="21"/>
                      <w:lang w:val="en-US" w:eastAsia="zh-CN"/>
                    </w:rPr>
                    <w:t>厂区建有围墙</w:t>
                  </w:r>
                  <w:r>
                    <w:rPr>
                      <w:rFonts w:hint="default" w:ascii="Times New Roman" w:hAnsi="Times New Roman" w:eastAsia="宋体" w:cs="Times New Roman"/>
                      <w:sz w:val="21"/>
                      <w:szCs w:val="21"/>
                    </w:rPr>
                    <w:t>，厂区及车间地面全部进行硬化。</w:t>
                  </w:r>
                </w:p>
              </w:tc>
              <w:tc>
                <w:tcPr>
                  <w:tcW w:w="884"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670" w:type="dxa"/>
                  <w:vMerge w:val="continue"/>
                  <w:vAlign w:val="center"/>
                </w:tcPr>
                <w:p>
                  <w:pPr>
                    <w:bidi w:val="0"/>
                    <w:spacing w:line="360" w:lineRule="auto"/>
                    <w:rPr>
                      <w:rFonts w:hint="default" w:ascii="Times New Roman" w:hAnsi="Times New Roman" w:eastAsia="宋体" w:cs="Times New Roman"/>
                      <w:sz w:val="21"/>
                      <w:szCs w:val="21"/>
                    </w:rPr>
                  </w:pPr>
                </w:p>
              </w:tc>
              <w:tc>
                <w:tcPr>
                  <w:tcW w:w="4290"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必须配备废塑料分类存放场所。原料、产品、本企业不能利用废塑料及不可利用废物贮存在具有防雨、防风、防渗等功能的厂房或加盖雨棚的专门贮存场地内，无露天堆放现象。企业厂区管网建设应达到“雨污分流”要求。</w:t>
                  </w:r>
                </w:p>
              </w:tc>
              <w:tc>
                <w:tcPr>
                  <w:tcW w:w="2955"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本项目外购的干净废塑料碎片</w:t>
                  </w:r>
                  <w:r>
                    <w:rPr>
                      <w:rFonts w:hint="eastAsia" w:ascii="Times New Roman" w:hAnsi="Times New Roman" w:eastAsia="宋体" w:cs="Times New Roman"/>
                      <w:sz w:val="21"/>
                      <w:szCs w:val="21"/>
                      <w:lang w:eastAsia="zh-CN"/>
                    </w:rPr>
                    <w:t>采用袋装</w:t>
                  </w:r>
                  <w:r>
                    <w:rPr>
                      <w:rFonts w:hint="default" w:ascii="Times New Roman" w:hAnsi="Times New Roman" w:eastAsia="宋体" w:cs="Times New Roman"/>
                      <w:sz w:val="21"/>
                      <w:szCs w:val="21"/>
                    </w:rPr>
                    <w:t>存于封闭</w:t>
                  </w:r>
                  <w:r>
                    <w:rPr>
                      <w:rFonts w:hint="eastAsia" w:ascii="Times New Roman" w:hAnsi="Times New Roman" w:eastAsia="宋体" w:cs="Times New Roman"/>
                      <w:sz w:val="21"/>
                      <w:szCs w:val="21"/>
                      <w:lang w:eastAsia="zh-CN"/>
                    </w:rPr>
                    <w:t>生产车间的原料区</w:t>
                  </w:r>
                  <w:r>
                    <w:rPr>
                      <w:rFonts w:hint="default" w:ascii="Times New Roman" w:hAnsi="Times New Roman" w:eastAsia="宋体" w:cs="Times New Roman"/>
                      <w:sz w:val="21"/>
                      <w:szCs w:val="21"/>
                    </w:rPr>
                    <w:t>内，成品</w:t>
                  </w:r>
                  <w:r>
                    <w:rPr>
                      <w:rFonts w:hint="eastAsia" w:ascii="Times New Roman" w:hAnsi="Times New Roman" w:eastAsia="宋体" w:cs="Times New Roman"/>
                      <w:sz w:val="21"/>
                      <w:szCs w:val="21"/>
                      <w:lang w:eastAsia="zh-CN"/>
                    </w:rPr>
                    <w:t>袋装</w:t>
                  </w:r>
                  <w:r>
                    <w:rPr>
                      <w:rFonts w:hint="default" w:ascii="Times New Roman" w:hAnsi="Times New Roman" w:eastAsia="宋体" w:cs="Times New Roman"/>
                      <w:sz w:val="21"/>
                      <w:szCs w:val="21"/>
                    </w:rPr>
                    <w:t>储存于生产车间内成品区；生产车间四面封闭，具有防雨、防风、防渗的功能；项目厂区采用雨污分流排水系统。</w:t>
                  </w:r>
                </w:p>
              </w:tc>
              <w:tc>
                <w:tcPr>
                  <w:tcW w:w="884"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jc w:val="center"/>
              </w:trPr>
              <w:tc>
                <w:tcPr>
                  <w:tcW w:w="670" w:type="dxa"/>
                  <w:vMerge w:val="continue"/>
                  <w:vAlign w:val="center"/>
                </w:tcPr>
                <w:p>
                  <w:pPr>
                    <w:bidi w:val="0"/>
                    <w:spacing w:line="360" w:lineRule="auto"/>
                    <w:rPr>
                      <w:rFonts w:hint="default" w:ascii="Times New Roman" w:hAnsi="Times New Roman" w:eastAsia="宋体" w:cs="Times New Roman"/>
                      <w:sz w:val="21"/>
                      <w:szCs w:val="21"/>
                    </w:rPr>
                  </w:pPr>
                </w:p>
              </w:tc>
              <w:tc>
                <w:tcPr>
                  <w:tcW w:w="4290"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企业对收集的废塑料中的金属、橡胶、纤维、渣土、油脂、添加物等夹杂物，应采取相应的处理措施。如企业不具备处理条件，应委托其他具有处理能力的企业处理，不得擅自丢弃、倾倒、焚烧与填埋。</w:t>
                  </w:r>
                </w:p>
              </w:tc>
              <w:tc>
                <w:tcPr>
                  <w:tcW w:w="2955"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本项目外购的干净废塑料碎片中不存在金属、橡胶、纤维等夹杂物，不牵扯有毒有害物质。</w:t>
                  </w:r>
                </w:p>
              </w:tc>
              <w:tc>
                <w:tcPr>
                  <w:tcW w:w="884"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670" w:type="dxa"/>
                  <w:vMerge w:val="continue"/>
                  <w:vAlign w:val="center"/>
                </w:tcPr>
                <w:p>
                  <w:pPr>
                    <w:bidi w:val="0"/>
                    <w:spacing w:line="360" w:lineRule="auto"/>
                    <w:rPr>
                      <w:rFonts w:hint="default" w:ascii="Times New Roman" w:hAnsi="Times New Roman" w:eastAsia="宋体" w:cs="Times New Roman"/>
                      <w:sz w:val="21"/>
                      <w:szCs w:val="21"/>
                    </w:rPr>
                  </w:pPr>
                </w:p>
              </w:tc>
              <w:tc>
                <w:tcPr>
                  <w:tcW w:w="4290"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企业应具有与加工利用能力相适应的废水处理设施，中水回用率必须符合环评文件的有关要求。废水处理后需要外排的废水，必须经处理后达标排放。企业应采用高效节能环保的污泥处理工艺，或交由具有处理资格的废物处理机构，实现污泥无害化处理。</w:t>
                  </w:r>
                </w:p>
              </w:tc>
              <w:tc>
                <w:tcPr>
                  <w:tcW w:w="2955"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w:t>
                  </w:r>
                  <w:r>
                    <w:rPr>
                      <w:rFonts w:hint="eastAsia" w:ascii="Times New Roman" w:hAnsi="Times New Roman" w:eastAsia="宋体" w:cs="Times New Roman"/>
                      <w:sz w:val="21"/>
                      <w:szCs w:val="21"/>
                      <w:lang w:eastAsia="zh-CN"/>
                    </w:rPr>
                    <w:t>不清洗、不破碎，原料为</w:t>
                  </w:r>
                  <w:r>
                    <w:rPr>
                      <w:rFonts w:hint="default" w:ascii="Times New Roman" w:hAnsi="Times New Roman" w:eastAsia="宋体" w:cs="Times New Roman"/>
                      <w:sz w:val="21"/>
                      <w:szCs w:val="21"/>
                    </w:rPr>
                    <w:t>外购干净</w:t>
                  </w:r>
                  <w:r>
                    <w:rPr>
                      <w:rFonts w:hint="eastAsia" w:ascii="Times New Roman" w:hAnsi="Times New Roman" w:eastAsia="宋体" w:cs="Times New Roman"/>
                      <w:sz w:val="21"/>
                      <w:szCs w:val="21"/>
                      <w:lang w:eastAsia="zh-CN"/>
                    </w:rPr>
                    <w:t>袋装</w:t>
                  </w:r>
                  <w:r>
                    <w:rPr>
                      <w:rFonts w:hint="default" w:ascii="Times New Roman" w:hAnsi="Times New Roman" w:eastAsia="宋体" w:cs="Times New Roman"/>
                      <w:sz w:val="21"/>
                      <w:szCs w:val="21"/>
                    </w:rPr>
                    <w:t>废塑料碎片</w:t>
                  </w:r>
                  <w:r>
                    <w:rPr>
                      <w:rFonts w:hint="eastAsia" w:ascii="Times New Roman" w:hAnsi="Times New Roman" w:eastAsia="宋体" w:cs="Times New Roman"/>
                      <w:sz w:val="21"/>
                      <w:szCs w:val="21"/>
                      <w:lang w:eastAsia="zh-CN"/>
                    </w:rPr>
                    <w:t>，生产废水为冷却水</w:t>
                  </w:r>
                  <w:r>
                    <w:rPr>
                      <w:rFonts w:hint="eastAsia" w:ascii="Times New Roman" w:hAnsi="Times New Roman" w:cs="Times New Roman"/>
                      <w:sz w:val="21"/>
                      <w:szCs w:val="21"/>
                      <w:lang w:eastAsia="zh-CN"/>
                    </w:rPr>
                    <w:t>和喷淋塔废水</w:t>
                  </w:r>
                  <w:r>
                    <w:rPr>
                      <w:rFonts w:hint="eastAsia" w:ascii="Times New Roman" w:hAnsi="Times New Roman" w:eastAsia="宋体" w:cs="Times New Roman"/>
                      <w:sz w:val="21"/>
                      <w:szCs w:val="21"/>
                      <w:lang w:eastAsia="zh-CN"/>
                    </w:rPr>
                    <w:t>，循环使用，不外排</w:t>
                  </w:r>
                  <w:r>
                    <w:rPr>
                      <w:rFonts w:hint="default" w:ascii="Times New Roman" w:hAnsi="Times New Roman" w:eastAsia="宋体" w:cs="Times New Roman"/>
                      <w:sz w:val="21"/>
                      <w:szCs w:val="21"/>
                    </w:rPr>
                    <w:t>。</w:t>
                  </w:r>
                </w:p>
              </w:tc>
              <w:tc>
                <w:tcPr>
                  <w:tcW w:w="884"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jc w:val="center"/>
              </w:trPr>
              <w:tc>
                <w:tcPr>
                  <w:tcW w:w="670" w:type="dxa"/>
                  <w:vMerge w:val="continue"/>
                  <w:vAlign w:val="center"/>
                </w:tcPr>
                <w:p>
                  <w:pPr>
                    <w:bidi w:val="0"/>
                    <w:spacing w:line="360" w:lineRule="auto"/>
                    <w:rPr>
                      <w:rFonts w:hint="default" w:ascii="Times New Roman" w:hAnsi="Times New Roman" w:eastAsia="宋体" w:cs="Times New Roman"/>
                      <w:sz w:val="21"/>
                      <w:szCs w:val="21"/>
                    </w:rPr>
                  </w:pPr>
                </w:p>
              </w:tc>
              <w:tc>
                <w:tcPr>
                  <w:tcW w:w="4290"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再生加工过程中产生废气、粉尘的加工车间应设置废气、粉尘收集处理设施，通过净化处理，达标后排放。</w:t>
                  </w:r>
                </w:p>
              </w:tc>
              <w:tc>
                <w:tcPr>
                  <w:tcW w:w="2955"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本项目生产过程产生的有机废气经1套旋流式喷淋塔+除湿干燥装置+UV光氧催化设备+活性炭吸附装置处理后经1根15m高排气筒高空排放；</w:t>
                  </w:r>
                  <w:r>
                    <w:rPr>
                      <w:rFonts w:hint="default" w:ascii="Times New Roman" w:hAnsi="Times New Roman" w:eastAsia="宋体" w:cs="Times New Roman"/>
                      <w:sz w:val="21"/>
                      <w:szCs w:val="21"/>
                      <w:lang w:val="en-US" w:eastAsia="zh-CN"/>
                    </w:rPr>
                    <w:t>废气</w:t>
                  </w:r>
                  <w:r>
                    <w:rPr>
                      <w:rFonts w:hint="default" w:ascii="Times New Roman" w:hAnsi="Times New Roman" w:eastAsia="宋体" w:cs="Times New Roman"/>
                      <w:sz w:val="21"/>
                      <w:szCs w:val="21"/>
                    </w:rPr>
                    <w:t>可实现达标排放。</w:t>
                  </w:r>
                </w:p>
              </w:tc>
              <w:tc>
                <w:tcPr>
                  <w:tcW w:w="884"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670" w:type="dxa"/>
                  <w:vMerge w:val="continue"/>
                  <w:vAlign w:val="center"/>
                </w:tcPr>
                <w:p>
                  <w:pPr>
                    <w:bidi w:val="0"/>
                    <w:spacing w:line="360" w:lineRule="auto"/>
                    <w:rPr>
                      <w:rFonts w:hint="default" w:ascii="Times New Roman" w:hAnsi="Times New Roman" w:eastAsia="宋体" w:cs="Times New Roman"/>
                      <w:sz w:val="21"/>
                      <w:szCs w:val="21"/>
                    </w:rPr>
                  </w:pPr>
                </w:p>
              </w:tc>
              <w:tc>
                <w:tcPr>
                  <w:tcW w:w="4290"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对于加工过程中噪音污染大的设备，必须采取降噪和隔音措施，企业噪声应达到《工业企业厂界环境噪声排放标准》。</w:t>
                  </w:r>
                </w:p>
              </w:tc>
              <w:tc>
                <w:tcPr>
                  <w:tcW w:w="2955"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合理布局，选用低噪声设备，对高噪设备采取基础减振、隔声、消声等降噪措施，四周厂界噪声可实现达标排放。 </w:t>
                  </w:r>
                </w:p>
              </w:tc>
              <w:tc>
                <w:tcPr>
                  <w:tcW w:w="884" w:type="dxa"/>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bl>
          <w:p>
            <w:pPr>
              <w:bidi w:val="0"/>
              <w:spacing w:line="360" w:lineRule="auto"/>
              <w:ind w:firstLine="500" w:firstLineChars="200"/>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10、</w:t>
            </w:r>
            <w:r>
              <w:rPr>
                <w:rFonts w:hint="default" w:ascii="Times New Roman" w:hAnsi="Times New Roman" w:eastAsia="宋体" w:cs="Times New Roman"/>
                <w:b/>
                <w:bCs/>
                <w:sz w:val="24"/>
                <w:szCs w:val="24"/>
              </w:rPr>
              <w:t>项目与《废塑料加工利用污染防治管理规定》（环境保护部、发展改革委、商务部公告2012年第55号）相符性</w:t>
            </w:r>
            <w:r>
              <w:rPr>
                <w:rFonts w:hint="default" w:ascii="Times New Roman" w:hAnsi="Times New Roman" w:eastAsia="宋体" w:cs="Times New Roman"/>
                <w:b/>
                <w:bCs/>
                <w:sz w:val="24"/>
                <w:szCs w:val="24"/>
                <w:lang w:val="en-US" w:eastAsia="zh-CN"/>
              </w:rPr>
              <w:t>分析</w:t>
            </w:r>
          </w:p>
          <w:p>
            <w:pPr>
              <w:bidi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表1-</w:t>
            </w:r>
            <w:r>
              <w:rPr>
                <w:rFonts w:hint="default" w:ascii="Times New Roman" w:hAnsi="Times New Roman" w:cs="Times New Roman"/>
                <w:b/>
                <w:bCs/>
                <w:sz w:val="24"/>
                <w:szCs w:val="24"/>
                <w:lang w:val="en-US" w:eastAsia="zh-CN"/>
              </w:rPr>
              <w:t>6</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项目与《废塑料加工利用污染防治管理规定》相符性分析</w:t>
            </w:r>
            <w:r>
              <w:rPr>
                <w:rFonts w:hint="default" w:ascii="Times New Roman" w:hAnsi="Times New Roman" w:cs="Times New Roman"/>
                <w:b/>
                <w:bCs/>
                <w:sz w:val="24"/>
                <w:szCs w:val="24"/>
                <w:lang w:val="en-US" w:eastAsia="zh-CN"/>
              </w:rPr>
              <w:t>一览</w:t>
            </w:r>
            <w:r>
              <w:rPr>
                <w:rFonts w:hint="default" w:ascii="Times New Roman" w:hAnsi="Times New Roman" w:cs="Times New Roman"/>
                <w:b/>
                <w:bCs/>
                <w:sz w:val="24"/>
                <w:szCs w:val="24"/>
              </w:rPr>
              <w:t>表</w:t>
            </w:r>
          </w:p>
          <w:tbl>
            <w:tblPr>
              <w:tblStyle w:val="11"/>
              <w:tblW w:w="87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1"/>
              <w:gridCol w:w="3524"/>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1"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管理规定内容</w:t>
                  </w:r>
                </w:p>
              </w:tc>
              <w:tc>
                <w:tcPr>
                  <w:tcW w:w="3524"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本</w:t>
                  </w:r>
                  <w:r>
                    <w:rPr>
                      <w:rFonts w:hint="default" w:ascii="Times New Roman" w:hAnsi="Times New Roman" w:eastAsia="宋体" w:cs="Times New Roman"/>
                      <w:sz w:val="21"/>
                      <w:szCs w:val="21"/>
                    </w:rPr>
                    <w:t>项目情况</w:t>
                  </w:r>
                </w:p>
              </w:tc>
              <w:tc>
                <w:tcPr>
                  <w:tcW w:w="847"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1"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废塑料加工利用必须符合国家相关产业政策规定及《废塑料回收与再生利用污染控制技术规范》，防止二次污染。</w:t>
                  </w:r>
                </w:p>
              </w:tc>
              <w:tc>
                <w:tcPr>
                  <w:tcW w:w="3524"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本项目建设符合国家相关产业政策规定及《废塑料污染控制技术规范》（HJ364-2022）</w:t>
                  </w:r>
                  <w:r>
                    <w:rPr>
                      <w:rFonts w:hint="default" w:ascii="Times New Roman" w:hAnsi="Times New Roman" w:eastAsia="宋体" w:cs="Times New Roman"/>
                      <w:sz w:val="21"/>
                      <w:szCs w:val="21"/>
                      <w:lang w:val="en-US" w:eastAsia="zh-CN"/>
                    </w:rPr>
                    <w:t>中相关要求</w:t>
                  </w:r>
                  <w:r>
                    <w:rPr>
                      <w:rFonts w:hint="default" w:ascii="Times New Roman" w:hAnsi="Times New Roman" w:eastAsia="宋体" w:cs="Times New Roman"/>
                      <w:sz w:val="21"/>
                      <w:szCs w:val="21"/>
                    </w:rPr>
                    <w:t>。</w:t>
                  </w:r>
                </w:p>
              </w:tc>
              <w:tc>
                <w:tcPr>
                  <w:tcW w:w="847"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1"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在居民区加工利用废塑料。禁止利用废塑料生产厚度小于0.025mm的超薄塑料购物袋和厚度小于0.015mm超薄塑料袋。禁止利用废塑料生产食品用塑料袋。禁止无危险废物经营许可证从事废塑料类危险废物的回收利用活动，包括被危险化学品、农药等污染的废弃塑料包装物，废弃的一次性医疗用塑料制品（如输液器、血袋）等。</w:t>
                  </w:r>
                </w:p>
              </w:tc>
              <w:tc>
                <w:tcPr>
                  <w:tcW w:w="3524"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w:t>
                  </w:r>
                  <w:r>
                    <w:rPr>
                      <w:rFonts w:hint="default" w:ascii="Times New Roman" w:hAnsi="Times New Roman" w:eastAsia="宋体" w:cs="Times New Roman"/>
                      <w:sz w:val="21"/>
                      <w:szCs w:val="21"/>
                      <w:lang w:val="en-US" w:eastAsia="zh-CN"/>
                    </w:rPr>
                    <w:t>最近敏感点为北侧</w:t>
                  </w:r>
                  <w:r>
                    <w:rPr>
                      <w:rFonts w:hint="eastAsia"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lang w:val="en-US" w:eastAsia="zh-CN"/>
                    </w:rPr>
                    <w:t>m的</w:t>
                  </w:r>
                  <w:r>
                    <w:rPr>
                      <w:rFonts w:hint="eastAsia" w:ascii="Times New Roman" w:hAnsi="Times New Roman" w:eastAsia="宋体" w:cs="Times New Roman"/>
                      <w:sz w:val="21"/>
                      <w:szCs w:val="21"/>
                      <w:lang w:val="en-US" w:eastAsia="zh-CN"/>
                    </w:rPr>
                    <w:t>后土屯村</w:t>
                  </w:r>
                  <w:r>
                    <w:rPr>
                      <w:rFonts w:hint="default" w:ascii="Times New Roman" w:hAnsi="Times New Roman" w:eastAsia="宋体" w:cs="Times New Roman"/>
                      <w:sz w:val="21"/>
                      <w:szCs w:val="21"/>
                      <w:lang w:val="en-US" w:eastAsia="zh-CN"/>
                    </w:rPr>
                    <w:t>，位于项目厂址的上风向</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经采取本环评提出的污染防治措施后，项目建设对</w:t>
                  </w:r>
                  <w:r>
                    <w:rPr>
                      <w:rFonts w:hint="eastAsia" w:ascii="Times New Roman" w:hAnsi="Times New Roman" w:eastAsia="宋体" w:cs="Times New Roman"/>
                      <w:sz w:val="21"/>
                      <w:szCs w:val="21"/>
                      <w:lang w:val="en-US" w:eastAsia="zh-CN"/>
                    </w:rPr>
                    <w:t>后土屯村</w:t>
                  </w:r>
                  <w:r>
                    <w:rPr>
                      <w:rFonts w:hint="default" w:ascii="Times New Roman" w:hAnsi="Times New Roman" w:eastAsia="宋体" w:cs="Times New Roman"/>
                      <w:sz w:val="21"/>
                      <w:szCs w:val="21"/>
                      <w:lang w:val="en-US" w:eastAsia="zh-CN"/>
                    </w:rPr>
                    <w:t>影响不大。</w:t>
                  </w:r>
                  <w:r>
                    <w:rPr>
                      <w:rFonts w:hint="default" w:ascii="Times New Roman" w:hAnsi="Times New Roman" w:eastAsia="宋体" w:cs="Times New Roman"/>
                      <w:sz w:val="21"/>
                      <w:szCs w:val="21"/>
                    </w:rPr>
                    <w:t>项目外购的干净废塑料碎片</w:t>
                  </w:r>
                  <w:r>
                    <w:rPr>
                      <w:rFonts w:hint="default" w:ascii="Times New Roman" w:hAnsi="Times New Roman" w:eastAsia="宋体" w:cs="Times New Roman"/>
                      <w:sz w:val="21"/>
                      <w:szCs w:val="21"/>
                      <w:lang w:val="en-US" w:eastAsia="zh-CN"/>
                    </w:rPr>
                    <w:t>用于</w:t>
                  </w:r>
                  <w:r>
                    <w:rPr>
                      <w:rFonts w:hint="default" w:ascii="Times New Roman" w:hAnsi="Times New Roman" w:eastAsia="宋体" w:cs="Times New Roman"/>
                      <w:sz w:val="21"/>
                      <w:szCs w:val="21"/>
                    </w:rPr>
                    <w:t>再生塑料颗粒</w:t>
                  </w:r>
                  <w:r>
                    <w:rPr>
                      <w:rFonts w:hint="default" w:ascii="Times New Roman" w:hAnsi="Times New Roman" w:eastAsia="宋体" w:cs="Times New Roman"/>
                      <w:sz w:val="21"/>
                      <w:szCs w:val="21"/>
                      <w:lang w:val="en-US" w:eastAsia="zh-CN"/>
                    </w:rPr>
                    <w:t>的生产，</w:t>
                  </w:r>
                  <w:r>
                    <w:rPr>
                      <w:rFonts w:hint="default" w:ascii="Times New Roman" w:hAnsi="Times New Roman" w:eastAsia="宋体" w:cs="Times New Roman"/>
                      <w:sz w:val="21"/>
                      <w:szCs w:val="21"/>
                    </w:rPr>
                    <w:t>不涉及</w:t>
                  </w:r>
                  <w:r>
                    <w:rPr>
                      <w:rFonts w:hint="default" w:ascii="Times New Roman" w:hAnsi="Times New Roman" w:eastAsia="宋体" w:cs="Times New Roman"/>
                      <w:sz w:val="21"/>
                      <w:szCs w:val="21"/>
                      <w:lang w:val="en-US" w:eastAsia="zh-CN"/>
                    </w:rPr>
                    <w:t>生产购物袋和食品塑料袋</w:t>
                  </w:r>
                  <w:r>
                    <w:rPr>
                      <w:rFonts w:hint="default" w:ascii="Times New Roman" w:hAnsi="Times New Roman" w:eastAsia="宋体" w:cs="Times New Roman"/>
                      <w:sz w:val="21"/>
                      <w:szCs w:val="21"/>
                    </w:rPr>
                    <w:t>；评价要求建设单位在项目运行过程中加强生产管理，严格控制原料来源，不</w:t>
                  </w:r>
                  <w:r>
                    <w:rPr>
                      <w:rFonts w:hint="eastAsia" w:ascii="Times New Roman" w:hAnsi="Times New Roman" w:eastAsia="宋体" w:cs="Times New Roman"/>
                      <w:sz w:val="21"/>
                      <w:szCs w:val="21"/>
                      <w:lang w:eastAsia="zh-CN"/>
                    </w:rPr>
                    <w:t>外购</w:t>
                  </w:r>
                  <w:r>
                    <w:rPr>
                      <w:rFonts w:hint="default" w:ascii="Times New Roman" w:hAnsi="Times New Roman" w:eastAsia="宋体" w:cs="Times New Roman"/>
                      <w:sz w:val="21"/>
                      <w:szCs w:val="21"/>
                    </w:rPr>
                    <w:t>被危险化学品、农药等污染的</w:t>
                  </w:r>
                  <w:r>
                    <w:rPr>
                      <w:rFonts w:hint="eastAsia" w:ascii="Times New Roman" w:hAnsi="Times New Roman" w:eastAsia="宋体" w:cs="Times New Roman"/>
                      <w:sz w:val="21"/>
                      <w:szCs w:val="21"/>
                      <w:lang w:eastAsia="zh-CN"/>
                    </w:rPr>
                    <w:t>原料</w:t>
                  </w:r>
                  <w:r>
                    <w:rPr>
                      <w:rFonts w:hint="default" w:ascii="Times New Roman" w:hAnsi="Times New Roman" w:eastAsia="宋体" w:cs="Times New Roman"/>
                      <w:sz w:val="21"/>
                      <w:szCs w:val="21"/>
                    </w:rPr>
                    <w:t>，废弃的一次性医疗用塑料制品（如输液器、血袋）</w:t>
                  </w:r>
                  <w:r>
                    <w:rPr>
                      <w:rFonts w:hint="eastAsia" w:ascii="Times New Roman" w:hAnsi="Times New Roman" w:eastAsia="宋体" w:cs="Times New Roman"/>
                      <w:sz w:val="21"/>
                      <w:szCs w:val="21"/>
                      <w:lang w:eastAsia="zh-CN"/>
                    </w:rPr>
                    <w:t>原料</w:t>
                  </w:r>
                  <w:r>
                    <w:rPr>
                      <w:rFonts w:hint="default" w:ascii="Times New Roman" w:hAnsi="Times New Roman" w:eastAsia="宋体" w:cs="Times New Roman"/>
                      <w:sz w:val="21"/>
                      <w:szCs w:val="21"/>
                    </w:rPr>
                    <w:t xml:space="preserve">等。 </w:t>
                  </w:r>
                </w:p>
              </w:tc>
              <w:tc>
                <w:tcPr>
                  <w:tcW w:w="847"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1"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无符合环保要求污水治理设施的，禁止从事废编织袋造粒、缸脚料淘洗、废塑料退镀（涂）、盐卤分拣等加工活动。</w:t>
                  </w:r>
                </w:p>
              </w:tc>
              <w:tc>
                <w:tcPr>
                  <w:tcW w:w="3524"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本项目配套建设</w:t>
                  </w:r>
                  <w:r>
                    <w:rPr>
                      <w:rFonts w:hint="default" w:ascii="Times New Roman" w:hAnsi="Times New Roman" w:eastAsia="宋体" w:cs="Times New Roman"/>
                      <w:sz w:val="21"/>
                      <w:szCs w:val="21"/>
                      <w:lang w:val="en-US" w:eastAsia="zh-CN"/>
                    </w:rPr>
                    <w:t>有</w:t>
                  </w:r>
                  <w:r>
                    <w:rPr>
                      <w:rFonts w:hint="eastAsia" w:ascii="Times New Roman" w:hAnsi="Times New Roman" w:eastAsia="宋体" w:cs="Times New Roman"/>
                      <w:sz w:val="21"/>
                      <w:szCs w:val="21"/>
                      <w:lang w:eastAsia="zh-CN"/>
                    </w:rPr>
                    <w:t>冷却水池</w:t>
                  </w:r>
                  <w:r>
                    <w:rPr>
                      <w:rFonts w:hint="eastAsia" w:ascii="Times New Roman" w:hAnsi="Times New Roman" w:cs="Times New Roman"/>
                      <w:sz w:val="21"/>
                      <w:szCs w:val="21"/>
                      <w:lang w:eastAsia="zh-CN"/>
                    </w:rPr>
                    <w:t>和冷却塔循环水池</w:t>
                  </w:r>
                  <w:r>
                    <w:rPr>
                      <w:rFonts w:hint="default" w:ascii="Times New Roman" w:hAnsi="Times New Roman" w:eastAsia="宋体" w:cs="Times New Roman"/>
                      <w:sz w:val="21"/>
                      <w:szCs w:val="21"/>
                    </w:rPr>
                    <w:t>，规范从事加工活动。</w:t>
                  </w:r>
                </w:p>
              </w:tc>
              <w:tc>
                <w:tcPr>
                  <w:tcW w:w="847"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1"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废塑料加工利用单位应当以环境无害化方式处理废塑料加工利用过程产生的残余垃圾、滤网；禁止交不符合环保要求的单位或个人处置。禁止露天焚烧废塑料及加工利用过程产生的残余垃圾、滤网。</w:t>
                  </w:r>
                </w:p>
              </w:tc>
              <w:tc>
                <w:tcPr>
                  <w:tcW w:w="3524"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本项目生产固废按照相关要求分类处置，</w:t>
                  </w:r>
                  <w:r>
                    <w:rPr>
                      <w:rFonts w:hint="default" w:ascii="Times New Roman" w:hAnsi="Times New Roman" w:eastAsia="宋体" w:cs="Times New Roman"/>
                      <w:sz w:val="21"/>
                      <w:szCs w:val="21"/>
                      <w:lang w:val="en-US" w:eastAsia="zh-CN"/>
                    </w:rPr>
                    <w:t>其中</w:t>
                  </w:r>
                  <w:r>
                    <w:rPr>
                      <w:rFonts w:hint="default" w:ascii="Times New Roman" w:hAnsi="Times New Roman" w:eastAsia="宋体" w:cs="Times New Roman"/>
                      <w:sz w:val="21"/>
                      <w:szCs w:val="21"/>
                    </w:rPr>
                    <w:t>一般固废交环卫部门清运或</w:t>
                  </w:r>
                  <w:r>
                    <w:rPr>
                      <w:rFonts w:hint="default" w:ascii="Times New Roman" w:hAnsi="Times New Roman" w:eastAsia="宋体" w:cs="Times New Roman"/>
                      <w:sz w:val="21"/>
                      <w:szCs w:val="21"/>
                      <w:lang w:val="en-US" w:eastAsia="zh-CN"/>
                    </w:rPr>
                    <w:t>回用</w:t>
                  </w:r>
                  <w:r>
                    <w:rPr>
                      <w:rFonts w:hint="default" w:ascii="Times New Roman" w:hAnsi="Times New Roman" w:eastAsia="宋体" w:cs="Times New Roman"/>
                      <w:sz w:val="21"/>
                      <w:szCs w:val="21"/>
                    </w:rPr>
                    <w:t>；危险固废委托有相应危险废物处理资质的单位妥善处置</w:t>
                  </w:r>
                  <w:r>
                    <w:rPr>
                      <w:rFonts w:hint="eastAsia" w:ascii="Times New Roman" w:hAnsi="Times New Roman" w:cs="Times New Roman"/>
                      <w:sz w:val="21"/>
                      <w:szCs w:val="21"/>
                      <w:lang w:eastAsia="zh-CN"/>
                    </w:rPr>
                    <w:t>，废滤网（含滤渣）收集后由厂家回收</w:t>
                  </w:r>
                  <w:r>
                    <w:rPr>
                      <w:rFonts w:hint="default" w:ascii="Times New Roman" w:hAnsi="Times New Roman" w:eastAsia="宋体" w:cs="Times New Roman"/>
                      <w:sz w:val="21"/>
                      <w:szCs w:val="21"/>
                    </w:rPr>
                    <w:t>。</w:t>
                  </w:r>
                </w:p>
              </w:tc>
              <w:tc>
                <w:tcPr>
                  <w:tcW w:w="847"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51"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进口废塑料加工利用企业应当符合《固体废物进口管理办法》以及环境保护部关于进口可用作原料的固体废物和废塑料环境保护管理相关规定。</w:t>
                  </w:r>
                </w:p>
              </w:tc>
              <w:tc>
                <w:tcPr>
                  <w:tcW w:w="3524"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本项目原料不涉及进口</w:t>
                  </w:r>
                  <w:r>
                    <w:rPr>
                      <w:rFonts w:hint="default" w:ascii="Times New Roman" w:hAnsi="Times New Roman" w:eastAsia="宋体" w:cs="Times New Roman"/>
                      <w:sz w:val="21"/>
                      <w:szCs w:val="21"/>
                      <w:lang w:val="en-US" w:eastAsia="zh-CN"/>
                    </w:rPr>
                    <w:t>废</w:t>
                  </w:r>
                  <w:r>
                    <w:rPr>
                      <w:rFonts w:hint="default" w:ascii="Times New Roman" w:hAnsi="Times New Roman" w:eastAsia="宋体" w:cs="Times New Roman"/>
                      <w:sz w:val="21"/>
                      <w:szCs w:val="21"/>
                    </w:rPr>
                    <w:t>塑料。</w:t>
                  </w:r>
                </w:p>
              </w:tc>
              <w:tc>
                <w:tcPr>
                  <w:tcW w:w="847"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 w:hRule="atLeast"/>
                <w:jc w:val="center"/>
              </w:trPr>
              <w:tc>
                <w:tcPr>
                  <w:tcW w:w="4351"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进口废塑料加工利用企业发现属于国家禁止进口类或者不符合环境保护控制标准的进口废塑料，应当立即向口岸海关、检验检疫部门和所在地环保部门报告并配合做好相关处理工作。</w:t>
                  </w:r>
                </w:p>
              </w:tc>
              <w:tc>
                <w:tcPr>
                  <w:tcW w:w="3524"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本项目原料不涉及进口</w:t>
                  </w:r>
                  <w:r>
                    <w:rPr>
                      <w:rFonts w:hint="default" w:ascii="Times New Roman" w:hAnsi="Times New Roman" w:eastAsia="宋体" w:cs="Times New Roman"/>
                      <w:sz w:val="21"/>
                      <w:szCs w:val="21"/>
                      <w:lang w:val="en-US" w:eastAsia="zh-CN"/>
                    </w:rPr>
                    <w:t>废</w:t>
                  </w:r>
                  <w:r>
                    <w:rPr>
                      <w:rFonts w:hint="default" w:ascii="Times New Roman" w:hAnsi="Times New Roman" w:eastAsia="宋体" w:cs="Times New Roman"/>
                      <w:sz w:val="21"/>
                      <w:szCs w:val="21"/>
                    </w:rPr>
                    <w:t>塑料。</w:t>
                  </w:r>
                </w:p>
              </w:tc>
              <w:tc>
                <w:tcPr>
                  <w:tcW w:w="847" w:type="dxa"/>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bl>
          <w:p>
            <w:pPr>
              <w:bidi w:val="0"/>
              <w:spacing w:line="360" w:lineRule="auto"/>
              <w:ind w:firstLine="500"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11、</w:t>
            </w:r>
            <w:r>
              <w:rPr>
                <w:rFonts w:hint="default" w:ascii="Times New Roman" w:hAnsi="Times New Roman" w:eastAsia="宋体" w:cs="Times New Roman"/>
                <w:b/>
                <w:bCs/>
                <w:sz w:val="24"/>
                <w:szCs w:val="24"/>
              </w:rPr>
              <w:t>项目与《废塑料再生利用技术规范》（GB/T37821-2019）相符性</w:t>
            </w:r>
            <w:r>
              <w:rPr>
                <w:rFonts w:hint="default" w:ascii="Times New Roman" w:hAnsi="Times New Roman" w:eastAsia="宋体" w:cs="Times New Roman"/>
                <w:b/>
                <w:bCs/>
                <w:sz w:val="24"/>
                <w:szCs w:val="24"/>
                <w:lang w:val="en-US" w:eastAsia="zh-CN"/>
              </w:rPr>
              <w:t>分析</w:t>
            </w:r>
          </w:p>
          <w:p>
            <w:pPr>
              <w:bidi w:val="0"/>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表1-</w:t>
            </w:r>
            <w:r>
              <w:rPr>
                <w:rFonts w:hint="default" w:ascii="Times New Roman" w:hAnsi="Times New Roman" w:eastAsia="宋体" w:cs="Times New Roman"/>
                <w:b/>
                <w:bCs/>
                <w:sz w:val="24"/>
                <w:szCs w:val="24"/>
                <w:lang w:val="en-US" w:eastAsia="zh-CN"/>
              </w:rPr>
              <w:t xml:space="preserve">7   </w:t>
            </w:r>
            <w:r>
              <w:rPr>
                <w:rFonts w:hint="default" w:ascii="Times New Roman" w:hAnsi="Times New Roman" w:eastAsia="宋体" w:cs="Times New Roman"/>
                <w:b/>
                <w:bCs/>
                <w:sz w:val="24"/>
                <w:szCs w:val="24"/>
              </w:rPr>
              <w:t>项目与《废塑料再生利用技术规范》相符性分析</w:t>
            </w:r>
            <w:r>
              <w:rPr>
                <w:rFonts w:hint="default" w:ascii="Times New Roman" w:hAnsi="Times New Roman" w:eastAsia="宋体" w:cs="Times New Roman"/>
                <w:b/>
                <w:bCs/>
                <w:sz w:val="24"/>
                <w:szCs w:val="24"/>
                <w:lang w:val="en-US" w:eastAsia="zh-CN"/>
              </w:rPr>
              <w:t>一览</w:t>
            </w:r>
            <w:r>
              <w:rPr>
                <w:rFonts w:hint="default" w:ascii="Times New Roman" w:hAnsi="Times New Roman" w:eastAsia="宋体" w:cs="Times New Roman"/>
                <w:b/>
                <w:bCs/>
                <w:sz w:val="24"/>
                <w:szCs w:val="24"/>
              </w:rPr>
              <w:t>表</w:t>
            </w:r>
          </w:p>
          <w:tbl>
            <w:tblPr>
              <w:tblStyle w:val="11"/>
              <w:tblW w:w="8792" w:type="dxa"/>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720"/>
              <w:gridCol w:w="3405"/>
              <w:gridCol w:w="85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trPr>
              <w:tc>
                <w:tcPr>
                  <w:tcW w:w="817" w:type="dxa"/>
                  <w:shd w:val="clear" w:color="auto" w:fill="auto"/>
                  <w:vAlign w:val="center"/>
                </w:tcPr>
                <w:p>
                  <w:pPr>
                    <w:bidi w:val="0"/>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类别</w:t>
                  </w:r>
                </w:p>
              </w:tc>
              <w:tc>
                <w:tcPr>
                  <w:tcW w:w="3720" w:type="dxa"/>
                  <w:shd w:val="clear" w:color="auto" w:fill="auto"/>
                  <w:vAlign w:val="center"/>
                </w:tcPr>
                <w:p>
                  <w:pPr>
                    <w:bidi w:val="0"/>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技术规范内容</w:t>
                  </w:r>
                </w:p>
              </w:tc>
              <w:tc>
                <w:tcPr>
                  <w:tcW w:w="3405" w:type="dxa"/>
                  <w:shd w:val="clear" w:color="auto" w:fill="auto"/>
                  <w:vAlign w:val="center"/>
                </w:tcPr>
                <w:p>
                  <w:pPr>
                    <w:bidi w:val="0"/>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本项目情况</w:t>
                  </w:r>
                </w:p>
              </w:tc>
              <w:tc>
                <w:tcPr>
                  <w:tcW w:w="850" w:type="dxa"/>
                  <w:shd w:val="clear" w:color="auto" w:fill="auto"/>
                  <w:vAlign w:val="center"/>
                </w:tcPr>
                <w:p>
                  <w:pPr>
                    <w:bidi w:val="0"/>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相符性</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c>
                <w:tcPr>
                  <w:tcW w:w="817" w:type="dxa"/>
                  <w:shd w:val="clear" w:color="auto" w:fill="auto"/>
                  <w:vAlign w:val="center"/>
                </w:tcPr>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9.造粒和改性要求</w:t>
                  </w:r>
                </w:p>
              </w:tc>
              <w:tc>
                <w:tcPr>
                  <w:tcW w:w="3720" w:type="dxa"/>
                  <w:shd w:val="clear" w:color="auto" w:fill="auto"/>
                  <w:vAlign w:val="center"/>
                </w:tcPr>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9.1应采用节能熔融造粒技术。</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9.2造粒废气应集中收集处理，推荐使用真空全密闭废气收集体系收集废气。</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9.3推荐使用无丝网过滤器造粒机，减少废滤网产生。废弃滤网、熔融残渣应收集处理。</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9.4再生PVC塑料企业宜使用钙/锌复合稳定剂等环保型助剂，减少铅盐稳定剂使用最。</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9.5应选用低毒、无害的改性剂、增塑剂、相容剂等助剂进行改性，不得使用国家禁止的改性剂。</w:t>
                  </w:r>
                </w:p>
              </w:tc>
              <w:tc>
                <w:tcPr>
                  <w:tcW w:w="3405" w:type="dxa"/>
                  <w:shd w:val="clear" w:color="auto" w:fill="auto"/>
                  <w:vAlign w:val="center"/>
                </w:tcPr>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9.1本项目采用节能熔融造粒技术。</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9.2本项目造粒过程产生的废气集中引至1套旋流式喷淋塔+除湿干燥装置+UV光氧催化设备+活性炭吸附装置处理后经1根15m高排气筒排放，废气可实现达标排放。</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w:t>
                  </w:r>
                  <w:r>
                    <w:rPr>
                      <w:rFonts w:hint="eastAsia" w:ascii="Times New Roman" w:hAnsi="Times New Roman" w:cs="Times New Roman"/>
                      <w:sz w:val="21"/>
                      <w:szCs w:val="21"/>
                      <w:lang w:eastAsia="zh-CN"/>
                    </w:rPr>
                    <w:t>本项目</w:t>
                  </w:r>
                  <w:r>
                    <w:rPr>
                      <w:rFonts w:hint="default" w:ascii="Times New Roman" w:hAnsi="Times New Roman" w:eastAsia="宋体" w:cs="Times New Roman"/>
                      <w:sz w:val="21"/>
                      <w:szCs w:val="21"/>
                    </w:rPr>
                    <w:t>废滤网（含滤渣）收集后由厂家回收。</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9.4本项目废塑料再生过程不使用稳定剂。</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9.5本项目废塑料属于物理再生加工工艺，不涉及改性及添加改性剂。</w:t>
                  </w:r>
                </w:p>
              </w:tc>
              <w:tc>
                <w:tcPr>
                  <w:tcW w:w="850"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c>
                <w:tcPr>
                  <w:tcW w:w="817" w:type="dxa"/>
                  <w:shd w:val="clear" w:color="auto" w:fill="auto"/>
                  <w:vAlign w:val="center"/>
                </w:tcPr>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10.资源综合利用及能耗</w:t>
                  </w:r>
                </w:p>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3720" w:type="dxa"/>
                  <w:shd w:val="clear" w:color="auto" w:fill="auto"/>
                  <w:vAlign w:val="center"/>
                </w:tcPr>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10.1塑料再生加工相关生产环节，每吨废塑料的综合电耗应低于500kW·h。</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10.2废PET再生瓶片类企业及其他废塑料破碎、清洗、分选的企业，每吨废塑料综合新鲜水消耗量低于1.5t。塑料再生造粒企业，每吨废塑料综合新鲜水消耗低于0.2 t。</w:t>
                  </w:r>
                </w:p>
              </w:tc>
              <w:tc>
                <w:tcPr>
                  <w:tcW w:w="3405" w:type="dxa"/>
                  <w:shd w:val="clear" w:color="auto" w:fill="auto"/>
                  <w:vAlign w:val="center"/>
                </w:tcPr>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本项目塑料再生加工相关生产环节，</w:t>
                  </w:r>
                  <w:r>
                    <w:rPr>
                      <w:rFonts w:hint="default" w:ascii="Times New Roman" w:hAnsi="Times New Roman" w:eastAsia="宋体" w:cs="Times New Roman"/>
                      <w:color w:val="auto"/>
                      <w:sz w:val="21"/>
                      <w:szCs w:val="21"/>
                    </w:rPr>
                    <w:t>综合电耗约为</w:t>
                  </w:r>
                  <w:r>
                    <w:rPr>
                      <w:rFonts w:hint="eastAsia" w:ascii="Times New Roman" w:hAnsi="Times New Roman" w:cs="Times New Roman"/>
                      <w:color w:val="auto"/>
                      <w:sz w:val="21"/>
                      <w:szCs w:val="21"/>
                      <w:lang w:val="en-US" w:eastAsia="zh-CN"/>
                    </w:rPr>
                    <w:t>40</w:t>
                  </w:r>
                  <w:r>
                    <w:rPr>
                      <w:rFonts w:hint="default" w:ascii="Times New Roman" w:hAnsi="Times New Roman" w:eastAsia="宋体" w:cs="Times New Roman"/>
                      <w:color w:val="auto"/>
                      <w:sz w:val="21"/>
                      <w:szCs w:val="21"/>
                    </w:rPr>
                    <w:t>kW·h/t废塑料，生产过程综合新水消耗为</w:t>
                  </w:r>
                  <w:r>
                    <w:rPr>
                      <w:rFonts w:hint="eastAsia" w:ascii="Times New Roman" w:hAnsi="Times New Roman" w:cs="Times New Roman"/>
                      <w:color w:val="auto"/>
                      <w:sz w:val="21"/>
                      <w:szCs w:val="21"/>
                      <w:lang w:val="en-US" w:eastAsia="zh-CN"/>
                    </w:rPr>
                    <w:t>0.11</w:t>
                  </w:r>
                  <w:r>
                    <w:rPr>
                      <w:rFonts w:hint="default" w:ascii="Times New Roman" w:hAnsi="Times New Roman" w:eastAsia="宋体" w:cs="Times New Roman"/>
                      <w:color w:val="auto"/>
                      <w:sz w:val="21"/>
                      <w:szCs w:val="21"/>
                    </w:rPr>
                    <w:t>t/t废塑料</w:t>
                  </w:r>
                  <w:r>
                    <w:rPr>
                      <w:rFonts w:hint="default" w:ascii="Times New Roman" w:hAnsi="Times New Roman" w:eastAsia="宋体" w:cs="Times New Roman"/>
                      <w:sz w:val="21"/>
                      <w:szCs w:val="21"/>
                    </w:rPr>
                    <w:t>，满足塑料再生造粒类企业综合电耗和水耗均满足规范要求。</w:t>
                  </w:r>
                </w:p>
              </w:tc>
              <w:tc>
                <w:tcPr>
                  <w:tcW w:w="850"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c>
                <w:tcPr>
                  <w:tcW w:w="817" w:type="dxa"/>
                  <w:shd w:val="clear" w:color="auto" w:fill="auto"/>
                  <w:vAlign w:val="center"/>
                </w:tcPr>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11.环境保护要求</w:t>
                  </w:r>
                </w:p>
              </w:tc>
              <w:tc>
                <w:tcPr>
                  <w:tcW w:w="3720" w:type="dxa"/>
                  <w:shd w:val="clear" w:color="auto" w:fill="auto"/>
                  <w:vAlign w:val="center"/>
                </w:tcPr>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11.1废塑料再生利用企业应执行GB31572、GB8978、GB/T31962、GB16297和GB14554。有相关地方标准的执行地方标准。</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11.2收集到的清洗废水、分选废水、冷却水等，应根据废水污染物的情况选择分别处理或集中处理。废水处理应采用物化、生化组合处理工艺、膜处理等技术，减少药剂的使用和污泥的产生。</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11.3再生利用过程中收集的废气应根据废气的性质，采用催化氧化、低温等离子、喷淋等处理技术。如再生利用过程的废气中含氯化氢等酸性气体，应增加喷淋处理设施，喷淋处理产生的污水按11.2执行。</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11.4再生利用过程中产生的固体废物，属于一般工业固体废物的应执行GB18599；属于危险废物的交由有相关危险废物处理资质单位处理。</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11.5废水处理过程产生的污泥，企业可自行处理，或交由污泥处理企业处理，不得随意丢弃。</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11.6不得在缺乏必要的环保设施条件下焚烧废弃滤网、熔融渣。</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11.7再生利用过程应进行减噪处理，执行GB12348。</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11.8应建立完善的污染防治制度，定期维护环境保护设施，建立完整的废水处理、废气治理、固体废物处理处置等环境保护相关记录。</w:t>
                  </w:r>
                </w:p>
              </w:tc>
              <w:tc>
                <w:tcPr>
                  <w:tcW w:w="3405" w:type="dxa"/>
                  <w:shd w:val="clear" w:color="auto" w:fill="auto"/>
                  <w:vAlign w:val="center"/>
                </w:tcPr>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11.1本项目废塑料再生利用企业满足有关标准要求。</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11.2本项目</w:t>
                  </w:r>
                  <w:r>
                    <w:rPr>
                      <w:rFonts w:hint="eastAsia" w:ascii="Times New Roman" w:hAnsi="Times New Roman" w:eastAsia="宋体" w:cs="Times New Roman"/>
                      <w:sz w:val="21"/>
                      <w:szCs w:val="21"/>
                      <w:lang w:eastAsia="zh-CN"/>
                    </w:rPr>
                    <w:t>生产废水为冷却水</w:t>
                  </w:r>
                  <w:r>
                    <w:rPr>
                      <w:rFonts w:hint="eastAsia" w:ascii="Times New Roman" w:hAnsi="Times New Roman" w:cs="Times New Roman"/>
                      <w:sz w:val="21"/>
                      <w:szCs w:val="21"/>
                      <w:lang w:eastAsia="zh-CN"/>
                    </w:rPr>
                    <w:t>和喷淋塔废水</w:t>
                  </w:r>
                  <w:r>
                    <w:rPr>
                      <w:rFonts w:hint="eastAsia" w:ascii="Times New Roman" w:hAnsi="Times New Roman" w:eastAsia="宋体" w:cs="Times New Roman"/>
                      <w:sz w:val="21"/>
                      <w:szCs w:val="21"/>
                      <w:lang w:eastAsia="zh-CN"/>
                    </w:rPr>
                    <w:t>，循环使用，不外排</w:t>
                  </w:r>
                  <w:r>
                    <w:rPr>
                      <w:rFonts w:hint="default" w:ascii="Times New Roman" w:hAnsi="Times New Roman" w:eastAsia="宋体" w:cs="Times New Roman"/>
                      <w:sz w:val="21"/>
                      <w:szCs w:val="21"/>
                    </w:rPr>
                    <w:t>。</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11.3本项目再生利用过程收集的废气采用旋流式喷淋塔+除湿干燥装置+UV光氧催化设备+活性炭吸附装置处理，处理工艺满足废气达标排放要求。</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11.4本项目再生利用过程产生</w:t>
                  </w:r>
                  <w:r>
                    <w:rPr>
                      <w:rFonts w:hint="default" w:ascii="Times New Roman" w:hAnsi="Times New Roman" w:eastAsia="宋体" w:cs="Times New Roman"/>
                      <w:sz w:val="21"/>
                      <w:szCs w:val="21"/>
                      <w:lang w:val="en-US" w:eastAsia="zh-CN"/>
                    </w:rPr>
                    <w:t>的</w:t>
                  </w:r>
                  <w:r>
                    <w:rPr>
                      <w:rFonts w:hint="default" w:ascii="Times New Roman" w:hAnsi="Times New Roman" w:eastAsia="宋体" w:cs="Times New Roman"/>
                      <w:sz w:val="21"/>
                      <w:szCs w:val="21"/>
                    </w:rPr>
                    <w:t>一般工业固废</w:t>
                  </w:r>
                  <w:r>
                    <w:rPr>
                      <w:rFonts w:hint="default" w:ascii="Times New Roman" w:hAnsi="Times New Roman" w:eastAsia="宋体" w:cs="Times New Roman"/>
                      <w:sz w:val="21"/>
                      <w:szCs w:val="21"/>
                      <w:lang w:val="en-US" w:eastAsia="zh-CN"/>
                    </w:rPr>
                    <w:t>收集和处置措施可以</w:t>
                  </w:r>
                  <w:r>
                    <w:rPr>
                      <w:rFonts w:hint="default" w:ascii="Times New Roman" w:hAnsi="Times New Roman" w:eastAsia="宋体" w:cs="Times New Roman"/>
                      <w:sz w:val="21"/>
                      <w:szCs w:val="21"/>
                    </w:rPr>
                    <w:t>满足GB18599要求；产生的危险废物分类收集于危废间，定期交由有危废处理资质的单位处置。</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11.5</w:t>
                  </w:r>
                  <w:r>
                    <w:rPr>
                      <w:rFonts w:hint="eastAsia" w:ascii="Times New Roman" w:hAnsi="Times New Roman" w:eastAsia="宋体" w:cs="Times New Roman"/>
                      <w:sz w:val="21"/>
                      <w:szCs w:val="21"/>
                      <w:lang w:eastAsia="zh-CN"/>
                    </w:rPr>
                    <w:t>废水主要为冷却水</w:t>
                  </w:r>
                  <w:r>
                    <w:rPr>
                      <w:rFonts w:hint="eastAsia" w:ascii="Times New Roman" w:hAnsi="Times New Roman" w:cs="Times New Roman"/>
                      <w:sz w:val="21"/>
                      <w:szCs w:val="21"/>
                      <w:lang w:eastAsia="zh-CN"/>
                    </w:rPr>
                    <w:t>和喷淋塔废水</w:t>
                  </w:r>
                  <w:r>
                    <w:rPr>
                      <w:rFonts w:hint="eastAsia" w:ascii="Times New Roman" w:hAnsi="Times New Roman" w:eastAsia="宋体" w:cs="Times New Roman"/>
                      <w:sz w:val="21"/>
                      <w:szCs w:val="21"/>
                      <w:lang w:eastAsia="zh-CN"/>
                    </w:rPr>
                    <w:t>，不产生污泥</w:t>
                  </w:r>
                  <w:r>
                    <w:rPr>
                      <w:rFonts w:hint="default" w:ascii="Times New Roman" w:hAnsi="Times New Roman" w:eastAsia="宋体" w:cs="Times New Roman"/>
                      <w:sz w:val="21"/>
                      <w:szCs w:val="21"/>
                    </w:rPr>
                    <w:t>。</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11.6本项目废滤网（含滤渣）收集后由厂家回收。</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11.7项目生产过程高噪设备采取基础减振、厂房隔声等降噪措施；</w:t>
                  </w:r>
                </w:p>
                <w:p>
                  <w:pPr>
                    <w:bidi w:val="0"/>
                    <w:spacing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11.8评价要求企业建立完善的污染防治制度，定期维护环境保护设施，建立完整的废水处理、废气治理、固体废物处理处置等环境保护相关记录。</w:t>
                  </w:r>
                </w:p>
              </w:tc>
              <w:tc>
                <w:tcPr>
                  <w:tcW w:w="850"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bl>
          <w:p>
            <w:pPr>
              <w:bidi w:val="0"/>
              <w:spacing w:line="360" w:lineRule="auto"/>
              <w:ind w:firstLine="500"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12、</w:t>
            </w:r>
            <w:r>
              <w:rPr>
                <w:rFonts w:hint="default" w:ascii="Times New Roman" w:hAnsi="Times New Roman" w:eastAsia="宋体" w:cs="Times New Roman"/>
                <w:b/>
                <w:bCs/>
                <w:sz w:val="24"/>
                <w:szCs w:val="24"/>
              </w:rPr>
              <w:t>项目与《废塑料污染控制技术规范》（HJ364-2022）相符性</w:t>
            </w:r>
            <w:r>
              <w:rPr>
                <w:rFonts w:hint="default" w:ascii="Times New Roman" w:hAnsi="Times New Roman" w:eastAsia="宋体" w:cs="Times New Roman"/>
                <w:b/>
                <w:bCs/>
                <w:sz w:val="24"/>
                <w:szCs w:val="24"/>
                <w:lang w:val="en-US" w:eastAsia="zh-CN"/>
              </w:rPr>
              <w:t>分析</w:t>
            </w:r>
          </w:p>
          <w:p>
            <w:pPr>
              <w:bidi w:val="0"/>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表1-</w:t>
            </w:r>
            <w:r>
              <w:rPr>
                <w:rFonts w:hint="default" w:ascii="Times New Roman" w:hAnsi="Times New Roman" w:eastAsia="宋体" w:cs="Times New Roman"/>
                <w:b/>
                <w:bCs/>
                <w:sz w:val="24"/>
                <w:szCs w:val="24"/>
                <w:lang w:val="en-US" w:eastAsia="zh-CN"/>
              </w:rPr>
              <w:t xml:space="preserve">8 </w:t>
            </w:r>
            <w:r>
              <w:rPr>
                <w:rFonts w:hint="default" w:ascii="Times New Roman" w:hAnsi="Times New Roman" w:eastAsia="宋体" w:cs="Times New Roman"/>
                <w:b/>
                <w:bCs/>
                <w:sz w:val="24"/>
                <w:szCs w:val="24"/>
              </w:rPr>
              <w:t>项目与《废塑料污染控制技术规范》（HJ364-2022）相符性分析表</w:t>
            </w:r>
          </w:p>
          <w:tbl>
            <w:tblPr>
              <w:tblStyle w:val="11"/>
              <w:tblW w:w="8778" w:type="dxa"/>
              <w:jc w:val="center"/>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05"/>
              <w:gridCol w:w="4140"/>
              <w:gridCol w:w="3062"/>
              <w:gridCol w:w="87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705"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类别</w:t>
                  </w:r>
                </w:p>
              </w:tc>
              <w:tc>
                <w:tcPr>
                  <w:tcW w:w="4140"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技术规范内容</w:t>
                  </w:r>
                </w:p>
              </w:tc>
              <w:tc>
                <w:tcPr>
                  <w:tcW w:w="3062"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本项目情况</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相符性</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restart"/>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总体要求</w:t>
                  </w: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涉及废塑料的产生、收集、运输、贮存、利用、处置的单位和其他生产经营者，应根据产生的污染物采取防扬散、防流失、防渗漏或者其他防止污染环境的措施，并执行国家和地方相关排放标准。</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本项目外购干净</w:t>
                  </w:r>
                  <w:r>
                    <w:rPr>
                      <w:rFonts w:hint="eastAsia" w:ascii="Times New Roman" w:hAnsi="Times New Roman" w:eastAsia="宋体" w:cs="Times New Roman"/>
                      <w:sz w:val="21"/>
                      <w:szCs w:val="21"/>
                      <w:lang w:eastAsia="zh-CN"/>
                    </w:rPr>
                    <w:t>袋装</w:t>
                  </w:r>
                  <w:r>
                    <w:rPr>
                      <w:rFonts w:hint="default" w:ascii="Times New Roman" w:hAnsi="Times New Roman" w:eastAsia="宋体" w:cs="Times New Roman"/>
                      <w:sz w:val="21"/>
                      <w:szCs w:val="21"/>
                    </w:rPr>
                    <w:t>废塑料碎片</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废塑料在收集、运输、贮存过程均采取了防扬散、防流失、防渗漏，同时项目采取的污染防治措施可满足国家和地方相关排放标准。</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废塑料的产生、收集、贮存、预处理和再生利用企业内应单独划分贮存场地，不同种类的废塑料宜分开贮存，贮存场地应具有防雨、防扬散、防渗漏等措施，并按GB15562.2的要求设置标识。</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本项目外购干净</w:t>
                  </w:r>
                  <w:r>
                    <w:rPr>
                      <w:rFonts w:hint="eastAsia" w:ascii="Times New Roman" w:hAnsi="Times New Roman" w:eastAsia="宋体" w:cs="Times New Roman"/>
                      <w:sz w:val="21"/>
                      <w:szCs w:val="21"/>
                      <w:lang w:eastAsia="zh-CN"/>
                    </w:rPr>
                    <w:t>袋装</w:t>
                  </w:r>
                  <w:r>
                    <w:rPr>
                      <w:rFonts w:hint="default" w:ascii="Times New Roman" w:hAnsi="Times New Roman" w:eastAsia="宋体" w:cs="Times New Roman"/>
                      <w:sz w:val="21"/>
                      <w:szCs w:val="21"/>
                    </w:rPr>
                    <w:t>废塑料碎片运至厂区后储存于封闭</w:t>
                  </w:r>
                  <w:r>
                    <w:rPr>
                      <w:rFonts w:hint="eastAsia" w:ascii="Times New Roman" w:hAnsi="Times New Roman" w:eastAsia="宋体" w:cs="Times New Roman"/>
                      <w:sz w:val="21"/>
                      <w:szCs w:val="21"/>
                      <w:lang w:val="en-US" w:eastAsia="zh-CN"/>
                    </w:rPr>
                    <w:t>生产车间</w:t>
                  </w:r>
                  <w:r>
                    <w:rPr>
                      <w:rFonts w:hint="default" w:ascii="Times New Roman" w:hAnsi="Times New Roman" w:eastAsia="宋体" w:cs="Times New Roman"/>
                      <w:sz w:val="21"/>
                      <w:szCs w:val="21"/>
                      <w:lang w:val="en-US" w:eastAsia="zh-CN"/>
                    </w:rPr>
                    <w:t>内</w:t>
                  </w:r>
                  <w:r>
                    <w:rPr>
                      <w:rFonts w:hint="eastAsia" w:ascii="Times New Roman" w:hAnsi="Times New Roman" w:eastAsia="宋体" w:cs="Times New Roman"/>
                      <w:sz w:val="21"/>
                      <w:szCs w:val="21"/>
                      <w:lang w:val="en-US" w:eastAsia="zh-CN"/>
                    </w:rPr>
                    <w:t>的原料区</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eastAsia="zh-CN"/>
                    </w:rPr>
                    <w:t>生产车间</w:t>
                  </w:r>
                  <w:r>
                    <w:rPr>
                      <w:rFonts w:hint="default" w:ascii="Times New Roman" w:hAnsi="Times New Roman" w:eastAsia="宋体" w:cs="Times New Roman"/>
                      <w:sz w:val="21"/>
                      <w:szCs w:val="21"/>
                    </w:rPr>
                    <w:t>可满足防雨、防扬散、防渗漏要求。</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含卤素废塑料的预处理与再生利用，宜与其他废塑料分开进行。</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本项目不涉及含卤素废塑料。</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废塑料的收集、再生利用和处置企业，应建立废塑料管理台账，内容包括废塑料的来源、种类、数量、去向等，相关台账应保存至少3年。</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评价要求本</w:t>
                  </w:r>
                  <w:r>
                    <w:rPr>
                      <w:rFonts w:hint="default" w:ascii="Times New Roman" w:hAnsi="Times New Roman" w:eastAsia="宋体" w:cs="Times New Roman"/>
                      <w:sz w:val="21"/>
                      <w:szCs w:val="21"/>
                    </w:rPr>
                    <w:t>项目投产运行后应按照要求建设废塑料管理台账，台账应保存至少3年。</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属于危险废物的废塑料，按照危险废物进行管理和利用处置。</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本项目不涉及危险废物废塑料。</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废塑料的产生、收集、再生利用和处置过程除应满足生态环境保护相关要求外，还应符合国家安全生产、职业健康、交通运输、消防等法规、标准的相关要求。</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本项目废塑料收集、再生利用和处置可以满足生态环境保护相关要求以及符合国家安全生产、职业健康、交通运输</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消防等法规、标准相关要求。</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restart"/>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产生环节污染控制要求</w:t>
                  </w: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工业源废塑料污染控制要求</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废塑料产生企业应根据材质特性以及再生利用和处置方式，对下脚料、边角料、残次品、废弃塑料制品、废弃塑料包装物等进行分类收集、贮存，并建立废塑料管理台账，内容包括废塑料的种类、数量、去向等，相关台账应保存至少3年。</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本项目外购干净</w:t>
                  </w:r>
                  <w:r>
                    <w:rPr>
                      <w:rFonts w:hint="eastAsia" w:ascii="Times New Roman" w:hAnsi="Times New Roman" w:eastAsia="宋体" w:cs="Times New Roman"/>
                      <w:sz w:val="21"/>
                      <w:szCs w:val="21"/>
                      <w:lang w:eastAsia="zh-CN"/>
                    </w:rPr>
                    <w:t>袋装</w:t>
                  </w:r>
                  <w:r>
                    <w:rPr>
                      <w:rFonts w:hint="default" w:ascii="Times New Roman" w:hAnsi="Times New Roman" w:eastAsia="宋体" w:cs="Times New Roman"/>
                      <w:sz w:val="21"/>
                      <w:szCs w:val="21"/>
                    </w:rPr>
                    <w:t>废塑料碎片</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进行分类贮存，并建立废塑料管理台账</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台账应保存至少3年。</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源废塑料污染控制要求：1.废塑料类可回收物应按照当地生活垃圾分类管理要求投放至可回收物垃圾桶或专用回收设施内，或交给再生资源回收企业。2.投入有害垃圾收集设施集中收集的废塑料类有害垃圾，应交由有资质的单位进行利用处置。</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本项目外购干净</w:t>
                  </w:r>
                  <w:r>
                    <w:rPr>
                      <w:rFonts w:hint="eastAsia" w:ascii="Times New Roman" w:hAnsi="Times New Roman" w:eastAsia="宋体" w:cs="Times New Roman"/>
                      <w:sz w:val="21"/>
                      <w:szCs w:val="21"/>
                      <w:lang w:eastAsia="zh-CN"/>
                    </w:rPr>
                    <w:t>袋装</w:t>
                  </w:r>
                  <w:r>
                    <w:rPr>
                      <w:rFonts w:hint="default" w:ascii="Times New Roman" w:hAnsi="Times New Roman" w:eastAsia="宋体" w:cs="Times New Roman"/>
                      <w:sz w:val="21"/>
                      <w:szCs w:val="21"/>
                    </w:rPr>
                    <w:t>废塑料碎片</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进行分类贮存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废塑料中不含有有害垃圾</w:t>
                  </w:r>
                  <w:r>
                    <w:rPr>
                      <w:rFonts w:hint="default" w:ascii="Times New Roman" w:hAnsi="Times New Roman" w:eastAsia="宋体" w:cs="Times New Roman"/>
                      <w:sz w:val="21"/>
                      <w:szCs w:val="21"/>
                    </w:rPr>
                    <w:t>。</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农业源废塑料污染控制要求：1.废弃的非全生物降解塑料农膜，应进行回收，不得丢弃、掩埋或者露天焚烧。2.废弃的非全生物降解渔网、渔具、网箱等废塑料，应进行回收，不得丢弃、掩埋或者露天焚烧。3.废弃的肥料包装袋（桶或瓶）等废塑料，应进行回收，不得丢弃、掩埋或者露天焚烧。</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本项外购干净</w:t>
                  </w:r>
                  <w:r>
                    <w:rPr>
                      <w:rFonts w:hint="eastAsia" w:ascii="Times New Roman" w:hAnsi="Times New Roman" w:eastAsia="宋体" w:cs="Times New Roman"/>
                      <w:sz w:val="21"/>
                      <w:szCs w:val="21"/>
                      <w:lang w:eastAsia="zh-CN"/>
                    </w:rPr>
                    <w:t>袋装</w:t>
                  </w:r>
                  <w:r>
                    <w:rPr>
                      <w:rFonts w:hint="default" w:ascii="Times New Roman" w:hAnsi="Times New Roman" w:eastAsia="宋体" w:cs="Times New Roman"/>
                      <w:sz w:val="21"/>
                      <w:szCs w:val="21"/>
                    </w:rPr>
                    <w:t>废塑料碎片</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不进行丢弃</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掩埋或者露天焚烧。</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医疗机构可回收物中废塑料污染控制要求：1.医疗机构中废塑料等可回收物，应投放至专门容器中，严禁与医疗废物混合。2.医疗机构可回收物中废塑料的收集容器、包装物应有明显标识。3.医疗机构可回收物中废塑料的收集、搬运、暂存、转运等操作过程，应与医疗废物分开进行。</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本项目不涉及医疗机构回收的废塑料。</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restart"/>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收集和运输污染控制要求</w:t>
                  </w: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收集要求：1.废塑料收集企业应参照GB/T37547，根据废塑料来源、特性及使用过程对废塑料进行分类收集。2.废塑料收集过程中应避免扬散，不得随意倾倒残液及清洗。</w:t>
                  </w:r>
                </w:p>
              </w:tc>
              <w:tc>
                <w:tcPr>
                  <w:tcW w:w="3062" w:type="dxa"/>
                  <w:vMerge w:val="restart"/>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本项目外购干净</w:t>
                  </w:r>
                  <w:r>
                    <w:rPr>
                      <w:rFonts w:hint="eastAsia" w:ascii="Times New Roman" w:hAnsi="Times New Roman" w:eastAsia="宋体" w:cs="Times New Roman"/>
                      <w:sz w:val="21"/>
                      <w:szCs w:val="21"/>
                      <w:lang w:eastAsia="zh-CN"/>
                    </w:rPr>
                    <w:t>袋装</w:t>
                  </w:r>
                  <w:r>
                    <w:rPr>
                      <w:rFonts w:hint="default" w:ascii="Times New Roman" w:hAnsi="Times New Roman" w:eastAsia="宋体" w:cs="Times New Roman"/>
                      <w:sz w:val="21"/>
                      <w:szCs w:val="21"/>
                    </w:rPr>
                    <w:t>废塑料碎片</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采用封闭车辆运输，可防止收集运输过程扬散。</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运输要求：废塑料及其预处理产物的装卸及运输过程中，应采取必要的防扬散、防渗漏措施，应保持运输车辆的洁净，避免二次污染。</w:t>
                  </w:r>
                </w:p>
              </w:tc>
              <w:tc>
                <w:tcPr>
                  <w:tcW w:w="3062"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763" w:hRule="atLeast"/>
                <w:jc w:val="center"/>
              </w:trPr>
              <w:tc>
                <w:tcPr>
                  <w:tcW w:w="705" w:type="dxa"/>
                  <w:vMerge w:val="restart"/>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预处理污染控制要求</w:t>
                  </w: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选要求：1.应采用预分选工艺，将废塑料与其他废物分开，提高下游自动化分选的效率。2.废塑料分选应遵循稳定、二次污染可控的原则，根据废塑料特性，宜采用气流分选、静电分选、X射线荧光分选、近红外分选、熔融过滤分选、低温破碎分选及其他新型的自动化分选等单一或集成化分选技术。</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本项目外购干净</w:t>
                  </w:r>
                  <w:r>
                    <w:rPr>
                      <w:rFonts w:hint="eastAsia" w:ascii="Times New Roman" w:hAnsi="Times New Roman" w:eastAsia="宋体" w:cs="Times New Roman"/>
                      <w:sz w:val="21"/>
                      <w:szCs w:val="21"/>
                      <w:lang w:eastAsia="zh-CN"/>
                    </w:rPr>
                    <w:t>袋装</w:t>
                  </w:r>
                  <w:r>
                    <w:rPr>
                      <w:rFonts w:hint="default" w:ascii="Times New Roman" w:hAnsi="Times New Roman" w:eastAsia="宋体" w:cs="Times New Roman"/>
                      <w:sz w:val="21"/>
                      <w:szCs w:val="21"/>
                    </w:rPr>
                    <w:t>废塑料碎片</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废塑料主要为干净废塑料碎片</w:t>
                  </w:r>
                  <w:r>
                    <w:rPr>
                      <w:rFonts w:hint="default" w:ascii="Times New Roman" w:hAnsi="Times New Roman" w:eastAsia="宋体" w:cs="Times New Roman"/>
                      <w:sz w:val="21"/>
                      <w:szCs w:val="21"/>
                      <w:lang w:val="en-US" w:eastAsia="zh-CN"/>
                    </w:rPr>
                    <w:t>，种类较单一，不需进行分选</w:t>
                  </w:r>
                  <w:r>
                    <w:rPr>
                      <w:rFonts w:hint="default" w:ascii="Times New Roman" w:hAnsi="Times New Roman" w:eastAsia="宋体" w:cs="Times New Roman"/>
                      <w:sz w:val="21"/>
                      <w:szCs w:val="21"/>
                    </w:rPr>
                    <w:t>。</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破碎要求：废塑料的破碎方法可分为干法破碎和湿法破碎。使用干法破碎时，应配备相应的防尘、防噪声设备。使用湿法破碎时，应有配套的污水收集和处理设施。</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本项目外购干净</w:t>
                  </w:r>
                  <w:r>
                    <w:rPr>
                      <w:rFonts w:hint="eastAsia" w:ascii="Times New Roman" w:hAnsi="Times New Roman" w:eastAsia="宋体" w:cs="Times New Roman"/>
                      <w:sz w:val="21"/>
                      <w:szCs w:val="21"/>
                      <w:lang w:eastAsia="zh-CN"/>
                    </w:rPr>
                    <w:t>袋装</w:t>
                  </w:r>
                  <w:r>
                    <w:rPr>
                      <w:rFonts w:hint="default" w:ascii="Times New Roman" w:hAnsi="Times New Roman" w:eastAsia="宋体" w:cs="Times New Roman"/>
                      <w:sz w:val="21"/>
                      <w:szCs w:val="21"/>
                    </w:rPr>
                    <w:t>废塑料碎片</w:t>
                  </w:r>
                  <w:r>
                    <w:rPr>
                      <w:rFonts w:hint="eastAsia" w:ascii="Times New Roman" w:hAnsi="Times New Roman" w:eastAsia="宋体" w:cs="Times New Roman"/>
                      <w:sz w:val="21"/>
                      <w:szCs w:val="21"/>
                      <w:lang w:eastAsia="zh-CN"/>
                    </w:rPr>
                    <w:t>，不破碎</w:t>
                  </w:r>
                  <w:r>
                    <w:rPr>
                      <w:rFonts w:hint="default" w:ascii="Times New Roman" w:hAnsi="Times New Roman" w:eastAsia="宋体" w:cs="Times New Roman"/>
                      <w:sz w:val="21"/>
                      <w:szCs w:val="21"/>
                    </w:rPr>
                    <w:t>。</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洗要求：1.宜采用节水的自动化清洗技术，宜采用无磷清洗剂或其他绿色清洗剂，不得使用有毒有害的清洗剂。2.应根据清洗废水中污染物的种类和浓度，配备相应的废水收集和处理设施，清洗废水处理后宜循环使用。</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本项目外购干净</w:t>
                  </w:r>
                  <w:r>
                    <w:rPr>
                      <w:rFonts w:hint="eastAsia" w:ascii="Times New Roman" w:hAnsi="Times New Roman" w:eastAsia="宋体" w:cs="Times New Roman"/>
                      <w:sz w:val="21"/>
                      <w:szCs w:val="21"/>
                      <w:lang w:eastAsia="zh-CN"/>
                    </w:rPr>
                    <w:t>袋装</w:t>
                  </w:r>
                  <w:r>
                    <w:rPr>
                      <w:rFonts w:hint="default" w:ascii="Times New Roman" w:hAnsi="Times New Roman" w:eastAsia="宋体" w:cs="Times New Roman"/>
                      <w:sz w:val="21"/>
                      <w:szCs w:val="21"/>
                    </w:rPr>
                    <w:t>废塑料碎片</w:t>
                  </w:r>
                  <w:r>
                    <w:rPr>
                      <w:rFonts w:hint="eastAsia" w:ascii="Times New Roman" w:hAnsi="Times New Roman" w:eastAsia="宋体" w:cs="Times New Roman"/>
                      <w:sz w:val="21"/>
                      <w:szCs w:val="21"/>
                      <w:lang w:eastAsia="zh-CN"/>
                    </w:rPr>
                    <w:t>，不清洗</w:t>
                  </w:r>
                  <w:r>
                    <w:rPr>
                      <w:rFonts w:hint="default" w:ascii="Times New Roman" w:hAnsi="Times New Roman" w:eastAsia="宋体" w:cs="Times New Roman"/>
                      <w:sz w:val="21"/>
                      <w:szCs w:val="21"/>
                    </w:rPr>
                    <w:t>。</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干燥要求：宜选择闭路循环式干燥设备。干燥环节应配备废气收集和处理设施，防止二次污染。</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本项目外购干净</w:t>
                  </w:r>
                  <w:r>
                    <w:rPr>
                      <w:rFonts w:hint="eastAsia" w:ascii="Times New Roman" w:hAnsi="Times New Roman" w:eastAsia="宋体" w:cs="Times New Roman"/>
                      <w:sz w:val="21"/>
                      <w:szCs w:val="21"/>
                      <w:lang w:eastAsia="zh-CN"/>
                    </w:rPr>
                    <w:t>袋装</w:t>
                  </w:r>
                  <w:r>
                    <w:rPr>
                      <w:rFonts w:hint="default" w:ascii="Times New Roman" w:hAnsi="Times New Roman" w:eastAsia="宋体" w:cs="Times New Roman"/>
                      <w:sz w:val="21"/>
                      <w:szCs w:val="21"/>
                    </w:rPr>
                    <w:t>废塑料碎片</w:t>
                  </w:r>
                  <w:r>
                    <w:rPr>
                      <w:rFonts w:hint="eastAsia" w:ascii="Times New Roman" w:hAnsi="Times New Roman" w:eastAsia="宋体" w:cs="Times New Roman"/>
                      <w:sz w:val="21"/>
                      <w:szCs w:val="21"/>
                      <w:lang w:eastAsia="zh-CN"/>
                    </w:rPr>
                    <w:t>，不破碎，不清洗，不干燥</w:t>
                  </w:r>
                  <w:r>
                    <w:rPr>
                      <w:rFonts w:hint="default" w:ascii="Times New Roman" w:hAnsi="Times New Roman" w:eastAsia="宋体" w:cs="Times New Roman"/>
                      <w:sz w:val="21"/>
                      <w:szCs w:val="21"/>
                    </w:rPr>
                    <w:t>。</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restart"/>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再生利用技术要求</w:t>
                  </w: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物理再生要求：1.废塑料的物理再生工艺中，熔融造粒车间应安装废气收集及处理装置，挤出工艺的冷却废水宜循环使用。2.宜采用节能熔融造粒技术，含卤素废塑料宜采用低温熔融造粒工艺。3.宜使用无丝网过滤器造粒机，减少废滤网产生。采用焚烧方式处理塑料挤出机过滤网片时，应配备烟气净化装置。</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1.本项目废塑料采用物理再生工艺，熔融造粒过程产生的</w:t>
                  </w:r>
                  <w:r>
                    <w:rPr>
                      <w:rFonts w:hint="default" w:ascii="Times New Roman" w:hAnsi="Times New Roman" w:eastAsia="宋体" w:cs="Times New Roman"/>
                      <w:sz w:val="21"/>
                      <w:szCs w:val="21"/>
                      <w:lang w:val="en-US" w:eastAsia="zh-CN"/>
                    </w:rPr>
                    <w:t>有机</w:t>
                  </w:r>
                  <w:r>
                    <w:rPr>
                      <w:rFonts w:hint="default" w:ascii="Times New Roman" w:hAnsi="Times New Roman" w:eastAsia="宋体" w:cs="Times New Roman"/>
                      <w:sz w:val="21"/>
                      <w:szCs w:val="21"/>
                    </w:rPr>
                    <w:t>废气经配套的废气治理设施收集净化处理；且挤出的塑料条冷却废水循环使用，及时补充新鲜水；2.本项目采用节能熔融造粒技术；3.本项目废滤网（含滤渣）收集后由厂家回收。</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再生要求：1.含有聚氯乙烯等含卤素塑料的混合废塑料进行化学再生时，应进行适当的脱氯、脱硅及脱除金属等处理，以满足生产及产品质量和污染防治要求。2.化学再生过程不宜使用含重金属添加剂。3.化学再生过程使用的含重金属催化剂应优先循环使用，废弃的催化剂应委托有资质的单位进行利用或处置。4.废塑料化学再生裂解设施应使用连续生产设备（包含连续进料系统、连续裂解系统和连续出料系统）。5.废塑料化学再生产物，应按照GB34330进行鉴别，经鉴别属于固体废物的，应按照固体废物管理并按照GB5085.7进行鉴别，经鉴别属于危险废物的，应按照危险废物管理。</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1本项目废塑料采用物理再生工艺，不采用化学再生工艺。</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处置要求：1.使用生活垃圾等焚烧设施处置废塑料时，污染物排放应执行相应设施的排放标准。使用水泥窑等工业窑炉协同处置含卤素废塑料时，应按照 HJ662的要求严格控制入窑卤素元素含量。2.进入生活垃圾填埋场处置时，废塑料应当满足GB16889中对填埋废物的入场要求。</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本项目主要进行废塑料的再生造粒，不涉及规范中的处置方式。</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restart"/>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运行环境管理要求</w:t>
                  </w: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建设的环境管理要求：1.废塑料的再生利用项目应严格执行环境影响评价和“三同时”制度。2.新建和改扩建废塑料再生利用项目的选址应符合当地城市总体发展规划、用地规划、生态环境分区管控方案、规划环评及其他环境保护要求。3.废塑料再生利用项目应按功能划分厂区，包括管理区、原料贮存区、生产区、产品贮存区、不可利用废物的贮存和处理区等，各功能区应有明显的界线或标识。</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1.本项目废塑料再生利用项目严格执行环境影响评价和“三同时”制度；2.本项目选址符合</w:t>
                  </w:r>
                  <w:r>
                    <w:rPr>
                      <w:rFonts w:hint="eastAsia" w:ascii="Times New Roman" w:hAnsi="Times New Roman" w:eastAsia="宋体" w:cs="Times New Roman"/>
                      <w:sz w:val="21"/>
                      <w:szCs w:val="21"/>
                      <w:lang w:val="en-US" w:eastAsia="zh-CN"/>
                    </w:rPr>
                    <w:t>方城县广阳镇</w:t>
                  </w:r>
                  <w:r>
                    <w:rPr>
                      <w:rFonts w:hint="default" w:ascii="Times New Roman" w:hAnsi="Times New Roman" w:eastAsia="宋体" w:cs="Times New Roman"/>
                      <w:sz w:val="21"/>
                      <w:szCs w:val="21"/>
                    </w:rPr>
                    <w:t>总体发展规划、用地规划及生态环境分区管控要求；3.项目生产车间内分区布局，主要包括生产区</w:t>
                  </w:r>
                  <w:r>
                    <w:rPr>
                      <w:rFonts w:hint="eastAsia" w:ascii="Times New Roman" w:hAnsi="Times New Roman" w:eastAsia="宋体" w:cs="Times New Roman"/>
                      <w:sz w:val="21"/>
                      <w:szCs w:val="21"/>
                      <w:lang w:eastAsia="zh-CN"/>
                    </w:rPr>
                    <w:t>、原料区</w:t>
                  </w:r>
                  <w:r>
                    <w:rPr>
                      <w:rFonts w:hint="default" w:ascii="Times New Roman" w:hAnsi="Times New Roman" w:eastAsia="宋体" w:cs="Times New Roman"/>
                      <w:sz w:val="21"/>
                      <w:szCs w:val="21"/>
                    </w:rPr>
                    <w:t>及成品区。</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洁生产要求：1.新建和改扩建的废塑料再生利用企业，应严格按照国家清洁生产相关规定等确定的生产工艺及设备指标、资源和能源消耗指标、资源综合利用指标、产品特征指标、污染物产生指标（末端处理前）、清洁生产管理指标等进行建设和生产。2.实施强制性清洁生产审核的废塑料再生利用企业，应按照《清洁生产审核办法》的要求开展清洁生产审核，逐步淘汰技术落后、能耗高、资源综合利用率低和环境污染严重的工艺和设备。3.废塑料的再生利用企业，应积极推进工艺、技术和设备提升改造，积极应用先进的清洁生产技术。</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本项目生产工艺及设备指标、资源和能源消耗指标、资源综合利用指标、产品特征指标、污染物产生指标（末端处理前）均满足清洁生产指标要求。</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vMerge w:val="continue"/>
                  <w:shd w:val="clear" w:color="auto" w:fill="auto"/>
                  <w:vAlign w:val="center"/>
                </w:tcPr>
                <w:p>
                  <w:pPr>
                    <w:bidi w:val="0"/>
                    <w:spacing w:line="360" w:lineRule="auto"/>
                    <w:rPr>
                      <w:rFonts w:hint="default" w:ascii="Times New Roman" w:hAnsi="Times New Roman" w:eastAsia="宋体" w:cs="Times New Roman"/>
                      <w:sz w:val="21"/>
                      <w:szCs w:val="21"/>
                    </w:rPr>
                  </w:pP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要求：1.废塑料的再生利用和处置企业，应按照排污许可证、HJ819以及本标准的要求，制定自行监测方案，对废塑料的利用处置过程污染物排放状况及周边环境质量的影响开展自行监测，保存原始监测记录，并依规进行信息公开。2.不同污染物的采样监测方法和频次执行相关国家和行业标准，保留监测记录以及特殊情况记录。</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本项目应按照排污许可证、HJ819以及本标准的要求，制定自行监测方案，开展项目自行监测。 </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5"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属于危险废物的废塑料的特殊要求</w:t>
                  </w:r>
                </w:p>
              </w:tc>
              <w:tc>
                <w:tcPr>
                  <w:tcW w:w="4140"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医疗废物中的废塑料按照《医疗废物管理条例》要求进行收集和处置。2.农药包装废弃物按照《农药包装废弃物回收处理管理办法》要求进行收集、利用、处置。3.含有或者沾染危险废物的塑料类包装物，应处理并符合相关标准要求后，优先用于原始用途，不能再次使用的按照危险废物相关规定利用处置。</w:t>
                  </w:r>
                </w:p>
              </w:tc>
              <w:tc>
                <w:tcPr>
                  <w:tcW w:w="3062" w:type="dxa"/>
                  <w:shd w:val="clear" w:color="auto" w:fill="auto"/>
                  <w:vAlign w:val="center"/>
                </w:tcPr>
                <w:p>
                  <w:pPr>
                    <w:bidi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w:t>
                  </w:r>
                  <w:r>
                    <w:rPr>
                      <w:rFonts w:hint="eastAsia" w:ascii="Times New Roman" w:hAnsi="Times New Roman" w:cs="Times New Roman"/>
                      <w:sz w:val="21"/>
                      <w:szCs w:val="21"/>
                      <w:lang w:eastAsia="zh-CN"/>
                    </w:rPr>
                    <w:t>外购</w:t>
                  </w:r>
                  <w:r>
                    <w:rPr>
                      <w:rFonts w:hint="default" w:ascii="Times New Roman" w:hAnsi="Times New Roman" w:eastAsia="宋体" w:cs="Times New Roman"/>
                      <w:sz w:val="21"/>
                      <w:szCs w:val="21"/>
                    </w:rPr>
                    <w:t>的废塑料</w:t>
                  </w:r>
                  <w:r>
                    <w:rPr>
                      <w:rFonts w:hint="eastAsia" w:ascii="Times New Roman" w:hAnsi="Times New Roman" w:cs="Times New Roman"/>
                      <w:sz w:val="21"/>
                      <w:szCs w:val="21"/>
                      <w:lang w:eastAsia="zh-CN"/>
                    </w:rPr>
                    <w:t>碎片</w:t>
                  </w:r>
                  <w:r>
                    <w:rPr>
                      <w:rFonts w:hint="default" w:ascii="Times New Roman" w:hAnsi="Times New Roman" w:eastAsia="宋体" w:cs="Times New Roman"/>
                      <w:sz w:val="21"/>
                      <w:szCs w:val="21"/>
                    </w:rPr>
                    <w:t>不</w:t>
                  </w:r>
                  <w:r>
                    <w:rPr>
                      <w:rFonts w:hint="default" w:ascii="Times New Roman" w:hAnsi="Times New Roman" w:eastAsia="宋体" w:cs="Times New Roman"/>
                      <w:sz w:val="21"/>
                      <w:szCs w:val="21"/>
                      <w:lang w:val="en-US" w:eastAsia="zh-CN"/>
                    </w:rPr>
                    <w:t>涉及</w:t>
                  </w:r>
                  <w:r>
                    <w:rPr>
                      <w:rFonts w:hint="default" w:ascii="Times New Roman" w:hAnsi="Times New Roman" w:eastAsia="宋体" w:cs="Times New Roman"/>
                      <w:sz w:val="21"/>
                      <w:szCs w:val="21"/>
                    </w:rPr>
                    <w:t>危险废物。</w:t>
                  </w:r>
                </w:p>
              </w:tc>
              <w:tc>
                <w:tcPr>
                  <w:tcW w:w="871" w:type="dxa"/>
                  <w:shd w:val="clear" w:color="auto" w:fill="auto"/>
                  <w:vAlign w:val="center"/>
                </w:tcPr>
                <w:p>
                  <w:pPr>
                    <w:bidi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相符</w:t>
                  </w:r>
                </w:p>
              </w:tc>
            </w:tr>
          </w:tbl>
          <w:p>
            <w:pPr>
              <w:spacing w:line="360" w:lineRule="auto"/>
              <w:ind w:firstLine="500" w:firstLineChars="200"/>
              <w:jc w:val="both"/>
              <w:rPr>
                <w:rFonts w:hint="default" w:ascii="Times New Roman" w:hAnsi="Times New Roman" w:cs="Times New Roman"/>
                <w:b/>
                <w:bCs/>
                <w:sz w:val="24"/>
                <w:szCs w:val="24"/>
                <w:u w:val="none"/>
                <w:lang w:val="en-US" w:eastAsia="zh-CN"/>
              </w:rPr>
            </w:pPr>
            <w:r>
              <w:rPr>
                <w:rFonts w:hint="default" w:ascii="Times New Roman" w:hAnsi="Times New Roman" w:cs="Times New Roman"/>
                <w:b/>
                <w:bCs/>
                <w:sz w:val="24"/>
                <w:szCs w:val="24"/>
                <w:u w:val="none"/>
                <w:lang w:val="en-US" w:eastAsia="zh-CN"/>
              </w:rPr>
              <w:t>13、项目“两高”政策的相符性分析</w:t>
            </w:r>
          </w:p>
          <w:p>
            <w:pPr>
              <w:spacing w:line="360" w:lineRule="auto"/>
              <w:ind w:firstLine="500" w:firstLineChars="200"/>
              <w:jc w:val="both"/>
              <w:rPr>
                <w:rFonts w:hint="default" w:ascii="Times New Roman" w:hAnsi="Times New Roman" w:cs="Times New Roman"/>
                <w:b w:val="0"/>
                <w:bCs w:val="0"/>
                <w:sz w:val="24"/>
                <w:szCs w:val="24"/>
                <w:u w:val="none"/>
                <w:lang w:val="en-US" w:eastAsia="zh-CN"/>
              </w:rPr>
            </w:pPr>
            <w:r>
              <w:rPr>
                <w:rFonts w:hint="default" w:ascii="Times New Roman" w:hAnsi="Times New Roman" w:cs="Times New Roman"/>
                <w:b w:val="0"/>
                <w:bCs w:val="0"/>
                <w:sz w:val="24"/>
                <w:szCs w:val="24"/>
                <w:u w:val="none"/>
                <w:lang w:val="en-US" w:eastAsia="zh-CN"/>
              </w:rPr>
              <w:t>经比对《关于印发河南省“两高”项目管理目录（2023年修订）的通知》（豫发改环资〔2023〕38号），本项目不属于“两高类项目。</w:t>
            </w:r>
          </w:p>
          <w:p>
            <w:pPr>
              <w:spacing w:line="360" w:lineRule="auto"/>
              <w:jc w:val="center"/>
              <w:rPr>
                <w:rFonts w:hint="default" w:ascii="Times New Roman" w:hAnsi="Times New Roman" w:cs="Times New Roman"/>
                <w:b/>
                <w:bCs/>
                <w:sz w:val="24"/>
                <w:szCs w:val="24"/>
                <w:u w:val="none"/>
                <w:lang w:val="en-US" w:eastAsia="zh-CN"/>
              </w:rPr>
            </w:pPr>
            <w:r>
              <w:rPr>
                <w:rFonts w:hint="default" w:ascii="Times New Roman" w:hAnsi="Times New Roman" w:cs="Times New Roman"/>
                <w:b/>
                <w:bCs/>
                <w:sz w:val="24"/>
                <w:szCs w:val="24"/>
                <w:u w:val="none"/>
                <w:lang w:val="en-US" w:eastAsia="zh-CN"/>
              </w:rPr>
              <w:t>表1-</w:t>
            </w:r>
            <w:r>
              <w:rPr>
                <w:rFonts w:hint="eastAsia" w:ascii="Times New Roman" w:hAnsi="Times New Roman" w:cs="Times New Roman"/>
                <w:b/>
                <w:bCs/>
                <w:sz w:val="24"/>
                <w:szCs w:val="24"/>
                <w:u w:val="none"/>
                <w:lang w:val="en-US" w:eastAsia="zh-CN"/>
              </w:rPr>
              <w:t>9</w:t>
            </w:r>
            <w:r>
              <w:rPr>
                <w:rFonts w:hint="default" w:ascii="Times New Roman" w:hAnsi="Times New Roman" w:cs="Times New Roman"/>
                <w:b/>
                <w:bCs/>
                <w:sz w:val="24"/>
                <w:szCs w:val="24"/>
                <w:u w:val="none"/>
                <w:lang w:val="en-US" w:eastAsia="zh-CN"/>
              </w:rPr>
              <w:t xml:space="preserve"> </w:t>
            </w:r>
            <w:r>
              <w:rPr>
                <w:rFonts w:hint="eastAsia" w:ascii="Times New Roman" w:hAnsi="Times New Roman" w:cs="Times New Roman"/>
                <w:b/>
                <w:bCs/>
                <w:sz w:val="24"/>
                <w:szCs w:val="24"/>
                <w:u w:val="none"/>
                <w:lang w:val="en-US" w:eastAsia="zh-CN"/>
              </w:rPr>
              <w:t>项目</w:t>
            </w:r>
            <w:r>
              <w:rPr>
                <w:rFonts w:hint="default" w:ascii="Times New Roman" w:hAnsi="Times New Roman" w:cs="Times New Roman"/>
                <w:b/>
                <w:bCs/>
                <w:sz w:val="24"/>
                <w:szCs w:val="24"/>
                <w:u w:val="none"/>
                <w:lang w:val="en-US" w:eastAsia="zh-CN"/>
              </w:rPr>
              <w:t>与“两高”</w:t>
            </w:r>
            <w:r>
              <w:rPr>
                <w:rFonts w:hint="eastAsia" w:ascii="Times New Roman" w:hAnsi="Times New Roman" w:cs="Times New Roman"/>
                <w:b/>
                <w:bCs/>
                <w:sz w:val="24"/>
                <w:szCs w:val="24"/>
                <w:u w:val="none"/>
                <w:lang w:val="en-US" w:eastAsia="zh-CN"/>
              </w:rPr>
              <w:t>政策</w:t>
            </w:r>
            <w:r>
              <w:rPr>
                <w:rFonts w:hint="default" w:ascii="Times New Roman" w:hAnsi="Times New Roman" w:cs="Times New Roman"/>
                <w:b/>
                <w:bCs/>
                <w:sz w:val="24"/>
                <w:szCs w:val="24"/>
                <w:u w:val="none"/>
                <w:lang w:val="en-US" w:eastAsia="zh-CN"/>
              </w:rPr>
              <w:t>相符性分析</w:t>
            </w:r>
          </w:p>
          <w:tbl>
            <w:tblPr>
              <w:tblStyle w:val="11"/>
              <w:tblW w:w="865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4954"/>
              <w:gridCol w:w="1853"/>
              <w:gridCol w:w="9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0" w:hRule="exact"/>
                <w:jc w:val="center"/>
              </w:trPr>
              <w:tc>
                <w:tcPr>
                  <w:tcW w:w="900" w:type="dxa"/>
                  <w:tcBorders>
                    <w:tl2br w:val="nil"/>
                    <w:tr2bl w:val="nil"/>
                  </w:tcBorders>
                  <w:vAlign w:val="center"/>
                </w:tcPr>
                <w:p>
                  <w:pPr>
                    <w:bidi w:val="0"/>
                    <w:spacing w:line="360" w:lineRule="auto"/>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类别</w:t>
                  </w:r>
                </w:p>
              </w:tc>
              <w:tc>
                <w:tcPr>
                  <w:tcW w:w="4954" w:type="dxa"/>
                  <w:tcBorders>
                    <w:tl2br w:val="nil"/>
                    <w:tr2bl w:val="nil"/>
                  </w:tcBorders>
                  <w:vAlign w:val="center"/>
                </w:tcPr>
                <w:p>
                  <w:pPr>
                    <w:bidi w:val="0"/>
                    <w:spacing w:line="360" w:lineRule="auto"/>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治理要求</w:t>
                  </w:r>
                </w:p>
              </w:tc>
              <w:tc>
                <w:tcPr>
                  <w:tcW w:w="1853" w:type="dxa"/>
                  <w:tcBorders>
                    <w:tl2br w:val="nil"/>
                    <w:tr2bl w:val="nil"/>
                  </w:tcBorders>
                  <w:vAlign w:val="center"/>
                </w:tcPr>
                <w:p>
                  <w:pPr>
                    <w:bidi w:val="0"/>
                    <w:spacing w:line="360" w:lineRule="auto"/>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本项目情况</w:t>
                  </w:r>
                </w:p>
              </w:tc>
              <w:tc>
                <w:tcPr>
                  <w:tcW w:w="945" w:type="dxa"/>
                  <w:tcBorders>
                    <w:tl2br w:val="nil"/>
                    <w:tr2bl w:val="nil"/>
                  </w:tcBorders>
                  <w:vAlign w:val="center"/>
                </w:tcPr>
                <w:p>
                  <w:pPr>
                    <w:bidi w:val="0"/>
                    <w:spacing w:line="360" w:lineRule="auto"/>
                    <w:jc w:val="center"/>
                    <w:rPr>
                      <w:rFonts w:hint="default" w:ascii="Times New Roman" w:hAnsi="Times New Roman" w:cs="Times New Roman"/>
                      <w:b/>
                      <w:bCs/>
                      <w:sz w:val="21"/>
                      <w:szCs w:val="21"/>
                      <w:u w:val="none"/>
                    </w:rPr>
                  </w:pPr>
                  <w:r>
                    <w:rPr>
                      <w:rFonts w:hint="default" w:ascii="Times New Roman" w:hAnsi="Times New Roman" w:cs="Times New Roman"/>
                      <w:b/>
                      <w:bCs/>
                      <w:sz w:val="21"/>
                      <w:szCs w:val="21"/>
                      <w:u w:val="none"/>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5" w:hRule="exact"/>
                <w:jc w:val="center"/>
              </w:trPr>
              <w:tc>
                <w:tcPr>
                  <w:tcW w:w="900" w:type="dxa"/>
                  <w:tcBorders>
                    <w:tl2br w:val="nil"/>
                    <w:tr2bl w:val="nil"/>
                  </w:tcBorders>
                  <w:vAlign w:val="center"/>
                </w:tcPr>
                <w:p>
                  <w:pPr>
                    <w:bidi w:val="0"/>
                    <w:spacing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一</w:t>
                  </w:r>
                </w:p>
              </w:tc>
              <w:tc>
                <w:tcPr>
                  <w:tcW w:w="6807" w:type="dxa"/>
                  <w:gridSpan w:val="2"/>
                  <w:tcBorders>
                    <w:tl2br w:val="nil"/>
                    <w:tr2bl w:val="nil"/>
                  </w:tcBorders>
                  <w:vAlign w:val="center"/>
                </w:tcPr>
                <w:p>
                  <w:pPr>
                    <w:bidi w:val="0"/>
                    <w:spacing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“河南省会商联审机制”政策分析</w:t>
                  </w:r>
                </w:p>
              </w:tc>
              <w:tc>
                <w:tcPr>
                  <w:tcW w:w="945" w:type="dxa"/>
                  <w:tcBorders>
                    <w:tl2br w:val="nil"/>
                    <w:tr2bl w:val="nil"/>
                  </w:tcBorders>
                  <w:vAlign w:val="center"/>
                </w:tcPr>
                <w:p>
                  <w:pPr>
                    <w:bidi w:val="0"/>
                    <w:spacing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70" w:hRule="exact"/>
                <w:jc w:val="center"/>
              </w:trPr>
              <w:tc>
                <w:tcPr>
                  <w:tcW w:w="900" w:type="dxa"/>
                  <w:tcBorders>
                    <w:tl2br w:val="nil"/>
                    <w:tr2bl w:val="nil"/>
                  </w:tcBorders>
                  <w:vAlign w:val="center"/>
                </w:tcPr>
                <w:p>
                  <w:pPr>
                    <w:bidi w:val="0"/>
                    <w:spacing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河南省“两高” 项目管理名录</w:t>
                  </w:r>
                </w:p>
              </w:tc>
              <w:tc>
                <w:tcPr>
                  <w:tcW w:w="4954" w:type="dxa"/>
                  <w:tcBorders>
                    <w:tl2br w:val="nil"/>
                    <w:tr2bl w:val="nil"/>
                  </w:tcBorders>
                  <w:vAlign w:val="center"/>
                </w:tcPr>
                <w:p>
                  <w:pPr>
                    <w:bidi w:val="0"/>
                    <w:spacing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第一类为煤电、石化、化工、煤化工、钢铁、焦化、建材（非金属矿物制品）有色等8个行业年综合能耗量5万吨标准煤（等价值）及以上项目；第二类为8个行业中年综合能耗 1-5万吨标准煤（等价值）的项目，包括炼铁、炼钢、铁合金冶炼、铝冶炼、石墨及碳素制品制造、铜冶炼、铅锌冶炼、硅冶炼、水泥制造、石灰和石膏制造、建筑陶瓷制品制造、粘土砖瓦及建筑砌块制造、耐火材料制品制造、耐火材料及其他耐火材料制品、平板玻璃制造、火力发电、热电联产、原油加工及石油制品制造、炼焦、煤制液体染料生产、氮肥制造、有机化学原料制造、无机碱制造、无机盐制造、防水建筑材料制造</w:t>
                  </w:r>
                </w:p>
              </w:tc>
              <w:tc>
                <w:tcPr>
                  <w:tcW w:w="1853" w:type="dxa"/>
                  <w:tcBorders>
                    <w:tl2br w:val="nil"/>
                    <w:tr2bl w:val="nil"/>
                  </w:tcBorders>
                  <w:vAlign w:val="center"/>
                </w:tcPr>
                <w:p>
                  <w:pPr>
                    <w:bidi w:val="0"/>
                    <w:spacing w:line="360" w:lineRule="auto"/>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rPr>
                    <w:t>本项目为</w:t>
                  </w:r>
                  <w:r>
                    <w:rPr>
                      <w:rFonts w:hint="eastAsia" w:ascii="Times New Roman" w:hAnsi="Times New Roman" w:cs="Times New Roman"/>
                      <w:sz w:val="21"/>
                      <w:szCs w:val="21"/>
                      <w:u w:val="none"/>
                      <w:lang w:eastAsia="zh-CN"/>
                    </w:rPr>
                    <w:t>C4220非金属废料和碎屑加工处理</w:t>
                  </w:r>
                  <w:r>
                    <w:rPr>
                      <w:rFonts w:hint="default" w:ascii="Times New Roman" w:hAnsi="Times New Roman" w:cs="Times New Roman"/>
                      <w:sz w:val="21"/>
                      <w:szCs w:val="21"/>
                      <w:u w:val="none"/>
                    </w:rPr>
                    <w:t>，</w:t>
                  </w:r>
                  <w:r>
                    <w:rPr>
                      <w:rFonts w:hint="default" w:ascii="Times New Roman" w:hAnsi="Times New Roman" w:eastAsia="宋体" w:cs="Times New Roman"/>
                      <w:sz w:val="21"/>
                      <w:szCs w:val="21"/>
                      <w:u w:val="none"/>
                      <w:lang w:val="en-US" w:eastAsia="zh-CN"/>
                    </w:rPr>
                    <w:t>不属于“两高”行业类别。</w:t>
                  </w:r>
                </w:p>
              </w:tc>
              <w:tc>
                <w:tcPr>
                  <w:tcW w:w="945" w:type="dxa"/>
                  <w:tcBorders>
                    <w:tl2br w:val="nil"/>
                    <w:tr2bl w:val="nil"/>
                  </w:tcBorders>
                  <w:vAlign w:val="center"/>
                </w:tcPr>
                <w:p>
                  <w:pPr>
                    <w:bidi w:val="0"/>
                    <w:spacing w:line="360" w:lineRule="auto"/>
                    <w:jc w:val="center"/>
                    <w:rPr>
                      <w:rFonts w:hint="default" w:ascii="Times New Roman" w:hAnsi="Times New Roman" w:cs="Times New Roman"/>
                      <w:sz w:val="21"/>
                      <w:szCs w:val="21"/>
                      <w:u w:val="none"/>
                    </w:rPr>
                  </w:pPr>
                </w:p>
                <w:p>
                  <w:pPr>
                    <w:bidi w:val="0"/>
                    <w:spacing w:line="360" w:lineRule="auto"/>
                    <w:jc w:val="center"/>
                    <w:rPr>
                      <w:rFonts w:hint="default" w:ascii="Times New Roman" w:hAnsi="Times New Roman" w:cs="Times New Roman"/>
                      <w:sz w:val="21"/>
                      <w:szCs w:val="21"/>
                      <w:u w:val="none"/>
                    </w:rPr>
                  </w:pPr>
                </w:p>
                <w:p>
                  <w:pPr>
                    <w:bidi w:val="0"/>
                    <w:spacing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00" w:hRule="exact"/>
                <w:jc w:val="center"/>
              </w:trPr>
              <w:tc>
                <w:tcPr>
                  <w:tcW w:w="900" w:type="dxa"/>
                  <w:tcBorders>
                    <w:tl2br w:val="nil"/>
                    <w:tr2bl w:val="nil"/>
                  </w:tcBorders>
                  <w:vAlign w:val="center"/>
                </w:tcPr>
                <w:p>
                  <w:pPr>
                    <w:bidi w:val="0"/>
                    <w:spacing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联审机制</w:t>
                  </w:r>
                </w:p>
              </w:tc>
              <w:tc>
                <w:tcPr>
                  <w:tcW w:w="4954" w:type="dxa"/>
                  <w:tcBorders>
                    <w:tl2br w:val="nil"/>
                    <w:tr2bl w:val="nil"/>
                  </w:tcBorders>
                  <w:vAlign w:val="center"/>
                </w:tcPr>
                <w:p>
                  <w:pPr>
                    <w:bidi w:val="0"/>
                    <w:spacing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省发展改革委员会同省工业和信息化</w:t>
                  </w:r>
                </w:p>
                <w:p>
                  <w:pPr>
                    <w:bidi w:val="0"/>
                    <w:spacing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厅、省自然资源厅、省生态环境厅进行</w:t>
                  </w:r>
                </w:p>
                <w:p>
                  <w:pPr>
                    <w:bidi w:val="0"/>
                    <w:spacing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会商联审机制</w:t>
                  </w:r>
                </w:p>
              </w:tc>
              <w:tc>
                <w:tcPr>
                  <w:tcW w:w="1853" w:type="dxa"/>
                  <w:tcBorders>
                    <w:tl2br w:val="nil"/>
                    <w:tr2bl w:val="nil"/>
                  </w:tcBorders>
                  <w:vAlign w:val="center"/>
                </w:tcPr>
                <w:p>
                  <w:pPr>
                    <w:bidi w:val="0"/>
                    <w:spacing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本项目不属于两高项目，不需要会商联审</w:t>
                  </w:r>
                </w:p>
              </w:tc>
              <w:tc>
                <w:tcPr>
                  <w:tcW w:w="945" w:type="dxa"/>
                  <w:tcBorders>
                    <w:tl2br w:val="nil"/>
                    <w:tr2bl w:val="nil"/>
                  </w:tcBorders>
                  <w:vAlign w:val="center"/>
                </w:tcPr>
                <w:p>
                  <w:pPr>
                    <w:bidi w:val="0"/>
                    <w:spacing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10" w:hRule="exact"/>
                <w:jc w:val="center"/>
              </w:trPr>
              <w:tc>
                <w:tcPr>
                  <w:tcW w:w="900" w:type="dxa"/>
                  <w:tcBorders>
                    <w:tl2br w:val="nil"/>
                    <w:tr2bl w:val="nil"/>
                  </w:tcBorders>
                  <w:vAlign w:val="center"/>
                </w:tcPr>
                <w:p>
                  <w:pPr>
                    <w:bidi w:val="0"/>
                    <w:spacing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严格论证把关</w:t>
                  </w:r>
                </w:p>
              </w:tc>
              <w:tc>
                <w:tcPr>
                  <w:tcW w:w="4954" w:type="dxa"/>
                  <w:tcBorders>
                    <w:tl2br w:val="nil"/>
                    <w:tr2bl w:val="nil"/>
                  </w:tcBorders>
                  <w:vAlign w:val="center"/>
                </w:tcPr>
                <w:p>
                  <w:pPr>
                    <w:bidi w:val="0"/>
                    <w:spacing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企业编制项目建设报告，县、市、省逐 级论证，规范论证程序</w:t>
                  </w:r>
                </w:p>
              </w:tc>
              <w:tc>
                <w:tcPr>
                  <w:tcW w:w="1853" w:type="dxa"/>
                  <w:tcBorders>
                    <w:tl2br w:val="nil"/>
                    <w:tr2bl w:val="nil"/>
                  </w:tcBorders>
                  <w:vAlign w:val="center"/>
                </w:tcPr>
                <w:p>
                  <w:pPr>
                    <w:bidi w:val="0"/>
                    <w:spacing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本项目不属于两高项目，不需要逐级论证</w:t>
                  </w:r>
                </w:p>
              </w:tc>
              <w:tc>
                <w:tcPr>
                  <w:tcW w:w="945" w:type="dxa"/>
                  <w:tcBorders>
                    <w:tl2br w:val="nil"/>
                    <w:tr2bl w:val="nil"/>
                  </w:tcBorders>
                  <w:vAlign w:val="center"/>
                </w:tcPr>
                <w:p>
                  <w:pPr>
                    <w:bidi w:val="0"/>
                    <w:spacing w:line="360" w:lineRule="auto"/>
                    <w:jc w:val="center"/>
                    <w:rPr>
                      <w:rFonts w:hint="default" w:ascii="Times New Roman" w:hAnsi="Times New Roman" w:cs="Times New Roman"/>
                      <w:sz w:val="21"/>
                      <w:szCs w:val="21"/>
                      <w:u w:val="none"/>
                    </w:rPr>
                  </w:pPr>
                </w:p>
                <w:p>
                  <w:pPr>
                    <w:bidi w:val="0"/>
                    <w:spacing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相符</w:t>
                  </w:r>
                </w:p>
              </w:tc>
            </w:tr>
          </w:tbl>
          <w:p>
            <w:pPr>
              <w:pStyle w:val="4"/>
              <w:spacing w:before="0" w:after="0" w:line="360" w:lineRule="auto"/>
              <w:ind w:firstLine="500" w:firstLineChars="200"/>
              <w:jc w:val="both"/>
              <w:rPr>
                <w:rFonts w:hint="default" w:ascii="Times New Roman" w:hAnsi="Times New Roman" w:eastAsia="宋体" w:cs="Times New Roman"/>
                <w:b w:val="0"/>
                <w:bCs w:val="0"/>
                <w:color w:val="000000"/>
                <w:kern w:val="2"/>
                <w:sz w:val="24"/>
                <w:szCs w:val="24"/>
                <w:u w:val="none"/>
                <w:lang w:val="en-US" w:eastAsia="zh-CN" w:bidi="ar-SA"/>
              </w:rPr>
            </w:pPr>
            <w:r>
              <w:rPr>
                <w:rFonts w:hint="eastAsia" w:ascii="Times New Roman" w:hAnsi="Times New Roman" w:eastAsia="宋体" w:cs="Times New Roman"/>
                <w:b w:val="0"/>
                <w:bCs w:val="0"/>
                <w:color w:val="000000"/>
                <w:kern w:val="2"/>
                <w:sz w:val="24"/>
                <w:szCs w:val="24"/>
                <w:u w:val="none"/>
                <w:lang w:val="en-US" w:eastAsia="zh-CN" w:bidi="ar-SA"/>
              </w:rPr>
              <w:t>综上所述，本项目建设符合河南省“两高”的政策要求。</w:t>
            </w:r>
          </w:p>
          <w:p>
            <w:pPr>
              <w:spacing w:line="360" w:lineRule="auto"/>
              <w:ind w:firstLine="500" w:firstLineChars="200"/>
              <w:rPr>
                <w:rFonts w:hint="default" w:ascii="Times New Roman" w:hAnsi="Times New Roman" w:eastAsia="宋体" w:cs="Times New Roman"/>
                <w:b/>
                <w:sz w:val="24"/>
                <w:szCs w:val="24"/>
                <w:u w:val="none"/>
              </w:rPr>
            </w:pPr>
            <w:r>
              <w:rPr>
                <w:rFonts w:hint="eastAsia" w:ascii="Times New Roman" w:hAnsi="Times New Roman" w:eastAsia="宋体" w:cs="Times New Roman"/>
                <w:b/>
                <w:sz w:val="24"/>
                <w:szCs w:val="24"/>
                <w:u w:val="none"/>
                <w:lang w:val="en-US" w:eastAsia="zh-CN"/>
              </w:rPr>
              <w:t>14、</w:t>
            </w:r>
            <w:r>
              <w:rPr>
                <w:rFonts w:hint="default" w:ascii="Times New Roman" w:hAnsi="Times New Roman" w:eastAsia="宋体" w:cs="Times New Roman"/>
                <w:b/>
                <w:sz w:val="24"/>
                <w:szCs w:val="24"/>
                <w:u w:val="none"/>
              </w:rPr>
              <w:t>项目与《河南省重污染天气通用行业应急减排措施制定技术指南》（2021年修订版）中涉VOCs企业基本要求相符性分析</w:t>
            </w:r>
          </w:p>
          <w:p>
            <w:pPr>
              <w:keepNext w:val="0"/>
              <w:keepLines w:val="0"/>
              <w:pageBreakBefore w:val="0"/>
              <w:suppressLineNumbers w:val="0"/>
              <w:kinsoku/>
              <w:wordWrap/>
              <w:overflowPunct/>
              <w:topLinePunct w:val="0"/>
              <w:bidi w:val="0"/>
              <w:adjustRightInd/>
              <w:snapToGrid/>
              <w:spacing w:beforeAutospacing="0" w:afterAutospacing="0" w:line="360" w:lineRule="auto"/>
              <w:ind w:left="0" w:right="0" w:firstLine="500" w:firstLineChars="200"/>
              <w:jc w:val="both"/>
              <w:textAlignment w:val="auto"/>
              <w:rPr>
                <w:rFonts w:hint="default" w:ascii="Times New Roman" w:hAnsi="Times New Roman" w:eastAsia="宋体" w:cs="Times New Roman"/>
                <w:bCs/>
                <w:sz w:val="24"/>
                <w:szCs w:val="24"/>
                <w:u w:val="none"/>
              </w:rPr>
            </w:pPr>
            <w:r>
              <w:rPr>
                <w:rFonts w:hint="default" w:ascii="Times New Roman" w:hAnsi="Times New Roman" w:eastAsia="宋体" w:cs="Times New Roman"/>
                <w:bCs/>
                <w:sz w:val="24"/>
                <w:szCs w:val="24"/>
                <w:u w:val="none"/>
              </w:rPr>
              <w:t>本项目主要进行再生塑料颗粒的生产，属于废弃资源综合利用业，经比对《重污染天气重点行业应急减排技术指南（2020年修订版）》和《河南省重污染天气重点行业应急减排措施制定技术指南（2021年修订版）》，本项目不属于国家、省绩效分级划定的重点行业。项目营运期废气污染因子主要为VOCs，绩效分级指标应满足《河南省重污染天气通用行业应急减排措施制定技术指南（2021年修订版）》中相关要求，具体相符性分析见下表。</w:t>
            </w:r>
          </w:p>
          <w:p>
            <w:pPr>
              <w:spacing w:line="276" w:lineRule="auto"/>
              <w:jc w:val="center"/>
              <w:rPr>
                <w:rFonts w:hint="default" w:ascii="Times New Roman" w:hAnsi="Times New Roman" w:eastAsia="宋体" w:cs="Times New Roman"/>
                <w:b/>
                <w:bCs/>
                <w:color w:val="auto"/>
                <w:sz w:val="24"/>
                <w:szCs w:val="24"/>
                <w:u w:val="none"/>
              </w:rPr>
            </w:pPr>
            <w:r>
              <w:rPr>
                <w:rFonts w:hint="default" w:ascii="Times New Roman" w:hAnsi="Times New Roman" w:eastAsia="宋体" w:cs="Times New Roman"/>
                <w:b/>
                <w:bCs/>
                <w:color w:val="auto"/>
                <w:sz w:val="24"/>
                <w:szCs w:val="24"/>
                <w:u w:val="none"/>
              </w:rPr>
              <w:t>表1-</w:t>
            </w:r>
            <w:r>
              <w:rPr>
                <w:rFonts w:hint="eastAsia" w:ascii="Times New Roman" w:hAnsi="Times New Roman" w:eastAsia="宋体" w:cs="Times New Roman"/>
                <w:b/>
                <w:bCs/>
                <w:color w:val="auto"/>
                <w:sz w:val="24"/>
                <w:szCs w:val="24"/>
                <w:u w:val="none"/>
                <w:lang w:val="en-US" w:eastAsia="zh-CN"/>
              </w:rPr>
              <w:t>10</w:t>
            </w:r>
            <w:r>
              <w:rPr>
                <w:rFonts w:hint="default" w:ascii="Times New Roman" w:hAnsi="Times New Roman" w:eastAsia="宋体" w:cs="Times New Roman"/>
                <w:b/>
                <w:bCs/>
                <w:color w:val="auto"/>
                <w:sz w:val="24"/>
                <w:szCs w:val="24"/>
                <w:u w:val="none"/>
              </w:rPr>
              <w:t xml:space="preserve"> 项目与《河南省重污染天气通用行业应急减排措施制定技术指南》中涉VOCs企业基本要求相符性分析一览表</w:t>
            </w:r>
          </w:p>
          <w:tbl>
            <w:tblPr>
              <w:tblStyle w:val="12"/>
              <w:tblW w:w="87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3810"/>
              <w:gridCol w:w="312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分类</w:t>
                  </w:r>
                </w:p>
              </w:tc>
              <w:tc>
                <w:tcPr>
                  <w:tcW w:w="381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基本要求</w:t>
                  </w:r>
                </w:p>
              </w:tc>
              <w:tc>
                <w:tcPr>
                  <w:tcW w:w="3120"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本项目建设</w:t>
                  </w:r>
                  <w:r>
                    <w:rPr>
                      <w:rFonts w:hint="default" w:ascii="Times New Roman" w:hAnsi="Times New Roman" w:eastAsia="宋体" w:cs="Times New Roman"/>
                      <w:bCs/>
                      <w:color w:val="000000" w:themeColor="text1"/>
                      <w:kern w:val="0"/>
                      <w:sz w:val="21"/>
                      <w:szCs w:val="21"/>
                      <w14:textFill>
                        <w14:solidFill>
                          <w14:schemeClr w14:val="tx1"/>
                        </w14:solidFill>
                      </w14:textFill>
                    </w:rPr>
                    <w:t>情况</w:t>
                  </w:r>
                </w:p>
              </w:tc>
              <w:tc>
                <w:tcPr>
                  <w:tcW w:w="9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45" w:type="dxa"/>
                  <w:gridSpan w:val="4"/>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color w:val="000000" w:themeColor="text1"/>
                      <w:kern w:val="0"/>
                      <w:sz w:val="21"/>
                      <w:szCs w:val="21"/>
                      <w:u w:val="none"/>
                      <w14:textFill>
                        <w14:solidFill>
                          <w14:schemeClr w14:val="tx1"/>
                        </w14:solidFill>
                      </w14:textFill>
                    </w:rPr>
                  </w:pPr>
                  <w:r>
                    <w:rPr>
                      <w:rFonts w:hint="default" w:ascii="Times New Roman" w:hAnsi="Times New Roman" w:eastAsia="宋体" w:cs="Times New Roman"/>
                      <w:bCs/>
                      <w:color w:val="000000" w:themeColor="text1"/>
                      <w:kern w:val="0"/>
                      <w:sz w:val="21"/>
                      <w:szCs w:val="21"/>
                      <w:u w:val="none"/>
                      <w14:textFill>
                        <w14:solidFill>
                          <w14:schemeClr w14:val="tx1"/>
                        </w14:solidFill>
                      </w14:textFill>
                    </w:rPr>
                    <w:t>涉VOCs企业基本要求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3"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21"/>
                      <w:szCs w:val="21"/>
                      <w:u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bidi="ar"/>
                      <w14:textFill>
                        <w14:solidFill>
                          <w14:schemeClr w14:val="tx1"/>
                        </w14:solidFill>
                      </w14:textFill>
                    </w:rPr>
                    <w:t>1.物料储存</w:t>
                  </w:r>
                </w:p>
              </w:tc>
              <w:tc>
                <w:tcPr>
                  <w:tcW w:w="3810" w:type="dxa"/>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涂料、稀释剂、清洗剂等原辅材料密闭存储。盛装过VOCs物料的包装容器、含VOCs废料（渣、液）、废吸附剂等通过加盖、封装等方式密闭储存；生产车间内涉VOCs物料应密闭储存。</w:t>
                  </w:r>
                </w:p>
              </w:tc>
              <w:tc>
                <w:tcPr>
                  <w:tcW w:w="3120" w:type="dxa"/>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本项目原料为</w:t>
                  </w:r>
                  <w:r>
                    <w:rPr>
                      <w:rFonts w:hint="eastAsia" w:ascii="Times New Roman" w:hAnsi="Times New Roman" w:eastAsia="宋体" w:cs="Times New Roman"/>
                      <w:color w:val="000000" w:themeColor="text1"/>
                      <w:sz w:val="21"/>
                      <w:szCs w:val="21"/>
                      <w:u w:val="none"/>
                      <w:lang w:eastAsia="zh-CN"/>
                      <w14:textFill>
                        <w14:solidFill>
                          <w14:schemeClr w14:val="tx1"/>
                        </w14:solidFill>
                      </w14:textFill>
                    </w:rPr>
                    <w:t>外购</w:t>
                  </w:r>
                  <w:r>
                    <w:rPr>
                      <w:rFonts w:hint="default" w:ascii="Times New Roman" w:hAnsi="Times New Roman" w:eastAsia="宋体" w:cs="Times New Roman"/>
                      <w:color w:val="000000" w:themeColor="text1"/>
                      <w:sz w:val="21"/>
                      <w:szCs w:val="21"/>
                      <w:u w:val="none"/>
                      <w14:textFill>
                        <w14:solidFill>
                          <w14:schemeClr w14:val="tx1"/>
                        </w14:solidFill>
                      </w14:textFill>
                    </w:rPr>
                    <w:t>的</w:t>
                  </w:r>
                  <w:r>
                    <w:rPr>
                      <w:rFonts w:hint="eastAsia" w:ascii="Times New Roman" w:hAnsi="Times New Roman" w:eastAsia="宋体" w:cs="Times New Roman"/>
                      <w:color w:val="000000" w:themeColor="text1"/>
                      <w:sz w:val="21"/>
                      <w:szCs w:val="21"/>
                      <w:u w:val="none"/>
                      <w:lang w:eastAsia="zh-CN"/>
                      <w14:textFill>
                        <w14:solidFill>
                          <w14:schemeClr w14:val="tx1"/>
                        </w14:solidFill>
                      </w14:textFill>
                    </w:rPr>
                    <w:t>干净</w:t>
                  </w:r>
                  <w:r>
                    <w:rPr>
                      <w:rFonts w:hint="default" w:ascii="Times New Roman" w:hAnsi="Times New Roman" w:eastAsia="宋体" w:cs="Times New Roman"/>
                      <w:color w:val="000000" w:themeColor="text1"/>
                      <w:sz w:val="21"/>
                      <w:szCs w:val="21"/>
                      <w:u w:val="none"/>
                      <w14:textFill>
                        <w14:solidFill>
                          <w14:schemeClr w14:val="tx1"/>
                        </w14:solidFill>
                      </w14:textFill>
                    </w:rPr>
                    <w:t>废塑料</w:t>
                  </w:r>
                  <w:r>
                    <w:rPr>
                      <w:rFonts w:hint="eastAsia" w:ascii="Times New Roman" w:hAnsi="Times New Roman" w:eastAsia="宋体" w:cs="Times New Roman"/>
                      <w:color w:val="000000" w:themeColor="text1"/>
                      <w:sz w:val="21"/>
                      <w:szCs w:val="21"/>
                      <w:u w:val="none"/>
                      <w:lang w:eastAsia="zh-CN"/>
                      <w14:textFill>
                        <w14:solidFill>
                          <w14:schemeClr w14:val="tx1"/>
                        </w14:solidFill>
                      </w14:textFill>
                    </w:rPr>
                    <w:t>片</w:t>
                  </w: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u w:val="none"/>
                      <w14:textFill>
                        <w14:solidFill>
                          <w14:schemeClr w14:val="tx1"/>
                        </w14:solidFill>
                      </w14:textFill>
                    </w:rPr>
                    <w:t>不涉及涂料、稀释剂、清洗剂等易挥发性原辅材料。</w:t>
                  </w:r>
                </w:p>
              </w:tc>
              <w:tc>
                <w:tcPr>
                  <w:tcW w:w="9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color w:val="000000" w:themeColor="text1"/>
                      <w:kern w:val="0"/>
                      <w:sz w:val="21"/>
                      <w:szCs w:val="21"/>
                      <w:u w:val="none"/>
                      <w14:textFill>
                        <w14:solidFill>
                          <w14:schemeClr w14:val="tx1"/>
                        </w14:solidFill>
                      </w14:textFill>
                    </w:rPr>
                  </w:pPr>
                  <w:r>
                    <w:rPr>
                      <w:rFonts w:hint="default" w:ascii="Times New Roman" w:hAnsi="Times New Roman" w:eastAsia="宋体" w:cs="Times New Roman"/>
                      <w:bCs/>
                      <w:color w:val="000000" w:themeColor="text1"/>
                      <w:kern w:val="0"/>
                      <w:sz w:val="21"/>
                      <w:szCs w:val="21"/>
                      <w:u w:val="none"/>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3"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21"/>
                      <w:szCs w:val="21"/>
                      <w:u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bidi="ar"/>
                      <w14:textFill>
                        <w14:solidFill>
                          <w14:schemeClr w14:val="tx1"/>
                        </w14:solidFill>
                      </w14:textFill>
                    </w:rPr>
                    <w:t>2.物料转移和输送</w:t>
                  </w:r>
                </w:p>
              </w:tc>
              <w:tc>
                <w:tcPr>
                  <w:tcW w:w="3810" w:type="dxa"/>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采用密闭管道或密闭容器等输送。</w:t>
                  </w:r>
                </w:p>
              </w:tc>
              <w:tc>
                <w:tcPr>
                  <w:tcW w:w="3120" w:type="dxa"/>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本项目不涉及易挥发性原辅材料。</w:t>
                  </w:r>
                </w:p>
              </w:tc>
              <w:tc>
                <w:tcPr>
                  <w:tcW w:w="9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color w:val="000000" w:themeColor="text1"/>
                      <w:kern w:val="0"/>
                      <w:sz w:val="21"/>
                      <w:szCs w:val="21"/>
                      <w:u w:val="none"/>
                      <w14:textFill>
                        <w14:solidFill>
                          <w14:schemeClr w14:val="tx1"/>
                        </w14:solidFill>
                      </w14:textFill>
                    </w:rPr>
                  </w:pPr>
                  <w:r>
                    <w:rPr>
                      <w:rFonts w:hint="default" w:ascii="Times New Roman" w:hAnsi="Times New Roman" w:eastAsia="宋体" w:cs="Times New Roman"/>
                      <w:bCs/>
                      <w:color w:val="000000" w:themeColor="text1"/>
                      <w:kern w:val="0"/>
                      <w:sz w:val="21"/>
                      <w:szCs w:val="21"/>
                      <w:u w:val="none"/>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3"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kern w:val="0"/>
                      <w:sz w:val="21"/>
                      <w:szCs w:val="21"/>
                      <w:u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bidi="ar"/>
                      <w14:textFill>
                        <w14:solidFill>
                          <w14:schemeClr w14:val="tx1"/>
                        </w14:solidFill>
                      </w14:textFill>
                    </w:rPr>
                    <w:t>3.工艺过程</w:t>
                  </w:r>
                </w:p>
              </w:tc>
              <w:tc>
                <w:tcPr>
                  <w:tcW w:w="3810" w:type="dxa"/>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原辅材料调配、使用（施胶、喷涂、干燥等）、回收等过程采用密闭设备或在密闭空间内操作。</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涉VOCs原料装卸、储存、转移和输送、工艺过程等环节的废气全部收集引至VOCs处理系统。</w:t>
                  </w:r>
                </w:p>
              </w:tc>
              <w:tc>
                <w:tcPr>
                  <w:tcW w:w="3120" w:type="dxa"/>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本项目不涉及易挥发VOC</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s</w:t>
                  </w:r>
                  <w:r>
                    <w:rPr>
                      <w:rFonts w:hint="default" w:ascii="Times New Roman" w:hAnsi="Times New Roman" w:eastAsia="宋体" w:cs="Times New Roman"/>
                      <w:color w:val="000000" w:themeColor="text1"/>
                      <w:sz w:val="21"/>
                      <w:szCs w:val="21"/>
                      <w:u w:val="none"/>
                      <w14:textFill>
                        <w14:solidFill>
                          <w14:schemeClr w14:val="tx1"/>
                        </w14:solidFill>
                      </w14:textFill>
                    </w:rPr>
                    <w:t>原辅材料。生产过程中产生的有机废气经集气装置收集后引至1套旋流式喷淋塔+除湿干燥装置+UV光氧催化设备+活性炭吸附装置处理后引至1根15m高排气筒排放，废气可实现达标排放。</w:t>
                  </w:r>
                </w:p>
              </w:tc>
              <w:tc>
                <w:tcPr>
                  <w:tcW w:w="9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color w:val="000000" w:themeColor="text1"/>
                      <w:kern w:val="0"/>
                      <w:sz w:val="21"/>
                      <w:szCs w:val="21"/>
                      <w:u w:val="none"/>
                      <w14:textFill>
                        <w14:solidFill>
                          <w14:schemeClr w14:val="tx1"/>
                        </w14:solidFill>
                      </w14:textFill>
                    </w:rPr>
                  </w:pPr>
                  <w:r>
                    <w:rPr>
                      <w:rFonts w:hint="default" w:ascii="Times New Roman" w:hAnsi="Times New Roman" w:eastAsia="宋体" w:cs="Times New Roman"/>
                      <w:bCs/>
                      <w:color w:val="000000" w:themeColor="text1"/>
                      <w:kern w:val="0"/>
                      <w:sz w:val="21"/>
                      <w:szCs w:val="21"/>
                      <w:u w:val="none"/>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45" w:type="dxa"/>
                  <w:gridSpan w:val="4"/>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color w:val="000000" w:themeColor="text1"/>
                      <w:kern w:val="0"/>
                      <w:sz w:val="21"/>
                      <w:szCs w:val="21"/>
                      <w:u w:val="none"/>
                      <w14:textFill>
                        <w14:solidFill>
                          <w14:schemeClr w14:val="tx1"/>
                        </w14:solidFill>
                      </w14:textFill>
                    </w:rPr>
                  </w:pPr>
                  <w:r>
                    <w:rPr>
                      <w:rFonts w:hint="default" w:ascii="Times New Roman" w:hAnsi="Times New Roman" w:eastAsia="宋体" w:cs="Times New Roman"/>
                      <w:bCs/>
                      <w:color w:val="000000" w:themeColor="text1"/>
                      <w:kern w:val="0"/>
                      <w:sz w:val="21"/>
                      <w:szCs w:val="21"/>
                      <w:u w:val="none"/>
                      <w14:textFill>
                        <w14:solidFill>
                          <w14:schemeClr w14:val="tx1"/>
                        </w14:solidFill>
                      </w14:textFill>
                    </w:rPr>
                    <w:t>其他基本要求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运输</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方式</w:t>
                  </w:r>
                </w:p>
              </w:tc>
              <w:tc>
                <w:tcPr>
                  <w:tcW w:w="3810" w:type="dxa"/>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①公路运输。物料公路运输使用达到国五及以上排放标准重 型载货车辆（重型燃气车辆达到国六排放标准）或新能源车辆比例（A级100%，B级不低于80%），其他车辆达到国四排放标准（重型燃气车辆达到国五及以上排放标准）；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②厂内运输车辆。达到国五及以上排放标准（重型燃气车辆达到国六排放标准）或使用新能源车辆的比例（A级100%，B级不低于80%），其他车辆达到国四排放标准（重型燃气车辆达到国五及以上排放标准）；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③危险品及危废运输。国五及以上或新能源车辆（A级/B级100%）；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④厂内非道路移动机械。国三及以上排放标准或使用新能源机械（A 级/B级100%）。</w:t>
                  </w:r>
                </w:p>
              </w:tc>
              <w:tc>
                <w:tcPr>
                  <w:tcW w:w="3120" w:type="dxa"/>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评价要求企业使用运输车辆均为国标车辆；企业使用的非道路移动机械可达到国三及以上排放标准。</w:t>
                  </w:r>
                </w:p>
              </w:tc>
              <w:tc>
                <w:tcPr>
                  <w:tcW w:w="9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color w:val="000000" w:themeColor="text1"/>
                      <w:kern w:val="0"/>
                      <w:sz w:val="21"/>
                      <w:szCs w:val="21"/>
                      <w:u w:val="none"/>
                      <w14:textFill>
                        <w14:solidFill>
                          <w14:schemeClr w14:val="tx1"/>
                        </w14:solidFill>
                      </w14:textFill>
                    </w:rPr>
                  </w:pPr>
                  <w:r>
                    <w:rPr>
                      <w:rFonts w:hint="default" w:ascii="Times New Roman" w:hAnsi="Times New Roman" w:eastAsia="宋体" w:cs="Times New Roman"/>
                      <w:bCs/>
                      <w:color w:val="000000" w:themeColor="text1"/>
                      <w:kern w:val="0"/>
                      <w:sz w:val="21"/>
                      <w:szCs w:val="21"/>
                      <w:u w:val="none"/>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环境管理水平</w:t>
                  </w:r>
                </w:p>
              </w:tc>
              <w:tc>
                <w:tcPr>
                  <w:tcW w:w="3810" w:type="dxa"/>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（1）环保档案资料齐全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①环评批复文件和竣工验收文件/现状评估文件；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②废气治理设施运行管理规程；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③一年内废气监测报告；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④国家版排污许可证，并按要求开展自行监测和信息披露，有规范的排气筒监测平台和排污口标识。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（2）台账记录信息完整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①生产设施运行管理信息（生产时间、运行负荷、产品产量等）；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②废气污染治理设施运行管理信息（除尘滤料、活性炭等更换量和时间）；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③监测记录信息（主要污染排放口废气排放记录（手工监测和在线监测）等）；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④主要原辅材料、燃料消耗记录（A、B级企业必需）；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⑤电消耗记录（已安装用电监管设备的A、B级企业必需）。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（3）人员配置合理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配备专/兼职环保人员，并具备相应的环境管理能力（学历、培训、从业经验等）。</w:t>
                  </w:r>
                </w:p>
              </w:tc>
              <w:tc>
                <w:tcPr>
                  <w:tcW w:w="3120" w:type="dxa"/>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企业正在完善环保文件，并建立健全环境管理制度配备环境管理人员。</w:t>
                  </w:r>
                </w:p>
              </w:tc>
              <w:tc>
                <w:tcPr>
                  <w:tcW w:w="9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13"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其他控制要求</w:t>
                  </w:r>
                </w:p>
              </w:tc>
              <w:tc>
                <w:tcPr>
                  <w:tcW w:w="3810" w:type="dxa"/>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（1）生产工艺和装备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不属于《产业结构调整指导目录（2019年版）》淘汰类，不属于省级和市级政府部门明确列入已经限期淘汰类项目。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（2）污染治理副产物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除尘器应设置密闭灰仓并及时卸灰，除尘灰应通过气力输送、罐车、袋子等封闭方式卸灰，不得直接卸落到地面。除尘灰如果转运应采用气力输送、封闭传送带方式，如果直接外运应采用罐车或袋装后运输，并在装车过程中采取抑尘措施，除尘灰在厂区内应密闭/封闭储存；脱硫石膏和脱硫废渣等固体废物在转 运过程中应采取抑尘措施并应封闭储存。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（3）用电量/视频监管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按照《河南省涉气排污单位污染治理设施用电监管技术指南（试行）》要求安装用电监管设备（有自动在线监控系统的企业除外），用电监管数据直接上传至省、市生态环境部门的污染治理设施用电监管平台服务器；未安装自动在线监控和用电量监管拟申报A、B级企业，应在主要生产设备（投料口、卸料口等位置）安装视频监控设施，相关数据保存三个月以上。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（4）厂容厂貌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厂区内道路、原辅材料和燃料堆场等路面应硬化。厂区内道路采取定期清扫、洒水等措施，保持清洁，路面无明显可见积尘。 </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 xml:space="preserve">其他未利用地优先绿化，或进行硬化，无成片裸露土地。 </w:t>
                  </w:r>
                </w:p>
              </w:tc>
              <w:tc>
                <w:tcPr>
                  <w:tcW w:w="3120" w:type="dxa"/>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经</w:t>
                  </w:r>
                  <w:r>
                    <w:rPr>
                      <w:rFonts w:hint="default" w:ascii="Times New Roman" w:hAnsi="Times New Roman" w:eastAsia="宋体" w:cs="Times New Roman"/>
                      <w:color w:val="000000" w:themeColor="text1"/>
                      <w:sz w:val="21"/>
                      <w:szCs w:val="21"/>
                      <w:u w:val="none"/>
                      <w14:textFill>
                        <w14:solidFill>
                          <w14:schemeClr w14:val="tx1"/>
                        </w14:solidFill>
                      </w14:textFill>
                    </w:rPr>
                    <w:t>比对《产业结构调整指导目录（20</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u w:val="none"/>
                      <w14:textFill>
                        <w14:solidFill>
                          <w14:schemeClr w14:val="tx1"/>
                        </w14:solidFill>
                      </w14:textFill>
                    </w:rPr>
                    <w:t>年版）》，本项目属于允许类</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u w:val="none"/>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评价要求企业正式运营后按照《河南省涉气排污单位污染治理设施用电监管技术指南（试行）》要求安装用电监管等设备；</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评价要求企业</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运输</w:t>
                  </w:r>
                  <w:r>
                    <w:rPr>
                      <w:rFonts w:hint="default" w:ascii="Times New Roman" w:hAnsi="Times New Roman" w:eastAsia="宋体" w:cs="Times New Roman"/>
                      <w:color w:val="000000" w:themeColor="text1"/>
                      <w:sz w:val="21"/>
                      <w:szCs w:val="21"/>
                      <w:u w:val="none"/>
                      <w14:textFill>
                        <w14:solidFill>
                          <w14:schemeClr w14:val="tx1"/>
                        </w14:solidFill>
                      </w14:textFill>
                    </w:rPr>
                    <w:t>道路全部进行硬化，并定期清扫，洒水抑尘。</w:t>
                  </w:r>
                </w:p>
              </w:tc>
              <w:tc>
                <w:tcPr>
                  <w:tcW w:w="902"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相符</w:t>
                  </w:r>
                </w:p>
              </w:tc>
            </w:tr>
          </w:tbl>
          <w:p>
            <w:pPr>
              <w:tabs>
                <w:tab w:val="left" w:pos="705"/>
              </w:tabs>
              <w:spacing w:line="360" w:lineRule="auto"/>
              <w:ind w:firstLine="375" w:firstLineChars="150"/>
              <w:rPr>
                <w:rFonts w:hint="default" w:ascii="Times New Roman" w:hAnsi="Times New Roman" w:eastAsia="宋体" w:cs="Times New Roman"/>
                <w:color w:val="auto"/>
                <w:sz w:val="24"/>
                <w:szCs w:val="24"/>
              </w:rPr>
            </w:pPr>
            <w:r>
              <w:rPr>
                <w:rFonts w:hint="default" w:ascii="Times New Roman" w:hAnsi="Times New Roman" w:eastAsia="宋体" w:cs="Times New Roman"/>
                <w:kern w:val="0"/>
                <w:sz w:val="24"/>
                <w:szCs w:val="24"/>
              </w:rPr>
              <w:t>综上所述，本项目建设符合《河南省重污染天气通用行业应急减排措施制定技术指南》（2021年修订版）中涉VOCs企业基本要求。</w:t>
            </w:r>
          </w:p>
          <w:p>
            <w:pPr>
              <w:tabs>
                <w:tab w:val="left" w:pos="705"/>
              </w:tabs>
              <w:spacing w:line="360" w:lineRule="auto"/>
              <w:ind w:firstLine="500" w:firstLineChars="200"/>
              <w:rPr>
                <w:rFonts w:hint="default" w:ascii="Times New Roman" w:hAnsi="Times New Roman" w:eastAsia="宋体" w:cs="Times New Roman"/>
                <w:b/>
                <w:bCs/>
                <w:kern w:val="0"/>
                <w:sz w:val="24"/>
                <w:szCs w:val="24"/>
              </w:rPr>
            </w:pPr>
            <w:r>
              <w:rPr>
                <w:rFonts w:hint="eastAsia" w:ascii="Times New Roman" w:hAnsi="Times New Roman" w:eastAsia="宋体" w:cs="Times New Roman"/>
                <w:b/>
                <w:bCs/>
                <w:sz w:val="24"/>
                <w:szCs w:val="24"/>
                <w:u w:val="none"/>
                <w:lang w:val="en-US" w:eastAsia="zh-CN"/>
              </w:rPr>
              <w:t>15</w:t>
            </w:r>
            <w:r>
              <w:rPr>
                <w:rFonts w:hint="default" w:ascii="Times New Roman" w:hAnsi="Times New Roman" w:eastAsia="宋体" w:cs="Times New Roman"/>
                <w:b/>
                <w:bCs/>
                <w:kern w:val="0"/>
                <w:sz w:val="24"/>
                <w:szCs w:val="24"/>
              </w:rPr>
              <w:t>、“三线一单”符合性分析</w:t>
            </w:r>
          </w:p>
          <w:p>
            <w:pPr>
              <w:tabs>
                <w:tab w:val="left" w:pos="705"/>
              </w:tabs>
              <w:spacing w:line="360" w:lineRule="auto"/>
              <w:ind w:firstLine="375"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根据关于印发《南阳市“三线一单”生态环境分区管控准入清单（试行）》宛环函[2021]37号的函，生态环境分区管控主要内容有：</w:t>
            </w:r>
          </w:p>
          <w:p>
            <w:pPr>
              <w:tabs>
                <w:tab w:val="left" w:pos="705"/>
              </w:tabs>
              <w:spacing w:line="360" w:lineRule="auto"/>
              <w:ind w:firstLine="375"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（一）划分生态环境管控单元</w:t>
            </w:r>
          </w:p>
          <w:p>
            <w:pPr>
              <w:tabs>
                <w:tab w:val="left" w:pos="705"/>
              </w:tabs>
              <w:spacing w:line="360" w:lineRule="auto"/>
              <w:ind w:firstLine="375"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按照生态保护红线、环境质量底线、资源利用上线等相关要求，划定全省优先保护单元、重点管控单元和一般管控单元三类生态环境管控单元，并实施分类管控。</w:t>
            </w:r>
          </w:p>
          <w:p>
            <w:pPr>
              <w:tabs>
                <w:tab w:val="left" w:pos="705"/>
              </w:tabs>
              <w:spacing w:line="360" w:lineRule="auto"/>
              <w:ind w:firstLine="375"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优先保护单元。指具有一定生态功能、以生态环境保护为主的区域。突出空间用途管控，以生态环境保护优先为原则，依法禁止或限制有关开发建设活动，优先开展生态保护修复，提高生态系统服务功能，确保生态环境功能不降低。</w:t>
            </w:r>
          </w:p>
          <w:p>
            <w:pPr>
              <w:tabs>
                <w:tab w:val="left" w:pos="705"/>
              </w:tabs>
              <w:spacing w:line="360" w:lineRule="auto"/>
              <w:ind w:firstLine="375"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重点管控单元。指人口密集、资源开发强度较大、污染物排放强度相对较高的区域。主要推动空间布局优化和产业结构转型升级，深化污染治理，提高资源利用效率，减少污染物排放，防控生态环境风险，守住环境质量底线。</w:t>
            </w:r>
          </w:p>
          <w:p>
            <w:pPr>
              <w:tabs>
                <w:tab w:val="left" w:pos="705"/>
              </w:tabs>
              <w:spacing w:line="360" w:lineRule="auto"/>
              <w:ind w:firstLine="375"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—一般管控单元。指除优先保护单元、重点管控单元以外的其他区域。主要落实生态环境保护的基本要求，生态环境状况得到保持或优化。</w:t>
            </w:r>
          </w:p>
          <w:p>
            <w:pPr>
              <w:tabs>
                <w:tab w:val="left" w:pos="705"/>
              </w:tabs>
              <w:spacing w:line="360" w:lineRule="auto"/>
              <w:ind w:firstLine="375"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二）制定生态环境准入清单。基于生态环境管控单元，统筹考虑生态保护红线、环境质量底线、资源利用上线等要求，从优化空间布局、管控污染物排放、防控生态环境风险、提高资源利用效率等方面提出管控要求，分类制定生态环境准入清单。</w:t>
            </w:r>
          </w:p>
          <w:p>
            <w:pPr>
              <w:tabs>
                <w:tab w:val="left" w:pos="705"/>
              </w:tabs>
              <w:spacing w:line="360" w:lineRule="auto"/>
              <w:ind w:firstLine="375"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（1）与生态保护红线相符性分析</w:t>
            </w:r>
          </w:p>
          <w:p>
            <w:pPr>
              <w:tabs>
                <w:tab w:val="left" w:pos="705"/>
              </w:tabs>
              <w:spacing w:line="360" w:lineRule="auto"/>
              <w:ind w:firstLine="375"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需依法在重点生态功能区、生态环境敏感区和脆弱区等区域划定的严格管控边界，是国家和区域生态安全的底线，对于维护生态安全格局、保障生态服务功能、支撑经济社会可持续发展具有重要作用。</w:t>
            </w:r>
          </w:p>
          <w:p>
            <w:pPr>
              <w:tabs>
                <w:tab w:val="left" w:pos="705"/>
              </w:tabs>
              <w:spacing w:line="360" w:lineRule="auto"/>
              <w:ind w:firstLine="375"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该项目选址位于</w:t>
            </w:r>
            <w:r>
              <w:rPr>
                <w:rFonts w:hint="default" w:ascii="Times New Roman" w:hAnsi="Times New Roman" w:eastAsia="宋体" w:cs="Times New Roman"/>
                <w:kern w:val="0"/>
                <w:sz w:val="24"/>
                <w:szCs w:val="24"/>
                <w:lang w:eastAsia="zh-CN"/>
              </w:rPr>
              <w:t>南阳市方城县广阳镇后寨168号</w:t>
            </w:r>
            <w:r>
              <w:rPr>
                <w:rFonts w:hint="default" w:ascii="Times New Roman" w:hAnsi="Times New Roman" w:eastAsia="宋体" w:cs="Times New Roman"/>
                <w:kern w:val="0"/>
                <w:sz w:val="24"/>
                <w:szCs w:val="24"/>
              </w:rPr>
              <w:t>，根据《河南省生态保护红线划定方案》和《南阳市生态保护红线划定方案》，本项目不占用生态红线区内用地，周边亦无生态保护红线。同时项目厂址不涉及自然保护区、风景名胜区、生态敏感区及水源地等环境保护敏感目标；符合相关规范、标准要求。因此，本项目不在南阳市生态保护红线保护范围内，本项目的建设符合生态保护红线的要求。</w:t>
            </w:r>
          </w:p>
          <w:p>
            <w:pPr>
              <w:tabs>
                <w:tab w:val="left" w:pos="705"/>
              </w:tabs>
              <w:spacing w:line="360" w:lineRule="auto"/>
              <w:ind w:firstLine="375"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（2）与环境质量底线相符性分析</w:t>
            </w:r>
          </w:p>
          <w:p>
            <w:pPr>
              <w:tabs>
                <w:tab w:val="left" w:pos="705"/>
              </w:tabs>
              <w:spacing w:line="360" w:lineRule="auto"/>
              <w:ind w:firstLine="375"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tabs>
                <w:tab w:val="left" w:pos="705"/>
              </w:tabs>
              <w:spacing w:line="360" w:lineRule="auto"/>
              <w:ind w:firstLine="625" w:firstLineChars="2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根据《2022年河南省南阳市生态环境质量报告书》中数据，</w:t>
            </w:r>
            <w:r>
              <w:rPr>
                <w:rFonts w:hint="eastAsia" w:ascii="Times New Roman" w:hAnsi="Times New Roman" w:eastAsia="宋体" w:cs="Times New Roman"/>
                <w:kern w:val="0"/>
                <w:sz w:val="24"/>
                <w:szCs w:val="24"/>
                <w:lang w:eastAsia="zh-CN"/>
              </w:rPr>
              <w:t>方城县</w:t>
            </w:r>
            <w:r>
              <w:rPr>
                <w:rFonts w:hint="default" w:ascii="Times New Roman" w:hAnsi="Times New Roman" w:eastAsia="宋体" w:cs="Times New Roman"/>
                <w:kern w:val="0"/>
                <w:sz w:val="24"/>
                <w:szCs w:val="24"/>
              </w:rPr>
              <w:t>为环境空气质量为不达标区。针对环境空气质量不达标的情况，近年来</w:t>
            </w:r>
            <w:r>
              <w:rPr>
                <w:rFonts w:hint="eastAsia" w:ascii="Times New Roman" w:hAnsi="Times New Roman" w:eastAsia="宋体" w:cs="Times New Roman"/>
                <w:kern w:val="0"/>
                <w:sz w:val="24"/>
                <w:szCs w:val="24"/>
                <w:lang w:eastAsia="zh-CN"/>
              </w:rPr>
              <w:t>方城县</w:t>
            </w:r>
            <w:r>
              <w:rPr>
                <w:rFonts w:hint="default" w:ascii="Times New Roman" w:hAnsi="Times New Roman" w:eastAsia="宋体" w:cs="Times New Roman"/>
                <w:kern w:val="0"/>
                <w:sz w:val="24"/>
                <w:szCs w:val="24"/>
              </w:rPr>
              <w:t>已按照《南阳市2023年蓝天保卫战实施方案》（宛环委办[2023]20号）、《关于印发河南省深入打好秋冬季重污染天气消除、夏季臭氧污染防治和柴油货车污染治理攻坚战行动方案的通知》（豫环委办[2023]3号）等文件相关要求，通过实施清新空气运动，加强物料堆场、施工工地等管理，切实减少细颗粒物产生及排放，改善当地环境质量，区域空气质量将逐渐转好。</w:t>
            </w:r>
          </w:p>
          <w:p>
            <w:pPr>
              <w:tabs>
                <w:tab w:val="left" w:pos="705"/>
              </w:tabs>
              <w:spacing w:line="360" w:lineRule="auto"/>
              <w:ind w:firstLine="625" w:firstLineChars="2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环境质量现状调查资料，本项目所在区域除环境空气为不达标区外，其他环境要素的环境质量现状均可满足相应功能区划要求。该项目建设后会产生一定的污染物，如废气、废水、固体废物、生产设备运行产生的噪声等。项目建成营运后根据《南阳市2023年蓝天保卫战实施方案》（宛环委办[2023]20号）要求，强化项目环评及“三同时”管理，并根据后文分析，本项目运营后不会降低区域环境空气质量现状。本项目污染物产生量较小，并配套环保治理措施，达标排放，不会改变区域环境质量等级，符合环境质量底线要求。</w:t>
            </w:r>
          </w:p>
          <w:p>
            <w:pPr>
              <w:tabs>
                <w:tab w:val="left" w:pos="705"/>
              </w:tabs>
              <w:spacing w:line="360" w:lineRule="auto"/>
              <w:ind w:firstLine="375"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（3）与资源利用上线相符性分析</w:t>
            </w:r>
          </w:p>
          <w:p>
            <w:pPr>
              <w:tabs>
                <w:tab w:val="left" w:pos="705"/>
              </w:tabs>
              <w:spacing w:line="360" w:lineRule="auto"/>
              <w:ind w:firstLine="375"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资源是环境的载体，“资源利用上线”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tabs>
                <w:tab w:val="left" w:pos="705"/>
              </w:tabs>
              <w:spacing w:line="360" w:lineRule="auto"/>
              <w:ind w:firstLine="50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项目生产过程中使用的资源主要为水和电，水由厂区自备井供给；电由</w:t>
            </w:r>
            <w:r>
              <w:rPr>
                <w:rFonts w:hint="eastAsia" w:ascii="Times New Roman" w:hAnsi="Times New Roman" w:eastAsia="宋体" w:cs="Times New Roman"/>
                <w:kern w:val="0"/>
                <w:sz w:val="24"/>
                <w:szCs w:val="24"/>
                <w:lang w:eastAsia="zh-CN"/>
              </w:rPr>
              <w:t>方城县广阳镇</w:t>
            </w:r>
            <w:r>
              <w:rPr>
                <w:rFonts w:hint="default" w:ascii="Times New Roman" w:hAnsi="Times New Roman" w:eastAsia="宋体" w:cs="Times New Roman"/>
                <w:kern w:val="0"/>
                <w:sz w:val="24"/>
                <w:szCs w:val="24"/>
              </w:rPr>
              <w:t>供电系统提供；项目建设土地不涉及基本农田，土地资源消耗符合要求。因此，</w:t>
            </w:r>
            <w:r>
              <w:rPr>
                <w:rFonts w:hint="eastAsia" w:ascii="Times New Roman" w:hAnsi="Times New Roman" w:eastAsia="宋体" w:cs="Times New Roman"/>
                <w:kern w:val="0"/>
                <w:sz w:val="24"/>
                <w:szCs w:val="24"/>
                <w:lang w:eastAsia="zh-CN"/>
              </w:rPr>
              <w:t>项目</w:t>
            </w:r>
            <w:r>
              <w:rPr>
                <w:rFonts w:hint="default" w:ascii="Times New Roman" w:hAnsi="Times New Roman" w:eastAsia="宋体" w:cs="Times New Roman"/>
                <w:kern w:val="0"/>
                <w:sz w:val="24"/>
                <w:szCs w:val="24"/>
              </w:rPr>
              <w:t>符合资源利用上线要求。</w:t>
            </w:r>
          </w:p>
          <w:p>
            <w:pPr>
              <w:tabs>
                <w:tab w:val="left" w:pos="705"/>
              </w:tabs>
              <w:spacing w:line="360" w:lineRule="auto"/>
              <w:ind w:firstLine="375" w:firstLineChars="15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（4）与环境准入负面清单相符性分析</w:t>
            </w:r>
          </w:p>
          <w:p>
            <w:pPr>
              <w:tabs>
                <w:tab w:val="left" w:pos="705"/>
              </w:tabs>
              <w:spacing w:line="360" w:lineRule="auto"/>
              <w:ind w:firstLine="375" w:firstLineChars="150"/>
              <w:rPr>
                <w:rFonts w:hint="default" w:ascii="Times New Roman" w:hAnsi="Times New Roman" w:eastAsia="宋体" w:cs="Times New Roman"/>
                <w:kern w:val="0"/>
                <w:sz w:val="24"/>
                <w:szCs w:val="24"/>
                <w:u w:val="none"/>
              </w:rPr>
            </w:pPr>
            <w:r>
              <w:rPr>
                <w:rFonts w:hint="default" w:ascii="Times New Roman" w:hAnsi="Times New Roman" w:eastAsia="宋体" w:cs="Times New Roman"/>
                <w:kern w:val="0"/>
                <w:sz w:val="24"/>
                <w:szCs w:val="24"/>
                <w:u w:val="none"/>
              </w:rPr>
              <w:t>项目建设与南阳市</w:t>
            </w:r>
            <w:r>
              <w:rPr>
                <w:rFonts w:hint="eastAsia" w:ascii="Times New Roman" w:hAnsi="Times New Roman" w:eastAsia="宋体" w:cs="Times New Roman"/>
                <w:kern w:val="0"/>
                <w:sz w:val="24"/>
                <w:szCs w:val="24"/>
                <w:u w:val="none"/>
                <w:lang w:eastAsia="zh-CN"/>
              </w:rPr>
              <w:t>方城县大气重点单元</w:t>
            </w:r>
            <w:r>
              <w:rPr>
                <w:rFonts w:hint="default" w:ascii="Times New Roman" w:hAnsi="Times New Roman" w:eastAsia="宋体" w:cs="Times New Roman"/>
                <w:kern w:val="0"/>
                <w:sz w:val="24"/>
                <w:szCs w:val="24"/>
                <w:u w:val="none"/>
              </w:rPr>
              <w:t>相符性分析见表1-</w:t>
            </w:r>
            <w:r>
              <w:rPr>
                <w:rFonts w:hint="eastAsia" w:ascii="Times New Roman" w:hAnsi="Times New Roman" w:eastAsia="宋体" w:cs="Times New Roman"/>
                <w:kern w:val="0"/>
                <w:sz w:val="24"/>
                <w:szCs w:val="24"/>
                <w:u w:val="none"/>
                <w:lang w:val="en-US" w:eastAsia="zh-CN"/>
              </w:rPr>
              <w:t>11</w:t>
            </w:r>
            <w:r>
              <w:rPr>
                <w:rFonts w:hint="default" w:ascii="Times New Roman" w:hAnsi="Times New Roman" w:eastAsia="宋体" w:cs="Times New Roman"/>
                <w:kern w:val="0"/>
                <w:sz w:val="24"/>
                <w:szCs w:val="24"/>
                <w:u w:val="none"/>
              </w:rPr>
              <w:t>。</w:t>
            </w:r>
          </w:p>
          <w:p>
            <w:pPr>
              <w:tabs>
                <w:tab w:val="left" w:pos="705"/>
              </w:tabs>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kern w:val="0"/>
                <w:sz w:val="24"/>
                <w:szCs w:val="24"/>
                <w:u w:val="none"/>
              </w:rPr>
              <w:t>表1-</w:t>
            </w:r>
            <w:r>
              <w:rPr>
                <w:rFonts w:hint="eastAsia" w:ascii="Times New Roman" w:hAnsi="Times New Roman" w:eastAsia="宋体" w:cs="Times New Roman"/>
                <w:b/>
                <w:bCs/>
                <w:kern w:val="0"/>
                <w:sz w:val="24"/>
                <w:szCs w:val="24"/>
                <w:u w:val="none"/>
                <w:lang w:val="en-US" w:eastAsia="zh-CN"/>
              </w:rPr>
              <w:t>11</w:t>
            </w:r>
            <w:r>
              <w:rPr>
                <w:rFonts w:hint="default" w:ascii="Times New Roman" w:hAnsi="Times New Roman" w:eastAsia="宋体" w:cs="Times New Roman"/>
                <w:b/>
                <w:bCs/>
                <w:kern w:val="0"/>
                <w:sz w:val="24"/>
                <w:szCs w:val="24"/>
                <w:u w:val="none"/>
              </w:rPr>
              <w:t xml:space="preserve"> 项目建设与南阳市</w:t>
            </w:r>
            <w:r>
              <w:rPr>
                <w:rFonts w:hint="eastAsia" w:ascii="Times New Roman" w:hAnsi="Times New Roman" w:eastAsia="宋体" w:cs="Times New Roman"/>
                <w:b/>
                <w:bCs/>
                <w:kern w:val="0"/>
                <w:sz w:val="24"/>
                <w:szCs w:val="24"/>
                <w:u w:val="none"/>
                <w:lang w:eastAsia="zh-CN"/>
              </w:rPr>
              <w:t>方城县大气重点单元</w:t>
            </w:r>
            <w:r>
              <w:rPr>
                <w:rFonts w:hint="default" w:ascii="Times New Roman" w:hAnsi="Times New Roman" w:eastAsia="宋体" w:cs="Times New Roman"/>
                <w:b/>
                <w:bCs/>
                <w:kern w:val="0"/>
                <w:sz w:val="24"/>
                <w:szCs w:val="24"/>
                <w:u w:val="none"/>
              </w:rPr>
              <w:t>相符性分析</w:t>
            </w:r>
          </w:p>
          <w:tbl>
            <w:tblPr>
              <w:tblStyle w:val="11"/>
              <w:tblW w:w="87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8"/>
              <w:gridCol w:w="400"/>
              <w:gridCol w:w="475"/>
              <w:gridCol w:w="425"/>
              <w:gridCol w:w="4414"/>
              <w:gridCol w:w="2186"/>
              <w:gridCol w:w="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jc w:val="center"/>
              </w:trPr>
              <w:tc>
                <w:tcPr>
                  <w:tcW w:w="488" w:type="dxa"/>
                  <w:vMerge w:val="restart"/>
                  <w:vAlign w:val="center"/>
                </w:tcPr>
                <w:p>
                  <w:pPr>
                    <w:pStyle w:val="14"/>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环境管控单元编码</w:t>
                  </w:r>
                </w:p>
              </w:tc>
              <w:tc>
                <w:tcPr>
                  <w:tcW w:w="400" w:type="dxa"/>
                  <w:vMerge w:val="restart"/>
                  <w:vAlign w:val="center"/>
                </w:tcPr>
                <w:p>
                  <w:pPr>
                    <w:pStyle w:val="14"/>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环境管控单元名称</w:t>
                  </w:r>
                </w:p>
              </w:tc>
              <w:tc>
                <w:tcPr>
                  <w:tcW w:w="475" w:type="dxa"/>
                  <w:vMerge w:val="restart"/>
                  <w:vAlign w:val="center"/>
                </w:tcPr>
                <w:p>
                  <w:pPr>
                    <w:pStyle w:val="14"/>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管控单元分类</w:t>
                  </w:r>
                </w:p>
              </w:tc>
              <w:tc>
                <w:tcPr>
                  <w:tcW w:w="4839" w:type="dxa"/>
                  <w:gridSpan w:val="2"/>
                  <w:vMerge w:val="restart"/>
                  <w:vAlign w:val="center"/>
                </w:tcPr>
                <w:p>
                  <w:pPr>
                    <w:pStyle w:val="14"/>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管控要求</w:t>
                  </w:r>
                </w:p>
              </w:tc>
              <w:tc>
                <w:tcPr>
                  <w:tcW w:w="2186" w:type="dxa"/>
                  <w:vMerge w:val="restart"/>
                  <w:vAlign w:val="center"/>
                </w:tcPr>
                <w:p>
                  <w:pPr>
                    <w:pStyle w:val="14"/>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本项目建设情况</w:t>
                  </w:r>
                </w:p>
              </w:tc>
              <w:tc>
                <w:tcPr>
                  <w:tcW w:w="318" w:type="dxa"/>
                  <w:vMerge w:val="restart"/>
                  <w:vAlign w:val="center"/>
                </w:tcPr>
                <w:p>
                  <w:pPr>
                    <w:pStyle w:val="14"/>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jc w:val="center"/>
              </w:trPr>
              <w:tc>
                <w:tcPr>
                  <w:tcW w:w="488" w:type="dxa"/>
                  <w:vMerge w:val="continue"/>
                  <w:vAlign w:val="center"/>
                </w:tcPr>
                <w:p>
                  <w:pPr>
                    <w:pStyle w:val="14"/>
                    <w:spacing w:line="360" w:lineRule="auto"/>
                    <w:jc w:val="center"/>
                    <w:rPr>
                      <w:rFonts w:hint="default" w:ascii="Times New Roman" w:hAnsi="Times New Roman" w:eastAsia="宋体" w:cs="Times New Roman"/>
                      <w:color w:val="auto"/>
                      <w:sz w:val="21"/>
                      <w:szCs w:val="21"/>
                    </w:rPr>
                  </w:pPr>
                </w:p>
              </w:tc>
              <w:tc>
                <w:tcPr>
                  <w:tcW w:w="400" w:type="dxa"/>
                  <w:vMerge w:val="continue"/>
                  <w:vAlign w:val="center"/>
                </w:tcPr>
                <w:p>
                  <w:pPr>
                    <w:pStyle w:val="14"/>
                    <w:spacing w:line="360" w:lineRule="auto"/>
                    <w:jc w:val="center"/>
                    <w:rPr>
                      <w:rFonts w:hint="default" w:ascii="Times New Roman" w:hAnsi="Times New Roman" w:eastAsia="宋体" w:cs="Times New Roman"/>
                      <w:color w:val="auto"/>
                      <w:sz w:val="21"/>
                      <w:szCs w:val="21"/>
                    </w:rPr>
                  </w:pPr>
                </w:p>
              </w:tc>
              <w:tc>
                <w:tcPr>
                  <w:tcW w:w="475" w:type="dxa"/>
                  <w:vMerge w:val="continue"/>
                  <w:vAlign w:val="center"/>
                </w:tcPr>
                <w:p>
                  <w:pPr>
                    <w:pStyle w:val="14"/>
                    <w:spacing w:line="360" w:lineRule="auto"/>
                    <w:jc w:val="center"/>
                    <w:rPr>
                      <w:rFonts w:hint="default" w:ascii="Times New Roman" w:hAnsi="Times New Roman" w:eastAsia="宋体" w:cs="Times New Roman"/>
                      <w:color w:val="auto"/>
                      <w:sz w:val="21"/>
                      <w:szCs w:val="21"/>
                    </w:rPr>
                  </w:pPr>
                </w:p>
              </w:tc>
              <w:tc>
                <w:tcPr>
                  <w:tcW w:w="4839" w:type="dxa"/>
                  <w:gridSpan w:val="2"/>
                  <w:vMerge w:val="continue"/>
                  <w:vAlign w:val="center"/>
                </w:tcPr>
                <w:p>
                  <w:pPr>
                    <w:pStyle w:val="14"/>
                    <w:spacing w:line="360" w:lineRule="auto"/>
                    <w:jc w:val="center"/>
                    <w:rPr>
                      <w:rFonts w:hint="default" w:ascii="Times New Roman" w:hAnsi="Times New Roman" w:eastAsia="宋体" w:cs="Times New Roman"/>
                      <w:color w:val="auto"/>
                      <w:sz w:val="21"/>
                      <w:szCs w:val="21"/>
                    </w:rPr>
                  </w:pPr>
                </w:p>
              </w:tc>
              <w:tc>
                <w:tcPr>
                  <w:tcW w:w="2186" w:type="dxa"/>
                  <w:vMerge w:val="continue"/>
                  <w:vAlign w:val="center"/>
                </w:tcPr>
                <w:p>
                  <w:pPr>
                    <w:pStyle w:val="14"/>
                    <w:spacing w:line="360" w:lineRule="auto"/>
                    <w:jc w:val="center"/>
                    <w:rPr>
                      <w:rFonts w:hint="default" w:ascii="Times New Roman" w:hAnsi="Times New Roman" w:eastAsia="宋体" w:cs="Times New Roman"/>
                      <w:color w:val="auto"/>
                      <w:sz w:val="21"/>
                      <w:szCs w:val="21"/>
                    </w:rPr>
                  </w:pPr>
                </w:p>
              </w:tc>
              <w:tc>
                <w:tcPr>
                  <w:tcW w:w="318" w:type="dxa"/>
                  <w:vMerge w:val="continue"/>
                  <w:vAlign w:val="center"/>
                </w:tcPr>
                <w:p>
                  <w:pPr>
                    <w:pStyle w:val="14"/>
                    <w:spacing w:line="36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88" w:type="dxa"/>
                  <w:vMerge w:val="restart"/>
                  <w:vAlign w:val="center"/>
                </w:tcPr>
                <w:p>
                  <w:pPr>
                    <w:spacing w:line="360" w:lineRule="auto"/>
                    <w:jc w:val="left"/>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ZH41132220003</w:t>
                  </w:r>
                </w:p>
              </w:tc>
              <w:tc>
                <w:tcPr>
                  <w:tcW w:w="400" w:type="dxa"/>
                  <w:vMerge w:val="restart"/>
                  <w:vAlign w:val="center"/>
                </w:tcPr>
                <w:p>
                  <w:pPr>
                    <w:spacing w:line="360" w:lineRule="auto"/>
                    <w:jc w:val="left"/>
                    <w:rPr>
                      <w:rFonts w:hint="default" w:ascii="Times New Roman" w:hAnsi="Times New Roman" w:eastAsia="宋体" w:cs="Times New Roman"/>
                      <w:snapToGrid w:val="0"/>
                      <w:kern w:val="0"/>
                      <w:sz w:val="21"/>
                      <w:szCs w:val="21"/>
                    </w:rPr>
                  </w:pPr>
                  <w:r>
                    <w:rPr>
                      <w:rFonts w:hint="default" w:ascii="Times New Roman" w:hAnsi="Times New Roman" w:eastAsia="宋体" w:cs="Times New Roman"/>
                      <w:snapToGrid w:val="0"/>
                      <w:kern w:val="0"/>
                      <w:sz w:val="21"/>
                      <w:szCs w:val="21"/>
                    </w:rPr>
                    <w:t>方城县大气重点单元</w:t>
                  </w:r>
                </w:p>
              </w:tc>
              <w:tc>
                <w:tcPr>
                  <w:tcW w:w="475" w:type="dxa"/>
                  <w:vMerge w:val="restart"/>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重点管控单元</w:t>
                  </w:r>
                </w:p>
              </w:tc>
              <w:tc>
                <w:tcPr>
                  <w:tcW w:w="425" w:type="dxa"/>
                  <w:vAlign w:val="center"/>
                </w:tcPr>
                <w:p>
                  <w:pPr>
                    <w:pStyle w:val="14"/>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4414" w:type="dxa"/>
                  <w:vAlign w:val="center"/>
                </w:tcPr>
                <w:p>
                  <w:pPr>
                    <w:pStyle w:val="14"/>
                    <w:spacing w:line="36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1、列入整合搬迁类的，要按照产业发展规模化、现代化的原则，搬迁至产业集聚区并实施升级改造；列入升级改造类的，树立行业标杆，实施清洁生产技术改造，全面提升污染治理水平。</w:t>
                  </w:r>
                </w:p>
                <w:p>
                  <w:pPr>
                    <w:pStyle w:val="14"/>
                    <w:spacing w:line="36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2、原则上不再新增非电行业耗煤项目，确因产业发展和民生需要新上耗煤项目的，要全面落实煤炭消费减量替代。</w:t>
                  </w:r>
                </w:p>
                <w:p>
                  <w:pPr>
                    <w:pStyle w:val="14"/>
                    <w:spacing w:line="36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3、新建涉高VOCs排放的石化、化工、包装印刷、工业涂装等重点行业企业要入产业集聚区，实行区域内VOCs排放等量或倍量削减替代。</w:t>
                  </w:r>
                </w:p>
              </w:tc>
              <w:tc>
                <w:tcPr>
                  <w:tcW w:w="2186" w:type="dxa"/>
                  <w:vAlign w:val="center"/>
                </w:tcPr>
                <w:p>
                  <w:pPr>
                    <w:pStyle w:val="14"/>
                    <w:spacing w:line="36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1.</w:t>
                  </w:r>
                  <w:r>
                    <w:rPr>
                      <w:rFonts w:hint="eastAsia" w:ascii="Times New Roman" w:hAnsi="Times New Roman" w:eastAsia="宋体" w:cs="Times New Roman"/>
                      <w:snapToGrid w:val="0"/>
                      <w:color w:val="auto"/>
                      <w:kern w:val="0"/>
                      <w:sz w:val="21"/>
                      <w:szCs w:val="21"/>
                      <w:lang w:eastAsia="zh-CN"/>
                    </w:rPr>
                    <w:t>本</w:t>
                  </w:r>
                  <w:r>
                    <w:rPr>
                      <w:rFonts w:hint="default" w:ascii="Times New Roman" w:hAnsi="Times New Roman" w:eastAsia="宋体" w:cs="Times New Roman"/>
                      <w:snapToGrid w:val="0"/>
                      <w:color w:val="auto"/>
                      <w:kern w:val="0"/>
                      <w:sz w:val="21"/>
                      <w:szCs w:val="21"/>
                    </w:rPr>
                    <w:t>项目为</w:t>
                  </w:r>
                  <w:r>
                    <w:rPr>
                      <w:rFonts w:hint="eastAsia" w:ascii="Times New Roman" w:hAnsi="Times New Roman" w:cs="Times New Roman"/>
                      <w:snapToGrid w:val="0"/>
                      <w:color w:val="auto"/>
                      <w:kern w:val="0"/>
                      <w:sz w:val="21"/>
                      <w:szCs w:val="21"/>
                      <w:lang w:eastAsia="zh-CN"/>
                    </w:rPr>
                    <w:t>C4220非金属废料和碎屑加工处理</w:t>
                  </w:r>
                  <w:r>
                    <w:rPr>
                      <w:rFonts w:hint="eastAsia" w:ascii="Times New Roman" w:hAnsi="Times New Roman" w:eastAsia="宋体" w:cs="Times New Roman"/>
                      <w:snapToGrid w:val="0"/>
                      <w:color w:val="auto"/>
                      <w:kern w:val="0"/>
                      <w:sz w:val="21"/>
                      <w:szCs w:val="21"/>
                      <w:lang w:eastAsia="zh-CN"/>
                    </w:rPr>
                    <w:t>，不属于</w:t>
                  </w:r>
                  <w:r>
                    <w:rPr>
                      <w:rFonts w:hint="default" w:ascii="Times New Roman" w:hAnsi="Times New Roman" w:eastAsia="宋体" w:cs="Times New Roman"/>
                      <w:snapToGrid w:val="0"/>
                      <w:color w:val="auto"/>
                      <w:kern w:val="0"/>
                      <w:sz w:val="21"/>
                      <w:szCs w:val="21"/>
                    </w:rPr>
                    <w:t>整合搬迁类</w:t>
                  </w:r>
                  <w:r>
                    <w:rPr>
                      <w:rFonts w:hint="eastAsia" w:ascii="Times New Roman" w:hAnsi="Times New Roman" w:eastAsia="宋体" w:cs="Times New Roman"/>
                      <w:snapToGrid w:val="0"/>
                      <w:color w:val="auto"/>
                      <w:kern w:val="0"/>
                      <w:sz w:val="21"/>
                      <w:szCs w:val="21"/>
                      <w:lang w:eastAsia="zh-CN"/>
                    </w:rPr>
                    <w:t>项目</w:t>
                  </w:r>
                  <w:r>
                    <w:rPr>
                      <w:rFonts w:hint="default" w:ascii="Times New Roman" w:hAnsi="Times New Roman" w:eastAsia="宋体" w:cs="Times New Roman"/>
                      <w:snapToGrid w:val="0"/>
                      <w:color w:val="auto"/>
                      <w:kern w:val="0"/>
                      <w:sz w:val="21"/>
                      <w:szCs w:val="21"/>
                    </w:rPr>
                    <w:t>。</w:t>
                  </w:r>
                </w:p>
                <w:p>
                  <w:pPr>
                    <w:pStyle w:val="14"/>
                    <w:spacing w:line="36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2.本项目</w:t>
                  </w:r>
                  <w:r>
                    <w:rPr>
                      <w:rFonts w:hint="eastAsia" w:ascii="Times New Roman" w:hAnsi="Times New Roman" w:eastAsia="宋体" w:cs="Times New Roman"/>
                      <w:snapToGrid w:val="0"/>
                      <w:color w:val="auto"/>
                      <w:kern w:val="0"/>
                      <w:sz w:val="21"/>
                      <w:szCs w:val="21"/>
                      <w:lang w:eastAsia="zh-CN"/>
                    </w:rPr>
                    <w:t>不使用煤，不属于</w:t>
                  </w:r>
                  <w:r>
                    <w:rPr>
                      <w:rFonts w:hint="default" w:ascii="Times New Roman" w:hAnsi="Times New Roman" w:eastAsia="宋体" w:cs="Times New Roman"/>
                      <w:snapToGrid w:val="0"/>
                      <w:color w:val="auto"/>
                      <w:kern w:val="0"/>
                      <w:sz w:val="21"/>
                      <w:szCs w:val="21"/>
                    </w:rPr>
                    <w:t>非电行业耗煤项目。</w:t>
                  </w:r>
                </w:p>
                <w:p>
                  <w:pPr>
                    <w:pStyle w:val="14"/>
                    <w:spacing w:line="360" w:lineRule="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3.本项目</w:t>
                  </w:r>
                  <w:r>
                    <w:rPr>
                      <w:rFonts w:hint="eastAsia" w:ascii="Times New Roman" w:hAnsi="Times New Roman" w:eastAsia="宋体" w:cs="Times New Roman"/>
                      <w:snapToGrid w:val="0"/>
                      <w:color w:val="auto"/>
                      <w:kern w:val="0"/>
                      <w:sz w:val="21"/>
                      <w:szCs w:val="21"/>
                      <w:lang w:eastAsia="zh-CN"/>
                    </w:rPr>
                    <w:t>本</w:t>
                  </w:r>
                  <w:r>
                    <w:rPr>
                      <w:rFonts w:hint="default" w:ascii="Times New Roman" w:hAnsi="Times New Roman" w:eastAsia="宋体" w:cs="Times New Roman"/>
                      <w:snapToGrid w:val="0"/>
                      <w:color w:val="auto"/>
                      <w:kern w:val="0"/>
                      <w:sz w:val="21"/>
                      <w:szCs w:val="21"/>
                    </w:rPr>
                    <w:t>项目为</w:t>
                  </w:r>
                  <w:r>
                    <w:rPr>
                      <w:rFonts w:hint="eastAsia" w:ascii="Times New Roman" w:hAnsi="Times New Roman" w:cs="Times New Roman"/>
                      <w:snapToGrid w:val="0"/>
                      <w:color w:val="auto"/>
                      <w:kern w:val="0"/>
                      <w:sz w:val="21"/>
                      <w:szCs w:val="21"/>
                      <w:lang w:eastAsia="zh-CN"/>
                    </w:rPr>
                    <w:t>C4220非金属废料和碎屑加工处理</w:t>
                  </w:r>
                  <w:r>
                    <w:rPr>
                      <w:rFonts w:hint="eastAsia" w:ascii="Times New Roman" w:hAnsi="Times New Roman" w:eastAsia="宋体" w:cs="Times New Roman"/>
                      <w:snapToGrid w:val="0"/>
                      <w:color w:val="auto"/>
                      <w:kern w:val="0"/>
                      <w:sz w:val="21"/>
                      <w:szCs w:val="21"/>
                      <w:lang w:eastAsia="zh-CN"/>
                    </w:rPr>
                    <w:t>，不属于</w:t>
                  </w:r>
                  <w:r>
                    <w:rPr>
                      <w:rFonts w:hint="default" w:ascii="Times New Roman" w:hAnsi="Times New Roman" w:eastAsia="宋体" w:cs="Times New Roman"/>
                      <w:snapToGrid w:val="0"/>
                      <w:color w:val="auto"/>
                      <w:kern w:val="0"/>
                      <w:sz w:val="21"/>
                      <w:szCs w:val="21"/>
                    </w:rPr>
                    <w:t>涉高VOCs排放的石化、化工、包装印刷、工业涂装等重点行业企业。</w:t>
                  </w:r>
                </w:p>
              </w:tc>
              <w:tc>
                <w:tcPr>
                  <w:tcW w:w="318" w:type="dxa"/>
                  <w:vAlign w:val="center"/>
                </w:tcPr>
                <w:p>
                  <w:pPr>
                    <w:pStyle w:val="14"/>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488" w:type="dxa"/>
                  <w:vMerge w:val="continue"/>
                  <w:vAlign w:val="center"/>
                </w:tcPr>
                <w:p>
                  <w:pPr>
                    <w:spacing w:line="360" w:lineRule="auto"/>
                    <w:jc w:val="left"/>
                    <w:rPr>
                      <w:rFonts w:hint="default" w:ascii="Times New Roman" w:hAnsi="Times New Roman" w:eastAsia="宋体" w:cs="Times New Roman"/>
                      <w:snapToGrid w:val="0"/>
                      <w:kern w:val="0"/>
                      <w:sz w:val="21"/>
                      <w:szCs w:val="21"/>
                    </w:rPr>
                  </w:pPr>
                </w:p>
              </w:tc>
              <w:tc>
                <w:tcPr>
                  <w:tcW w:w="400" w:type="dxa"/>
                  <w:vMerge w:val="continue"/>
                  <w:vAlign w:val="center"/>
                </w:tcPr>
                <w:p>
                  <w:pPr>
                    <w:spacing w:line="360" w:lineRule="auto"/>
                    <w:jc w:val="left"/>
                    <w:rPr>
                      <w:rFonts w:hint="default" w:ascii="Times New Roman" w:hAnsi="Times New Roman" w:eastAsia="宋体" w:cs="Times New Roman"/>
                      <w:snapToGrid w:val="0"/>
                      <w:kern w:val="0"/>
                      <w:sz w:val="21"/>
                      <w:szCs w:val="21"/>
                    </w:rPr>
                  </w:pPr>
                </w:p>
              </w:tc>
              <w:tc>
                <w:tcPr>
                  <w:tcW w:w="475" w:type="dxa"/>
                  <w:vMerge w:val="continue"/>
                  <w:vAlign w:val="center"/>
                </w:tcPr>
                <w:p>
                  <w:pPr>
                    <w:spacing w:line="360" w:lineRule="auto"/>
                    <w:jc w:val="center"/>
                    <w:rPr>
                      <w:rFonts w:hint="default" w:ascii="Times New Roman" w:hAnsi="Times New Roman" w:eastAsia="宋体" w:cs="Times New Roman"/>
                      <w:sz w:val="21"/>
                      <w:szCs w:val="21"/>
                    </w:rPr>
                  </w:pPr>
                </w:p>
              </w:tc>
              <w:tc>
                <w:tcPr>
                  <w:tcW w:w="425" w:type="dxa"/>
                  <w:vAlign w:val="center"/>
                </w:tcPr>
                <w:p>
                  <w:pPr>
                    <w:pStyle w:val="14"/>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污染物排放管控</w:t>
                  </w:r>
                </w:p>
              </w:tc>
              <w:tc>
                <w:tcPr>
                  <w:tcW w:w="4414" w:type="dxa"/>
                  <w:vAlign w:val="center"/>
                </w:tcPr>
                <w:p>
                  <w:pPr>
                    <w:pStyle w:val="14"/>
                    <w:spacing w:line="36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1、化学原料及化学制品制造业等重点行业二氧化硫、氮氧化物、颗粒物、VOCs全面执行大气污染物特别排放限值。</w:t>
                  </w:r>
                </w:p>
                <w:p>
                  <w:pPr>
                    <w:pStyle w:val="14"/>
                    <w:spacing w:line="36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2、优化调整货物运输结构，淘汰国三及以下排放标准柴油货车，持续开展车辆更新工作。</w:t>
                  </w:r>
                </w:p>
              </w:tc>
              <w:tc>
                <w:tcPr>
                  <w:tcW w:w="2186" w:type="dxa"/>
                  <w:vAlign w:val="center"/>
                </w:tcPr>
                <w:p>
                  <w:pPr>
                    <w:pStyle w:val="14"/>
                    <w:spacing w:line="360" w:lineRule="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1.</w:t>
                  </w:r>
                  <w:r>
                    <w:rPr>
                      <w:rFonts w:hint="eastAsia" w:ascii="Times New Roman" w:hAnsi="Times New Roman" w:eastAsia="宋体" w:cs="Times New Roman"/>
                      <w:snapToGrid w:val="0"/>
                      <w:color w:val="auto"/>
                      <w:kern w:val="0"/>
                      <w:sz w:val="21"/>
                      <w:szCs w:val="21"/>
                      <w:lang w:eastAsia="zh-CN"/>
                    </w:rPr>
                    <w:t>本项目不属于</w:t>
                  </w:r>
                  <w:r>
                    <w:rPr>
                      <w:rFonts w:hint="default" w:ascii="Times New Roman" w:hAnsi="Times New Roman" w:eastAsia="宋体" w:cs="Times New Roman"/>
                      <w:snapToGrid w:val="0"/>
                      <w:color w:val="auto"/>
                      <w:kern w:val="0"/>
                      <w:sz w:val="21"/>
                      <w:szCs w:val="21"/>
                    </w:rPr>
                    <w:t>化学原料及化学制品制造业等重点行业。</w:t>
                  </w:r>
                </w:p>
                <w:p>
                  <w:pPr>
                    <w:pStyle w:val="14"/>
                    <w:spacing w:line="360" w:lineRule="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rPr>
                    <w:t>2.</w:t>
                  </w:r>
                  <w:r>
                    <w:rPr>
                      <w:rFonts w:hint="eastAsia" w:ascii="Times New Roman" w:hAnsi="Times New Roman" w:eastAsia="宋体" w:cs="Times New Roman"/>
                      <w:snapToGrid w:val="0"/>
                      <w:color w:val="auto"/>
                      <w:kern w:val="0"/>
                      <w:sz w:val="21"/>
                      <w:szCs w:val="21"/>
                      <w:lang w:eastAsia="zh-CN"/>
                    </w:rPr>
                    <w:t>根据绩效分析要求，本项目使用国五及以上运输车辆</w:t>
                  </w:r>
                  <w:r>
                    <w:rPr>
                      <w:rFonts w:hint="default" w:ascii="Times New Roman" w:hAnsi="Times New Roman" w:eastAsia="宋体" w:cs="Times New Roman"/>
                      <w:snapToGrid w:val="0"/>
                      <w:color w:val="auto"/>
                      <w:kern w:val="0"/>
                      <w:sz w:val="21"/>
                      <w:szCs w:val="21"/>
                    </w:rPr>
                    <w:t>。</w:t>
                  </w:r>
                </w:p>
              </w:tc>
              <w:tc>
                <w:tcPr>
                  <w:tcW w:w="318" w:type="dxa"/>
                  <w:vAlign w:val="center"/>
                </w:tcPr>
                <w:p>
                  <w:pPr>
                    <w:pStyle w:val="14"/>
                    <w:spacing w:line="360" w:lineRule="auto"/>
                    <w:jc w:val="center"/>
                    <w:rPr>
                      <w:rFonts w:hint="default" w:ascii="Times New Roman" w:hAnsi="Times New Roman" w:eastAsia="宋体" w:cs="Times New Roman"/>
                      <w:color w:val="auto"/>
                      <w:sz w:val="21"/>
                      <w:szCs w:val="21"/>
                    </w:rPr>
                  </w:pPr>
                </w:p>
              </w:tc>
            </w:tr>
          </w:tbl>
          <w:p>
            <w:pPr>
              <w:tabs>
                <w:tab w:val="left" w:pos="705"/>
              </w:tabs>
              <w:spacing w:line="360" w:lineRule="auto"/>
              <w:ind w:firstLine="489" w:firstLineChars="196"/>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综上所述，本项目符合南阳市</w:t>
            </w:r>
            <w:r>
              <w:rPr>
                <w:rFonts w:hint="eastAsia" w:ascii="Times New Roman" w:hAnsi="Times New Roman" w:eastAsia="宋体" w:cs="Times New Roman"/>
                <w:sz w:val="24"/>
                <w:szCs w:val="24"/>
                <w:lang w:eastAsia="zh-CN"/>
              </w:rPr>
              <w:t>方城县</w:t>
            </w:r>
            <w:r>
              <w:rPr>
                <w:rFonts w:hint="default" w:ascii="Times New Roman" w:hAnsi="Times New Roman" w:eastAsia="宋体" w:cs="Times New Roman"/>
                <w:sz w:val="24"/>
                <w:szCs w:val="24"/>
              </w:rPr>
              <w:t>“三线一单”的相关要求。</w:t>
            </w:r>
          </w:p>
        </w:tc>
      </w:tr>
    </w:tbl>
    <w:p>
      <w:pPr>
        <w:spacing w:line="360" w:lineRule="auto"/>
        <w:jc w:val="center"/>
        <w:outlineLvl w:val="0"/>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AndChars" w:linePitch="312" w:charSpace="2252"/>
        </w:sectPr>
      </w:pPr>
    </w:p>
    <w:p>
      <w:pPr>
        <w:spacing w:line="360" w:lineRule="auto"/>
        <w:jc w:val="center"/>
        <w:outlineLvl w:val="0"/>
        <w:rPr>
          <w:rFonts w:hint="default" w:ascii="Times New Roman" w:hAnsi="Times New Roman" w:cs="Times New Roman"/>
          <w:b/>
          <w:bCs/>
          <w:sz w:val="28"/>
          <w:szCs w:val="28"/>
        </w:rPr>
      </w:pPr>
      <w:r>
        <w:rPr>
          <w:rFonts w:hint="default" w:ascii="Times New Roman" w:hAnsi="Times New Roman" w:cs="Times New Roman"/>
          <w:b/>
          <w:bCs/>
          <w:sz w:val="28"/>
          <w:szCs w:val="28"/>
        </w:rPr>
        <w:t>二、建设项目工程分析</w:t>
      </w:r>
    </w:p>
    <w:tbl>
      <w:tblPr>
        <w:tblStyle w:val="11"/>
        <w:tblW w:w="9956"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98"/>
        <w:gridCol w:w="895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8985" w:hRule="atLeast"/>
          <w:jc w:val="center"/>
        </w:trPr>
        <w:tc>
          <w:tcPr>
            <w:tcW w:w="998"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b/>
                <w:bCs/>
                <w:sz w:val="24"/>
                <w:szCs w:val="24"/>
              </w:rPr>
              <w:t>建设内容</w:t>
            </w:r>
          </w:p>
        </w:tc>
        <w:tc>
          <w:tcPr>
            <w:tcW w:w="8958" w:type="dxa"/>
            <w:vAlign w:val="top"/>
          </w:tcPr>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1、基本情况</w:t>
            </w:r>
          </w:p>
          <w:p>
            <w:pPr>
              <w:keepNext w:val="0"/>
              <w:keepLines w:val="0"/>
              <w:pageBreakBefore w:val="0"/>
              <w:widowControl w:val="0"/>
              <w:kinsoku/>
              <w:wordWrap/>
              <w:overflowPunct/>
              <w:topLinePunct w:val="0"/>
              <w:autoSpaceDE/>
              <w:autoSpaceDN/>
              <w:bidi w:val="0"/>
              <w:adjustRightInd/>
              <w:snapToGrid/>
              <w:spacing w:line="360" w:lineRule="auto"/>
              <w:ind w:firstLine="50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lang w:eastAsia="zh-CN"/>
              </w:rPr>
              <w:t>河南凯呈再生资源有限公司</w:t>
            </w:r>
            <w:r>
              <w:rPr>
                <w:rFonts w:hint="default" w:ascii="Times New Roman" w:hAnsi="Times New Roman" w:eastAsia="宋体" w:cs="Times New Roman"/>
                <w:color w:val="auto"/>
                <w:sz w:val="24"/>
                <w:szCs w:val="24"/>
                <w:lang w:val="en-US" w:eastAsia="zh-CN"/>
              </w:rPr>
              <w:t>拟在</w:t>
            </w:r>
            <w:r>
              <w:rPr>
                <w:rFonts w:hint="default" w:ascii="Times New Roman" w:hAnsi="Times New Roman" w:eastAsia="宋体" w:cs="Times New Roman"/>
                <w:color w:val="auto"/>
                <w:sz w:val="24"/>
                <w:szCs w:val="24"/>
                <w:lang w:eastAsia="zh-CN"/>
              </w:rPr>
              <w:t>南阳市方城县广阳镇后寨村168号，</w:t>
            </w:r>
            <w:r>
              <w:rPr>
                <w:rFonts w:hint="default" w:ascii="Times New Roman" w:hAnsi="Times New Roman" w:eastAsia="宋体" w:cs="Times New Roman"/>
                <w:color w:val="auto"/>
                <w:sz w:val="24"/>
                <w:szCs w:val="24"/>
                <w:lang w:val="en-US" w:eastAsia="zh-CN"/>
              </w:rPr>
              <w:t>占地7250m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，建设</w:t>
            </w:r>
            <w:r>
              <w:rPr>
                <w:rFonts w:hint="default" w:ascii="Times New Roman" w:hAnsi="Times New Roman" w:eastAsia="宋体" w:cs="Times New Roman"/>
                <w:color w:val="auto"/>
                <w:sz w:val="24"/>
                <w:szCs w:val="24"/>
                <w:lang w:eastAsia="zh-CN"/>
              </w:rPr>
              <w:t>河南凯呈再生资源有限公司</w:t>
            </w:r>
            <w:r>
              <w:rPr>
                <w:rFonts w:hint="default" w:ascii="Times New Roman" w:hAnsi="Times New Roman" w:eastAsia="宋体" w:cs="Times New Roman"/>
                <w:color w:val="auto"/>
                <w:sz w:val="24"/>
                <w:szCs w:val="24"/>
                <w:lang w:val="en-US" w:eastAsia="zh-CN"/>
              </w:rPr>
              <w:t>年产5000吨再生塑料颗粒项目，项目建成后年产</w:t>
            </w:r>
            <w:r>
              <w:rPr>
                <w:rFonts w:hint="eastAsia" w:ascii="Times New Roman" w:hAnsi="Times New Roman" w:cs="Times New Roman"/>
                <w:color w:val="auto"/>
                <w:sz w:val="24"/>
                <w:szCs w:val="24"/>
                <w:lang w:val="en-US" w:eastAsia="zh-CN"/>
              </w:rPr>
              <w:t>再生</w:t>
            </w:r>
            <w:r>
              <w:rPr>
                <w:rFonts w:hint="default" w:ascii="Times New Roman" w:hAnsi="Times New Roman" w:eastAsia="宋体" w:cs="Times New Roman"/>
                <w:color w:val="auto"/>
                <w:sz w:val="24"/>
                <w:szCs w:val="24"/>
                <w:lang w:val="en-US" w:eastAsia="zh-CN"/>
              </w:rPr>
              <w:t>塑料颗粒5000吨</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50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依据《中华人民共和国环境保护法》、《中华人民共和国环境影响评价法》和《建设项目环境保护管理条例》有关规定，需对该项目建设进行环境影响评价。对照《建设项目环境影响评价分类管理名录》，该项目属于“三十九、废弃资源综合利用业42”中“85、非金属废料和碎屑加工处理422”中“废塑料加工处理”类别，因此环评类别为环境影响报告表。受</w:t>
            </w:r>
            <w:r>
              <w:rPr>
                <w:rFonts w:hint="default" w:ascii="Times New Roman" w:hAnsi="Times New Roman" w:eastAsia="宋体" w:cs="Times New Roman"/>
                <w:color w:val="auto"/>
                <w:sz w:val="24"/>
                <w:szCs w:val="24"/>
                <w:lang w:eastAsia="zh-CN"/>
              </w:rPr>
              <w:t>河南凯呈再生资源有限公司</w:t>
            </w:r>
            <w:r>
              <w:rPr>
                <w:rFonts w:hint="default" w:ascii="Times New Roman" w:hAnsi="Times New Roman" w:eastAsia="宋体" w:cs="Times New Roman"/>
                <w:color w:val="auto"/>
                <w:sz w:val="24"/>
                <w:szCs w:val="24"/>
              </w:rPr>
              <w:t>委托，我单位承担了该项目的环境影响评价工作，在现场踏勘、资料收集、充分类比分析等工作的基础上，遵循环评有关规定和评价技术导则要求，本着客观、公正、科学、规范的要求，编制完成了该项目环评报告表。</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2、建设规模及内容</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2.1</w:t>
            </w:r>
            <w:r>
              <w:rPr>
                <w:rFonts w:hint="default" w:ascii="Times New Roman" w:hAnsi="Times New Roman" w:eastAsia="宋体" w:cs="Times New Roman"/>
                <w:b/>
                <w:bCs/>
                <w:color w:val="auto"/>
                <w:sz w:val="24"/>
                <w:szCs w:val="24"/>
              </w:rPr>
              <w:t>本次</w:t>
            </w:r>
            <w:r>
              <w:rPr>
                <w:rFonts w:hint="default" w:ascii="Times New Roman" w:hAnsi="Times New Roman" w:eastAsia="宋体" w:cs="Times New Roman"/>
                <w:b/>
                <w:bCs/>
                <w:color w:val="auto"/>
                <w:sz w:val="24"/>
                <w:szCs w:val="24"/>
                <w:lang w:val="en-US" w:eastAsia="zh-CN"/>
              </w:rPr>
              <w:t>工程</w:t>
            </w:r>
          </w:p>
          <w:p>
            <w:pPr>
              <w:keepNext w:val="0"/>
              <w:keepLines w:val="0"/>
              <w:pageBreakBefore w:val="0"/>
              <w:widowControl/>
              <w:kinsoku/>
              <w:wordWrap/>
              <w:overflowPunct/>
              <w:topLinePunct w:val="0"/>
              <w:autoSpaceDE/>
              <w:autoSpaceDN/>
              <w:bidi w:val="0"/>
              <w:adjustRightInd/>
              <w:snapToGrid/>
              <w:spacing w:line="360" w:lineRule="auto"/>
              <w:ind w:firstLine="491" w:firstLineChars="19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本次工程</w:t>
            </w:r>
            <w:r>
              <w:rPr>
                <w:rFonts w:hint="default" w:ascii="Times New Roman" w:hAnsi="Times New Roman" w:eastAsia="宋体" w:cs="Times New Roman"/>
                <w:sz w:val="24"/>
                <w:szCs w:val="24"/>
                <w:lang w:val="en-US" w:eastAsia="zh-CN"/>
              </w:rPr>
              <w:t>外购经过破碎清洗过的塑料碎片为原料，生产塑料颗粒，</w:t>
            </w:r>
            <w:r>
              <w:rPr>
                <w:rFonts w:hint="default" w:ascii="Times New Roman" w:hAnsi="Times New Roman" w:eastAsia="宋体" w:cs="Times New Roman"/>
                <w:sz w:val="24"/>
                <w:szCs w:val="24"/>
              </w:rPr>
              <w:t>项目建成后，年产再生塑料颗粒5000吨。</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2.2本次工程组成及建设内容</w:t>
            </w:r>
          </w:p>
          <w:p>
            <w:pPr>
              <w:keepNext w:val="0"/>
              <w:keepLines w:val="0"/>
              <w:pageBreakBefore w:val="0"/>
              <w:widowControl w:val="0"/>
              <w:kinsoku/>
              <w:wordWrap/>
              <w:overflowPunct/>
              <w:topLinePunct w:val="0"/>
              <w:autoSpaceDE/>
              <w:autoSpaceDN/>
              <w:bidi w:val="0"/>
              <w:adjustRightInd/>
              <w:snapToGrid/>
              <w:spacing w:line="360" w:lineRule="auto"/>
              <w:ind w:firstLine="50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本次项目工程建设内容见表2-</w:t>
            </w:r>
            <w:r>
              <w:rPr>
                <w:rFonts w:hint="default"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w:t>
            </w:r>
          </w:p>
          <w:p>
            <w:pPr>
              <w:keepNext w:val="0"/>
              <w:keepLines w:val="0"/>
              <w:pageBreakBefore w:val="0"/>
              <w:widowControl w:val="0"/>
              <w:kinsoku/>
              <w:wordWrap/>
              <w:overflowPunct/>
              <w:topLinePunct w:val="0"/>
              <w:autoSpaceDE/>
              <w:autoSpaceDN/>
              <w:bidi w:val="0"/>
              <w:adjustRightInd/>
              <w:snapToGrid/>
              <w:spacing w:line="360" w:lineRule="auto"/>
              <w:ind w:firstLine="2250" w:firstLineChars="900"/>
              <w:textAlignment w:val="auto"/>
              <w:rPr>
                <w:rFonts w:hint="default" w:ascii="Times New Roman" w:hAnsi="Times New Roman" w:eastAsia="宋体" w:cs="Times New Roman"/>
                <w:b/>
                <w:bCs/>
                <w:color w:val="auto"/>
                <w:sz w:val="24"/>
                <w:szCs w:val="24"/>
                <w:u w:val="none"/>
              </w:rPr>
            </w:pPr>
            <w:r>
              <w:rPr>
                <w:rFonts w:hint="default" w:ascii="Times New Roman" w:hAnsi="Times New Roman" w:eastAsia="宋体" w:cs="Times New Roman"/>
                <w:b/>
                <w:bCs/>
                <w:color w:val="auto"/>
                <w:sz w:val="24"/>
                <w:szCs w:val="24"/>
                <w:u w:val="none"/>
              </w:rPr>
              <w:t>表2-</w:t>
            </w:r>
            <w:r>
              <w:rPr>
                <w:rFonts w:hint="default" w:ascii="Times New Roman" w:hAnsi="Times New Roman" w:eastAsia="宋体" w:cs="Times New Roman"/>
                <w:b/>
                <w:bCs/>
                <w:color w:val="auto"/>
                <w:sz w:val="24"/>
                <w:szCs w:val="24"/>
                <w:u w:val="none"/>
                <w:lang w:val="en-US" w:eastAsia="zh-CN"/>
              </w:rPr>
              <w:t>1</w:t>
            </w:r>
            <w:r>
              <w:rPr>
                <w:rFonts w:hint="default" w:ascii="Times New Roman" w:hAnsi="Times New Roman" w:eastAsia="宋体" w:cs="Times New Roman"/>
                <w:b/>
                <w:bCs/>
                <w:color w:val="auto"/>
                <w:sz w:val="24"/>
                <w:szCs w:val="24"/>
                <w:u w:val="none"/>
              </w:rPr>
              <w:t xml:space="preserve">       项目工程组成及建设内容一览表</w:t>
            </w:r>
          </w:p>
          <w:tbl>
            <w:tblPr>
              <w:tblStyle w:val="11"/>
              <w:tblW w:w="87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038"/>
              <w:gridCol w:w="5682"/>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109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568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工程内容</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9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eastAsia="zh-CN"/>
                    </w:rPr>
                    <w:t>生产</w:t>
                  </w:r>
                  <w:r>
                    <w:rPr>
                      <w:rFonts w:hint="default" w:ascii="Times New Roman" w:hAnsi="Times New Roman" w:eastAsia="宋体" w:cs="Times New Roman"/>
                      <w:sz w:val="21"/>
                      <w:szCs w:val="21"/>
                    </w:rPr>
                    <w:t>车间</w:t>
                  </w:r>
                </w:p>
              </w:tc>
              <w:tc>
                <w:tcPr>
                  <w:tcW w:w="568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sz w:val="21"/>
                      <w:szCs w:val="21"/>
                      <w:lang w:val="en-US" w:eastAsia="zh-CN"/>
                    </w:rPr>
                    <w:t>车间</w:t>
                  </w:r>
                  <w:r>
                    <w:rPr>
                      <w:rFonts w:hint="default" w:ascii="Times New Roman" w:hAnsi="Times New Roman" w:eastAsia="宋体" w:cs="Times New Roman"/>
                      <w:sz w:val="21"/>
                      <w:szCs w:val="21"/>
                    </w:rPr>
                    <w:t>一座，钢架结构，</w:t>
                  </w:r>
                  <w:r>
                    <w:rPr>
                      <w:rFonts w:hint="eastAsia" w:ascii="Times New Roman" w:hAnsi="Times New Roman" w:cs="Times New Roman"/>
                      <w:sz w:val="21"/>
                      <w:szCs w:val="21"/>
                      <w:lang w:eastAsia="zh-CN"/>
                    </w:rPr>
                    <w:t>一层，</w:t>
                  </w:r>
                  <w:r>
                    <w:rPr>
                      <w:rFonts w:hint="default" w:ascii="Times New Roman" w:hAnsi="Times New Roman" w:eastAsia="宋体" w:cs="Times New Roman"/>
                      <w:sz w:val="21"/>
                      <w:szCs w:val="21"/>
                      <w:lang w:val="en-US" w:eastAsia="zh-CN"/>
                    </w:rPr>
                    <w:t>建筑</w:t>
                  </w:r>
                  <w:r>
                    <w:rPr>
                      <w:rFonts w:hint="default" w:ascii="Times New Roman" w:hAnsi="Times New Roman" w:eastAsia="宋体" w:cs="Times New Roman"/>
                      <w:sz w:val="21"/>
                      <w:szCs w:val="21"/>
                    </w:rPr>
                    <w:t>面积</w:t>
                  </w:r>
                  <w:r>
                    <w:rPr>
                      <w:rFonts w:hint="default" w:ascii="Times New Roman" w:hAnsi="Times New Roman" w:eastAsia="宋体" w:cs="Times New Roman"/>
                      <w:sz w:val="21"/>
                      <w:szCs w:val="21"/>
                      <w:lang w:val="en-US" w:eastAsia="zh-CN"/>
                    </w:rPr>
                    <w:t>330</w:t>
                  </w:r>
                  <w:r>
                    <w:rPr>
                      <w:rFonts w:hint="default" w:ascii="Times New Roman" w:hAnsi="Times New Roman" w:eastAsia="宋体" w:cs="Times New Roman"/>
                      <w:sz w:val="21"/>
                      <w:szCs w:val="21"/>
                    </w:rPr>
                    <w:t>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lang w:val="en-US" w:eastAsia="zh-CN"/>
                    </w:rPr>
                    <w:t>包含原料区、成品区</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生产区</w:t>
                  </w:r>
                  <w:r>
                    <w:rPr>
                      <w:rFonts w:hint="eastAsia" w:ascii="Times New Roman" w:hAnsi="Times New Roman" w:cs="Times New Roman"/>
                      <w:sz w:val="21"/>
                      <w:szCs w:val="21"/>
                      <w:lang w:val="en-US" w:eastAsia="zh-CN"/>
                    </w:rPr>
                    <w:t>、一般固废暂存间、危废暂存间和化验室等</w:t>
                  </w:r>
                  <w:r>
                    <w:rPr>
                      <w:rFonts w:hint="default" w:ascii="Times New Roman" w:hAnsi="Times New Roman" w:eastAsia="宋体" w:cs="Times New Roman"/>
                      <w:sz w:val="21"/>
                      <w:szCs w:val="21"/>
                      <w:lang w:val="en-US" w:eastAsia="zh-CN"/>
                    </w:rPr>
                    <w:t>，其中生产区布置7条生产线</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利用现有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9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辅助工程</w:t>
                  </w: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办公用房</w:t>
                  </w:r>
                </w:p>
              </w:tc>
              <w:tc>
                <w:tcPr>
                  <w:tcW w:w="568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砖混结构，2F，建筑面积1250㎡</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1098"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给水</w:t>
                  </w:r>
                </w:p>
              </w:tc>
              <w:tc>
                <w:tcPr>
                  <w:tcW w:w="568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项目生活</w:t>
                  </w:r>
                  <w:r>
                    <w:rPr>
                      <w:rFonts w:hint="default" w:ascii="Times New Roman" w:hAnsi="Times New Roman" w:eastAsia="宋体" w:cs="Times New Roman"/>
                      <w:color w:val="auto"/>
                      <w:sz w:val="21"/>
                      <w:szCs w:val="21"/>
                      <w:lang w:val="en-US" w:eastAsia="zh-CN"/>
                    </w:rPr>
                    <w:t>和生产</w:t>
                  </w:r>
                  <w:r>
                    <w:rPr>
                      <w:rFonts w:hint="default" w:ascii="Times New Roman" w:hAnsi="Times New Roman" w:eastAsia="宋体" w:cs="Times New Roman"/>
                      <w:color w:val="auto"/>
                      <w:sz w:val="21"/>
                      <w:szCs w:val="21"/>
                    </w:rPr>
                    <w:t>用水由</w:t>
                  </w:r>
                  <w:r>
                    <w:rPr>
                      <w:rFonts w:hint="default" w:ascii="Times New Roman" w:hAnsi="Times New Roman" w:cs="Times New Roman"/>
                      <w:color w:val="auto"/>
                      <w:sz w:val="21"/>
                      <w:szCs w:val="21"/>
                      <w:lang w:eastAsia="zh-CN"/>
                    </w:rPr>
                    <w:t>厂区</w:t>
                  </w:r>
                  <w:r>
                    <w:rPr>
                      <w:rFonts w:hint="default" w:ascii="Times New Roman" w:hAnsi="Times New Roman" w:eastAsia="宋体" w:cs="Times New Roman"/>
                      <w:color w:val="auto"/>
                      <w:sz w:val="21"/>
                      <w:szCs w:val="21"/>
                      <w:lang w:val="en-US" w:eastAsia="zh-CN"/>
                    </w:rPr>
                    <w:t>自备井供给</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09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w:t>
                  </w:r>
                </w:p>
              </w:tc>
              <w:tc>
                <w:tcPr>
                  <w:tcW w:w="568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采用雨污分流排水系统，项目区雨水汇集后经西侧的自然沟向</w:t>
                  </w:r>
                  <w:r>
                    <w:rPr>
                      <w:rFonts w:hint="default" w:ascii="Times New Roman" w:hAnsi="Times New Roman" w:eastAsia="宋体" w:cs="Times New Roman"/>
                      <w:color w:val="auto"/>
                      <w:sz w:val="21"/>
                      <w:szCs w:val="21"/>
                      <w:lang w:eastAsia="zh-CN"/>
                    </w:rPr>
                    <w:t>西</w:t>
                  </w:r>
                  <w:r>
                    <w:rPr>
                      <w:rFonts w:hint="default" w:ascii="Times New Roman" w:hAnsi="Times New Roman" w:eastAsia="宋体" w:cs="Times New Roman"/>
                      <w:color w:val="auto"/>
                      <w:sz w:val="21"/>
                      <w:szCs w:val="21"/>
                    </w:rPr>
                    <w:t>汇入</w:t>
                  </w:r>
                  <w:r>
                    <w:rPr>
                      <w:rFonts w:hint="default" w:ascii="Times New Roman" w:hAnsi="Times New Roman" w:eastAsia="宋体" w:cs="Times New Roman"/>
                      <w:color w:val="auto"/>
                      <w:sz w:val="21"/>
                      <w:szCs w:val="21"/>
                      <w:lang w:eastAsia="zh-CN"/>
                    </w:rPr>
                    <w:t>白河</w:t>
                  </w:r>
                  <w:r>
                    <w:rPr>
                      <w:rFonts w:hint="default" w:ascii="Times New Roman" w:hAnsi="Times New Roman" w:eastAsia="宋体" w:cs="Times New Roman"/>
                      <w:color w:val="auto"/>
                      <w:sz w:val="21"/>
                      <w:szCs w:val="21"/>
                    </w:rPr>
                    <w:t>；营运期职工生活污水经化粪池处理后用于周围农田施肥，资源化利用不外排</w:t>
                  </w:r>
                  <w:r>
                    <w:rPr>
                      <w:rFonts w:hint="default" w:ascii="Times New Roman" w:hAnsi="Times New Roman" w:eastAsia="宋体" w:cs="Times New Roman"/>
                      <w:color w:val="auto"/>
                      <w:sz w:val="21"/>
                      <w:szCs w:val="21"/>
                      <w:lang w:eastAsia="zh-CN"/>
                    </w:rPr>
                    <w:t>；挤出冷却</w:t>
                  </w:r>
                  <w:r>
                    <w:rPr>
                      <w:rFonts w:hint="eastAsia" w:ascii="Times New Roman" w:hAnsi="Times New Roman" w:cs="Times New Roman"/>
                      <w:color w:val="auto"/>
                      <w:sz w:val="21"/>
                      <w:szCs w:val="21"/>
                      <w:lang w:eastAsia="zh-CN"/>
                    </w:rPr>
                    <w:t>水</w:t>
                  </w:r>
                  <w:r>
                    <w:rPr>
                      <w:rFonts w:hint="default" w:ascii="Times New Roman" w:hAnsi="Times New Roman" w:cs="Times New Roman"/>
                      <w:color w:val="auto"/>
                      <w:sz w:val="21"/>
                      <w:szCs w:val="21"/>
                      <w:lang w:eastAsia="zh-CN"/>
                    </w:rPr>
                    <w:t>和喷淋塔</w:t>
                  </w:r>
                  <w:r>
                    <w:rPr>
                      <w:rFonts w:hint="default" w:ascii="Times New Roman" w:hAnsi="Times New Roman" w:eastAsia="宋体" w:cs="Times New Roman"/>
                      <w:color w:val="auto"/>
                      <w:sz w:val="21"/>
                      <w:szCs w:val="21"/>
                      <w:lang w:eastAsia="zh-CN"/>
                    </w:rPr>
                    <w:t>废水，循环使用不外排</w:t>
                  </w:r>
                  <w:r>
                    <w:rPr>
                      <w:rFonts w:hint="default" w:ascii="Times New Roman" w:hAnsi="Times New Roman" w:cs="Times New Roman"/>
                      <w:color w:val="auto"/>
                      <w:sz w:val="21"/>
                      <w:szCs w:val="21"/>
                      <w:lang w:eastAsia="zh-CN"/>
                    </w:rPr>
                    <w:t>。</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9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568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厂区供电由</w:t>
                  </w:r>
                  <w:r>
                    <w:rPr>
                      <w:rFonts w:hint="default" w:ascii="Times New Roman" w:hAnsi="Times New Roman" w:cs="Times New Roman"/>
                      <w:color w:val="auto"/>
                      <w:sz w:val="21"/>
                      <w:szCs w:val="21"/>
                      <w:lang w:val="en-US" w:eastAsia="zh-CN"/>
                    </w:rPr>
                    <w:t>当地市政供电</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1098"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1038"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568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在每台熔融机顶部强制排气口处安装负压集气管道、在每台挤出机挤出口设置半封闭集气罩，各工序有机废气经集气收集后通过管道集中引至1套旋流式喷淋塔+除湿干燥装置+UV光氧催化设备+活性炭吸附装置处理后经1根15m高排气筒DA001引至高空排放</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09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03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568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车间密闭</w:t>
                  </w:r>
                  <w:r>
                    <w:rPr>
                      <w:rFonts w:hint="default" w:ascii="Times New Roman" w:hAnsi="Times New Roman" w:eastAsia="宋体" w:cs="Times New Roman"/>
                      <w:color w:val="auto"/>
                      <w:sz w:val="21"/>
                      <w:szCs w:val="21"/>
                    </w:rPr>
                    <w:t>；厂区路面硬化，定期洒水。</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09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none"/>
                    </w:rPr>
                    <w:t>废水</w:t>
                  </w:r>
                </w:p>
              </w:tc>
              <w:tc>
                <w:tcPr>
                  <w:tcW w:w="568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rPr>
                    <w:t>职工生活污水经化粪池</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0m³</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处理后用于周围农田施肥，资源化利用不外排</w:t>
                  </w:r>
                  <w:r>
                    <w:rPr>
                      <w:rFonts w:hint="default" w:ascii="Times New Roman" w:hAnsi="Times New Roman" w:eastAsia="宋体" w:cs="Times New Roman"/>
                      <w:color w:val="auto"/>
                      <w:sz w:val="21"/>
                      <w:szCs w:val="21"/>
                      <w:lang w:eastAsia="zh-CN"/>
                    </w:rPr>
                    <w:t>；挤出冷却废水，循环使用不外排，循环水池（</w:t>
                  </w:r>
                  <w:r>
                    <w:rPr>
                      <w:rFonts w:hint="default" w:ascii="Times New Roman" w:hAnsi="Times New Roman" w:eastAsia="宋体" w:cs="Times New Roman"/>
                      <w:color w:val="auto"/>
                      <w:sz w:val="21"/>
                      <w:szCs w:val="21"/>
                      <w:lang w:val="en-US" w:eastAsia="zh-CN"/>
                    </w:rPr>
                    <w:t>40m³</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lang w:eastAsia="zh-CN"/>
                    </w:rPr>
                    <w:t>，喷淋塔废水经自带的循环水池</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20m³</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循环使用，不外排。</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109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03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568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采取基础减震、隔声等措施</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109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038"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568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化粪池污泥</w:t>
                  </w:r>
                  <w:r>
                    <w:rPr>
                      <w:rFonts w:hint="eastAsia" w:ascii="Times New Roman" w:hAnsi="Times New Roman" w:cs="Times New Roman"/>
                      <w:color w:val="auto"/>
                      <w:sz w:val="21"/>
                      <w:szCs w:val="21"/>
                      <w:lang w:val="en-US" w:eastAsia="zh-CN"/>
                    </w:rPr>
                    <w:t>由环卫部门定期清掏</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109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03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568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废滤网（含滤渣）收集后</w:t>
                  </w:r>
                  <w:r>
                    <w:rPr>
                      <w:rFonts w:hint="eastAsia" w:ascii="Times New Roman" w:hAnsi="Times New Roman" w:cs="Times New Roman"/>
                      <w:color w:val="auto"/>
                      <w:sz w:val="21"/>
                      <w:szCs w:val="21"/>
                      <w:lang w:val="en-US" w:eastAsia="zh-CN"/>
                    </w:rPr>
                    <w:t>由</w:t>
                  </w:r>
                  <w:r>
                    <w:rPr>
                      <w:rFonts w:hint="default" w:ascii="Times New Roman" w:hAnsi="Times New Roman" w:eastAsia="宋体" w:cs="Times New Roman"/>
                      <w:color w:val="auto"/>
                      <w:sz w:val="21"/>
                      <w:szCs w:val="21"/>
                      <w:lang w:val="en-US" w:eastAsia="zh-CN"/>
                    </w:rPr>
                    <w:t>厂家回收</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109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03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568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废包装袋收集后外售处理</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109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03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568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不合格品收集后回用于生产</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109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03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568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生活垃圾收集后送附近垃圾中转站</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jc w:val="center"/>
              </w:trPr>
              <w:tc>
                <w:tcPr>
                  <w:tcW w:w="109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03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568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废灯管和废活性炭分类收集，在危废暂存间（面积10㎡，采取“六防”措施）内分区存放，定期交有资质单位处理</w:t>
                  </w:r>
                </w:p>
              </w:tc>
              <w:tc>
                <w:tcPr>
                  <w:tcW w:w="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0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本次项目主要生产设备见表2-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750" w:firstLineChars="700"/>
              <w:textAlignment w:val="auto"/>
              <w:rPr>
                <w:rFonts w:hint="default" w:ascii="Times New Roman" w:hAnsi="Times New Roman" w:cs="Times New Roman"/>
                <w:b/>
                <w:bCs/>
                <w:color w:val="auto"/>
                <w:sz w:val="24"/>
                <w:szCs w:val="24"/>
                <w:u w:val="none"/>
                <w:lang w:val="zh-CN"/>
              </w:rPr>
            </w:pPr>
            <w:r>
              <w:rPr>
                <w:rFonts w:hint="default" w:ascii="Times New Roman" w:hAnsi="Times New Roman" w:cs="Times New Roman"/>
                <w:b/>
                <w:bCs/>
                <w:color w:val="auto"/>
                <w:sz w:val="24"/>
                <w:szCs w:val="24"/>
                <w:u w:val="none"/>
                <w:lang w:val="zh-CN"/>
              </w:rPr>
              <w:t>表2-</w:t>
            </w:r>
            <w:r>
              <w:rPr>
                <w:rFonts w:hint="default" w:ascii="Times New Roman" w:hAnsi="Times New Roman" w:cs="Times New Roman"/>
                <w:b/>
                <w:bCs/>
                <w:color w:val="auto"/>
                <w:sz w:val="24"/>
                <w:szCs w:val="24"/>
                <w:u w:val="none"/>
                <w:lang w:val="en-US" w:eastAsia="zh-CN"/>
              </w:rPr>
              <w:t>2</w:t>
            </w:r>
            <w:r>
              <w:rPr>
                <w:rFonts w:hint="default" w:ascii="Times New Roman" w:hAnsi="Times New Roman" w:cs="Times New Roman"/>
                <w:b/>
                <w:bCs/>
                <w:color w:val="auto"/>
                <w:sz w:val="24"/>
                <w:szCs w:val="24"/>
                <w:u w:val="none"/>
                <w:lang w:val="zh-CN"/>
              </w:rPr>
              <w:t xml:space="preserve">     项目工程主要生产设备一览表</w:t>
            </w:r>
          </w:p>
          <w:tbl>
            <w:tblPr>
              <w:tblStyle w:val="11"/>
              <w:tblW w:w="8473"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
            <w:tblGrid>
              <w:gridCol w:w="810"/>
              <w:gridCol w:w="2648"/>
              <w:gridCol w:w="1342"/>
              <w:gridCol w:w="1545"/>
              <w:gridCol w:w="21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Ex>
              <w:trPr>
                <w:trHeight w:val="90" w:hRule="atLeast"/>
                <w:tblHeader/>
                <w:jc w:val="center"/>
              </w:trPr>
              <w:tc>
                <w:tcPr>
                  <w:tcW w:w="81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b/>
                      <w:bCs/>
                      <w:color w:val="auto"/>
                      <w:lang w:val="zh-CN"/>
                    </w:rPr>
                  </w:pPr>
                  <w:r>
                    <w:rPr>
                      <w:rFonts w:hint="default" w:ascii="Times New Roman" w:hAnsi="Times New Roman" w:cs="Times New Roman"/>
                      <w:b/>
                      <w:bCs/>
                      <w:color w:val="auto"/>
                      <w:lang w:val="zh-CN"/>
                    </w:rPr>
                    <w:t>序号</w:t>
                  </w:r>
                </w:p>
              </w:tc>
              <w:tc>
                <w:tcPr>
                  <w:tcW w:w="264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b/>
                      <w:bCs/>
                      <w:color w:val="auto"/>
                      <w:lang w:val="zh-CN"/>
                    </w:rPr>
                  </w:pPr>
                  <w:r>
                    <w:rPr>
                      <w:rFonts w:hint="default" w:ascii="Times New Roman" w:hAnsi="Times New Roman" w:cs="Times New Roman"/>
                      <w:b/>
                      <w:bCs/>
                      <w:color w:val="auto"/>
                      <w:lang w:val="zh-CN"/>
                    </w:rPr>
                    <w:t>名称</w:t>
                  </w:r>
                </w:p>
              </w:tc>
              <w:tc>
                <w:tcPr>
                  <w:tcW w:w="134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b/>
                      <w:bCs/>
                      <w:color w:val="auto"/>
                      <w:lang w:val="zh-CN"/>
                    </w:rPr>
                  </w:pPr>
                  <w:r>
                    <w:rPr>
                      <w:rFonts w:hint="default" w:ascii="Times New Roman" w:hAnsi="Times New Roman" w:cs="Times New Roman"/>
                      <w:b/>
                      <w:bCs/>
                      <w:color w:val="auto"/>
                      <w:lang w:val="zh-CN"/>
                    </w:rPr>
                    <w:t>数量</w:t>
                  </w:r>
                </w:p>
              </w:tc>
              <w:tc>
                <w:tcPr>
                  <w:tcW w:w="154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b/>
                      <w:bCs/>
                      <w:color w:val="auto"/>
                      <w:lang w:val="zh-CN"/>
                    </w:rPr>
                  </w:pPr>
                  <w:r>
                    <w:rPr>
                      <w:rFonts w:hint="default" w:ascii="Times New Roman" w:hAnsi="Times New Roman" w:cs="Times New Roman"/>
                      <w:b/>
                      <w:bCs/>
                      <w:color w:val="auto"/>
                      <w:lang w:val="zh-CN"/>
                    </w:rPr>
                    <w:t>型号</w:t>
                  </w:r>
                </w:p>
              </w:tc>
              <w:tc>
                <w:tcPr>
                  <w:tcW w:w="212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b/>
                      <w:bCs/>
                      <w:color w:val="auto"/>
                      <w:lang w:val="zh-CN"/>
                    </w:rPr>
                  </w:pPr>
                  <w:r>
                    <w:rPr>
                      <w:rFonts w:hint="eastAsia" w:ascii="Times New Roman" w:hAnsi="Times New Roman" w:cs="Times New Roman"/>
                      <w:b/>
                      <w:bCs/>
                      <w:color w:val="auto"/>
                      <w:lang w:val="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Ex>
              <w:trPr>
                <w:trHeight w:val="207" w:hRule="atLeast"/>
                <w:tblHeader/>
                <w:jc w:val="center"/>
              </w:trPr>
              <w:tc>
                <w:tcPr>
                  <w:tcW w:w="81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1</w:t>
                  </w:r>
                </w:p>
              </w:tc>
              <w:tc>
                <w:tcPr>
                  <w:tcW w:w="2648" w:type="dxa"/>
                  <w:vAlign w:val="center"/>
                </w:tcPr>
                <w:p>
                  <w:pPr>
                    <w:keepNext w:val="0"/>
                    <w:keepLines w:val="0"/>
                    <w:pageBreakBefore w:val="0"/>
                    <w:widowControl w:val="0"/>
                    <w:kinsoku/>
                    <w:wordWrap/>
                    <w:overflowPunct/>
                    <w:topLinePunct w:val="0"/>
                    <w:bidi w:val="0"/>
                    <w:adjustRightInd w:val="0"/>
                    <w:spacing w:line="4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原料均化仓（含上料斗和绞龙上料机）</w:t>
                  </w:r>
                </w:p>
              </w:tc>
              <w:tc>
                <w:tcPr>
                  <w:tcW w:w="134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7台</w:t>
                  </w:r>
                </w:p>
              </w:tc>
              <w:tc>
                <w:tcPr>
                  <w:tcW w:w="154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10t</w:t>
                  </w:r>
                </w:p>
              </w:tc>
              <w:tc>
                <w:tcPr>
                  <w:tcW w:w="212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原料上料和均匀化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Ex>
              <w:trPr>
                <w:trHeight w:val="207" w:hRule="atLeast"/>
                <w:tblHeader/>
                <w:jc w:val="center"/>
              </w:trPr>
              <w:tc>
                <w:tcPr>
                  <w:tcW w:w="81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eastAsia="宋体" w:cs="Times New Roman"/>
                      <w:color w:val="auto"/>
                      <w:kern w:val="2"/>
                      <w:sz w:val="21"/>
                      <w:szCs w:val="24"/>
                      <w:lang w:val="zh-CN" w:eastAsia="zh-CN" w:bidi="ar-SA"/>
                    </w:rPr>
                  </w:pPr>
                  <w:r>
                    <w:rPr>
                      <w:rFonts w:hint="default" w:ascii="Times New Roman" w:hAnsi="Times New Roman" w:cs="Times New Roman"/>
                      <w:color w:val="auto"/>
                      <w:lang w:val="zh-CN"/>
                    </w:rPr>
                    <w:t>2</w:t>
                  </w:r>
                </w:p>
              </w:tc>
              <w:tc>
                <w:tcPr>
                  <w:tcW w:w="2648" w:type="dxa"/>
                  <w:vAlign w:val="center"/>
                </w:tcPr>
                <w:p>
                  <w:pPr>
                    <w:keepNext w:val="0"/>
                    <w:keepLines w:val="0"/>
                    <w:pageBreakBefore w:val="0"/>
                    <w:widowControl w:val="0"/>
                    <w:kinsoku/>
                    <w:wordWrap/>
                    <w:overflowPunct/>
                    <w:topLinePunct w:val="0"/>
                    <w:bidi w:val="0"/>
                    <w:adjustRightInd w:val="0"/>
                    <w:spacing w:line="4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成品均化仓（含下料斗和包装口）</w:t>
                  </w:r>
                </w:p>
              </w:tc>
              <w:tc>
                <w:tcPr>
                  <w:tcW w:w="134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7台</w:t>
                  </w:r>
                </w:p>
              </w:tc>
              <w:tc>
                <w:tcPr>
                  <w:tcW w:w="154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10t</w:t>
                  </w:r>
                </w:p>
              </w:tc>
              <w:tc>
                <w:tcPr>
                  <w:tcW w:w="212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成品下料和均匀化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Ex>
              <w:trPr>
                <w:trHeight w:val="372" w:hRule="atLeast"/>
                <w:tblHeader/>
                <w:jc w:val="center"/>
              </w:trPr>
              <w:tc>
                <w:tcPr>
                  <w:tcW w:w="81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cs="Times New Roman"/>
                      <w:color w:val="auto"/>
                      <w:lang w:val="en-US" w:eastAsia="zh-CN"/>
                    </w:rPr>
                    <w:t>3</w:t>
                  </w:r>
                </w:p>
              </w:tc>
              <w:tc>
                <w:tcPr>
                  <w:tcW w:w="2648" w:type="dxa"/>
                  <w:vAlign w:val="center"/>
                </w:tcPr>
                <w:p>
                  <w:pPr>
                    <w:keepNext w:val="0"/>
                    <w:keepLines w:val="0"/>
                    <w:pageBreakBefore w:val="0"/>
                    <w:widowControl w:val="0"/>
                    <w:kinsoku/>
                    <w:wordWrap/>
                    <w:overflowPunct/>
                    <w:topLinePunct w:val="0"/>
                    <w:bidi w:val="0"/>
                    <w:adjustRightInd w:val="0"/>
                    <w:spacing w:line="40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造粒机（熔融）</w:t>
                  </w:r>
                </w:p>
              </w:tc>
              <w:tc>
                <w:tcPr>
                  <w:tcW w:w="134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台</w:t>
                  </w:r>
                </w:p>
              </w:tc>
              <w:tc>
                <w:tcPr>
                  <w:tcW w:w="154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0.5t/h</w:t>
                  </w:r>
                </w:p>
              </w:tc>
              <w:tc>
                <w:tcPr>
                  <w:tcW w:w="212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熔融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Ex>
              <w:trPr>
                <w:trHeight w:val="372" w:hRule="atLeast"/>
                <w:tblHeader/>
                <w:jc w:val="center"/>
              </w:trPr>
              <w:tc>
                <w:tcPr>
                  <w:tcW w:w="81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cs="Times New Roman"/>
                      <w:color w:val="auto"/>
                      <w:lang w:val="en-US" w:eastAsia="zh-CN"/>
                    </w:rPr>
                    <w:t>4</w:t>
                  </w:r>
                </w:p>
              </w:tc>
              <w:tc>
                <w:tcPr>
                  <w:tcW w:w="2648" w:type="dxa"/>
                  <w:vAlign w:val="center"/>
                </w:tcPr>
                <w:p>
                  <w:pPr>
                    <w:keepNext w:val="0"/>
                    <w:keepLines w:val="0"/>
                    <w:pageBreakBefore w:val="0"/>
                    <w:widowControl w:val="0"/>
                    <w:kinsoku/>
                    <w:wordWrap/>
                    <w:overflowPunct/>
                    <w:topLinePunct w:val="0"/>
                    <w:bidi w:val="0"/>
                    <w:adjustRightInd w:val="0"/>
                    <w:spacing w:line="40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水冷拉条塑造线</w:t>
                  </w:r>
                </w:p>
              </w:tc>
              <w:tc>
                <w:tcPr>
                  <w:tcW w:w="134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套</w:t>
                  </w:r>
                </w:p>
              </w:tc>
              <w:tc>
                <w:tcPr>
                  <w:tcW w:w="154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auto"/>
                      <w:lang w:val="en-US"/>
                    </w:rPr>
                  </w:pPr>
                  <w:r>
                    <w:rPr>
                      <w:rFonts w:hint="eastAsia" w:ascii="Times New Roman" w:hAnsi="Times New Roman" w:cs="Times New Roman"/>
                      <w:color w:val="auto"/>
                      <w:lang w:val="en-US" w:eastAsia="zh-CN"/>
                    </w:rPr>
                    <w:t>0.5t/h</w:t>
                  </w:r>
                </w:p>
              </w:tc>
              <w:tc>
                <w:tcPr>
                  <w:tcW w:w="212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挤出成型和冷却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Ex>
              <w:trPr>
                <w:trHeight w:val="372" w:hRule="atLeast"/>
                <w:tblHeader/>
                <w:jc w:val="center"/>
              </w:trPr>
              <w:tc>
                <w:tcPr>
                  <w:tcW w:w="81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cs="Times New Roman"/>
                      <w:color w:val="auto"/>
                      <w:lang w:val="en-US" w:eastAsia="zh-CN"/>
                    </w:rPr>
                    <w:t>5</w:t>
                  </w:r>
                </w:p>
              </w:tc>
              <w:tc>
                <w:tcPr>
                  <w:tcW w:w="2648" w:type="dxa"/>
                  <w:vAlign w:val="center"/>
                </w:tcPr>
                <w:p>
                  <w:pPr>
                    <w:keepNext w:val="0"/>
                    <w:keepLines w:val="0"/>
                    <w:pageBreakBefore w:val="0"/>
                    <w:widowControl w:val="0"/>
                    <w:kinsoku/>
                    <w:wordWrap/>
                    <w:overflowPunct/>
                    <w:topLinePunct w:val="0"/>
                    <w:bidi w:val="0"/>
                    <w:adjustRightInd w:val="0"/>
                    <w:spacing w:line="400" w:lineRule="exact"/>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切粒机</w:t>
                  </w:r>
                </w:p>
              </w:tc>
              <w:tc>
                <w:tcPr>
                  <w:tcW w:w="134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台</w:t>
                  </w:r>
                </w:p>
              </w:tc>
              <w:tc>
                <w:tcPr>
                  <w:tcW w:w="154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auto"/>
                      <w:lang w:val="en-US"/>
                    </w:rPr>
                  </w:pPr>
                  <w:r>
                    <w:rPr>
                      <w:rFonts w:hint="eastAsia" w:ascii="Times New Roman" w:hAnsi="Times New Roman" w:cs="Times New Roman"/>
                      <w:color w:val="auto"/>
                      <w:lang w:val="en-US" w:eastAsia="zh-CN"/>
                    </w:rPr>
                    <w:t>0.5t/h</w:t>
                  </w:r>
                </w:p>
              </w:tc>
              <w:tc>
                <w:tcPr>
                  <w:tcW w:w="212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切成颗粒状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Ex>
              <w:trPr>
                <w:trHeight w:val="372" w:hRule="atLeast"/>
                <w:tblHeader/>
                <w:jc w:val="center"/>
              </w:trPr>
              <w:tc>
                <w:tcPr>
                  <w:tcW w:w="81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Times New Roman" w:hAnsi="Times New Roman" w:eastAsia="宋体" w:cs="Times New Roman"/>
                      <w:color w:val="auto"/>
                      <w:kern w:val="2"/>
                      <w:sz w:val="21"/>
                      <w:szCs w:val="24"/>
                      <w:lang w:val="zh-CN" w:eastAsia="zh-CN" w:bidi="ar-SA"/>
                    </w:rPr>
                  </w:pPr>
                  <w:r>
                    <w:rPr>
                      <w:rFonts w:hint="eastAsia" w:ascii="Times New Roman" w:hAnsi="Times New Roman" w:cs="Times New Roman"/>
                      <w:color w:val="auto"/>
                      <w:lang w:val="en-US" w:eastAsia="zh-CN"/>
                    </w:rPr>
                    <w:t>6</w:t>
                  </w:r>
                </w:p>
              </w:tc>
              <w:tc>
                <w:tcPr>
                  <w:tcW w:w="2648" w:type="dxa"/>
                  <w:vAlign w:val="center"/>
                </w:tcPr>
                <w:p>
                  <w:pPr>
                    <w:keepNext w:val="0"/>
                    <w:keepLines w:val="0"/>
                    <w:pageBreakBefore w:val="0"/>
                    <w:widowControl w:val="0"/>
                    <w:kinsoku/>
                    <w:wordWrap/>
                    <w:overflowPunct/>
                    <w:topLinePunct w:val="0"/>
                    <w:bidi w:val="0"/>
                    <w:adjustRightInd w:val="0"/>
                    <w:spacing w:line="4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振动筛</w:t>
                  </w:r>
                </w:p>
              </w:tc>
              <w:tc>
                <w:tcPr>
                  <w:tcW w:w="134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条</w:t>
                  </w:r>
                </w:p>
              </w:tc>
              <w:tc>
                <w:tcPr>
                  <w:tcW w:w="154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212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筛分，大的颗粒重新返回使用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Ex>
              <w:trPr>
                <w:trHeight w:val="372" w:hRule="atLeast"/>
                <w:tblHeader/>
                <w:jc w:val="center"/>
              </w:trPr>
              <w:tc>
                <w:tcPr>
                  <w:tcW w:w="81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w:t>
                  </w:r>
                </w:p>
              </w:tc>
              <w:tc>
                <w:tcPr>
                  <w:tcW w:w="2648" w:type="dxa"/>
                  <w:vAlign w:val="center"/>
                </w:tcPr>
                <w:p>
                  <w:pPr>
                    <w:keepNext w:val="0"/>
                    <w:keepLines w:val="0"/>
                    <w:pageBreakBefore w:val="0"/>
                    <w:widowControl w:val="0"/>
                    <w:kinsoku/>
                    <w:wordWrap/>
                    <w:overflowPunct/>
                    <w:topLinePunct w:val="0"/>
                    <w:bidi w:val="0"/>
                    <w:adjustRightInd w:val="0"/>
                    <w:spacing w:line="400" w:lineRule="exact"/>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风力输送机</w:t>
                  </w:r>
                </w:p>
              </w:tc>
              <w:tc>
                <w:tcPr>
                  <w:tcW w:w="134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7台</w:t>
                  </w:r>
                </w:p>
              </w:tc>
              <w:tc>
                <w:tcPr>
                  <w:tcW w:w="154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成品由风力输送机运输至成品均化仓</w:t>
                  </w:r>
                </w:p>
              </w:tc>
              <w:tc>
                <w:tcPr>
                  <w:tcW w:w="212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成品输送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Ex>
              <w:trPr>
                <w:trHeight w:val="372" w:hRule="atLeast"/>
                <w:tblHeader/>
                <w:jc w:val="center"/>
              </w:trPr>
              <w:tc>
                <w:tcPr>
                  <w:tcW w:w="810"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eastAsia="宋体" w:cs="Times New Roman"/>
                      <w:color w:val="auto"/>
                      <w:kern w:val="2"/>
                      <w:sz w:val="21"/>
                      <w:szCs w:val="24"/>
                      <w:lang w:val="zh-CN" w:eastAsia="zh-CN" w:bidi="ar-SA"/>
                    </w:rPr>
                  </w:pPr>
                  <w:r>
                    <w:rPr>
                      <w:rFonts w:hint="default" w:ascii="Times New Roman" w:hAnsi="Times New Roman" w:cs="Times New Roman"/>
                      <w:color w:val="auto"/>
                      <w:lang w:val="en-US" w:eastAsia="zh-CN"/>
                    </w:rPr>
                    <w:t>8</w:t>
                  </w:r>
                </w:p>
              </w:tc>
              <w:tc>
                <w:tcPr>
                  <w:tcW w:w="2648" w:type="dxa"/>
                  <w:vAlign w:val="center"/>
                </w:tcPr>
                <w:p>
                  <w:pPr>
                    <w:keepNext w:val="0"/>
                    <w:keepLines w:val="0"/>
                    <w:pageBreakBefore w:val="0"/>
                    <w:widowControl w:val="0"/>
                    <w:kinsoku/>
                    <w:wordWrap/>
                    <w:overflowPunct/>
                    <w:topLinePunct w:val="0"/>
                    <w:bidi w:val="0"/>
                    <w:adjustRightInd w:val="0"/>
                    <w:spacing w:line="400" w:lineRule="exact"/>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自动包装机</w:t>
                  </w:r>
                </w:p>
              </w:tc>
              <w:tc>
                <w:tcPr>
                  <w:tcW w:w="134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台</w:t>
                  </w:r>
                </w:p>
              </w:tc>
              <w:tc>
                <w:tcPr>
                  <w:tcW w:w="154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包装</w:t>
                  </w:r>
                </w:p>
              </w:tc>
              <w:tc>
                <w:tcPr>
                  <w:tcW w:w="212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jc w:val="center"/>
                    <w:textAlignment w:val="auto"/>
                    <w:rPr>
                      <w:rFonts w:hint="eastAsia" w:ascii="Times New Roman" w:hAnsi="Times New Roman"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用于包装</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生产线产能匹配性分析：</w:t>
            </w:r>
            <w:r>
              <w:rPr>
                <w:rFonts w:hint="default" w:ascii="Times New Roman" w:hAnsi="Times New Roman" w:cs="Times New Roman"/>
                <w:color w:val="auto"/>
                <w:sz w:val="24"/>
                <w:szCs w:val="24"/>
              </w:rPr>
              <w:t>本项目设备选型按照节能、高效、先进的原则，对国家明令禁止的耗能设备不予采用。本项目拟建废塑料造粒生产线</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条，年工作时间300d，每天</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h，</w:t>
            </w:r>
            <w:r>
              <w:rPr>
                <w:rFonts w:hint="eastAsia" w:ascii="Times New Roman" w:hAnsi="Times New Roman" w:cs="Times New Roman"/>
                <w:color w:val="auto"/>
                <w:sz w:val="24"/>
                <w:szCs w:val="24"/>
                <w:lang w:eastAsia="zh-CN"/>
              </w:rPr>
              <w:t>每</w:t>
            </w:r>
            <w:r>
              <w:rPr>
                <w:rFonts w:hint="default" w:ascii="Times New Roman" w:hAnsi="Times New Roman" w:cs="Times New Roman"/>
                <w:color w:val="auto"/>
                <w:sz w:val="24"/>
                <w:szCs w:val="24"/>
              </w:rPr>
              <w:t>条废塑料造粒生产线的设计生产能力</w:t>
            </w:r>
            <w:r>
              <w:rPr>
                <w:rFonts w:hint="eastAsia" w:ascii="Times New Roman" w:hAnsi="Times New Roman" w:cs="Times New Roman"/>
                <w:color w:val="auto"/>
                <w:sz w:val="24"/>
                <w:szCs w:val="24"/>
                <w:lang w:val="en-US" w:eastAsia="zh-CN"/>
              </w:rPr>
              <w:t>0.4</w:t>
            </w:r>
            <w:r>
              <w:rPr>
                <w:rFonts w:hint="default" w:ascii="Times New Roman" w:hAnsi="Times New Roman" w:cs="Times New Roman"/>
                <w:color w:val="auto"/>
                <w:sz w:val="24"/>
                <w:szCs w:val="24"/>
              </w:rPr>
              <w:t>t/</w:t>
            </w:r>
            <w:r>
              <w:rPr>
                <w:rFonts w:hint="eastAsia" w:ascii="Times New Roman" w:hAnsi="Times New Roman" w:cs="Times New Roman"/>
                <w:color w:val="auto"/>
                <w:sz w:val="24"/>
                <w:szCs w:val="24"/>
                <w:lang w:val="en-US" w:eastAsia="zh-CN"/>
              </w:rPr>
              <w:t>h（合计年产6720t/a），年</w:t>
            </w:r>
            <w:r>
              <w:rPr>
                <w:rFonts w:hint="default" w:ascii="Times New Roman" w:hAnsi="Times New Roman" w:cs="Times New Roman"/>
                <w:color w:val="auto"/>
                <w:sz w:val="24"/>
                <w:szCs w:val="24"/>
              </w:rPr>
              <w:t>生产能力可以满足“年产5000吨再生塑料颗粒”的生产规模，因此项目配置设备产能合理。</w:t>
            </w:r>
          </w:p>
          <w:p>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本次项目主要原辅材料及能源消耗见表2-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u w:val="none"/>
              </w:rPr>
              <w:t>表2-</w:t>
            </w:r>
            <w:r>
              <w:rPr>
                <w:rFonts w:hint="default" w:ascii="Times New Roman" w:hAnsi="Times New Roman" w:cs="Times New Roman"/>
                <w:b/>
                <w:bCs/>
                <w:color w:val="auto"/>
                <w:sz w:val="24"/>
                <w:szCs w:val="24"/>
                <w:u w:val="none"/>
                <w:lang w:val="en-US" w:eastAsia="zh-CN"/>
              </w:rPr>
              <w:t>3</w:t>
            </w:r>
            <w:r>
              <w:rPr>
                <w:rFonts w:hint="default" w:ascii="Times New Roman" w:hAnsi="Times New Roman" w:cs="Times New Roman"/>
                <w:b/>
                <w:bCs/>
                <w:color w:val="auto"/>
                <w:sz w:val="24"/>
                <w:szCs w:val="24"/>
                <w:u w:val="none"/>
              </w:rPr>
              <w:t xml:space="preserve">     项目工程主要原辅料消耗情况一览表</w:t>
            </w:r>
          </w:p>
          <w:tbl>
            <w:tblPr>
              <w:tblStyle w:val="11"/>
              <w:tblW w:w="865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
            <w:tblGrid>
              <w:gridCol w:w="531"/>
              <w:gridCol w:w="930"/>
              <w:gridCol w:w="930"/>
              <w:gridCol w:w="990"/>
              <w:gridCol w:w="2470"/>
              <w:gridCol w:w="279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Ex>
              <w:trPr>
                <w:trHeight w:val="345" w:hRule="atLeast"/>
                <w:jc w:val="center"/>
              </w:trPr>
              <w:tc>
                <w:tcPr>
                  <w:tcW w:w="531"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序号</w:t>
                  </w:r>
                </w:p>
              </w:tc>
              <w:tc>
                <w:tcPr>
                  <w:tcW w:w="93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名称</w:t>
                  </w:r>
                </w:p>
              </w:tc>
              <w:tc>
                <w:tcPr>
                  <w:tcW w:w="93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单位</w:t>
                  </w:r>
                </w:p>
              </w:tc>
              <w:tc>
                <w:tcPr>
                  <w:tcW w:w="99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年用量</w:t>
                  </w:r>
                </w:p>
              </w:tc>
              <w:tc>
                <w:tcPr>
                  <w:tcW w:w="2470" w:type="dxa"/>
                  <w:tcBorders>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spacing w:line="360" w:lineRule="auto"/>
                    <w:jc w:val="center"/>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备注</w:t>
                  </w:r>
                </w:p>
              </w:tc>
              <w:tc>
                <w:tcPr>
                  <w:tcW w:w="2799" w:type="dxa"/>
                  <w:tcBorders>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spacing w:line="360" w:lineRule="auto"/>
                    <w:jc w:val="center"/>
                    <w:rPr>
                      <w:rFonts w:hint="default" w:ascii="Times New Roman" w:hAnsi="Times New Roman" w:eastAsia="宋体" w:cs="Times New Roman"/>
                      <w:b/>
                      <w:bCs/>
                      <w:color w:val="auto"/>
                      <w:sz w:val="21"/>
                      <w:szCs w:val="21"/>
                      <w:lang w:val="zh-CN"/>
                    </w:rPr>
                  </w:pPr>
                  <w:r>
                    <w:rPr>
                      <w:rFonts w:hint="eastAsia" w:ascii="Times New Roman" w:hAnsi="Times New Roman" w:cs="Times New Roman"/>
                      <w:b/>
                      <w:bCs/>
                      <w:color w:val="auto"/>
                      <w:sz w:val="21"/>
                      <w:szCs w:val="21"/>
                      <w:lang w:val="zh-CN"/>
                    </w:rPr>
                    <w:t>图例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Ex>
              <w:trPr>
                <w:trHeight w:val="242" w:hRule="atLeast"/>
                <w:jc w:val="center"/>
              </w:trPr>
              <w:tc>
                <w:tcPr>
                  <w:tcW w:w="531" w:type="dxa"/>
                  <w:vAlign w:val="center"/>
                </w:tcPr>
                <w:p>
                  <w:pPr>
                    <w:keepNext w:val="0"/>
                    <w:keepLines w:val="0"/>
                    <w:pageBreakBefore w:val="0"/>
                    <w:widowControl/>
                    <w:kinsoku/>
                    <w:wordWrap/>
                    <w:overflowPunct/>
                    <w:topLinePunct w:val="0"/>
                    <w:bidi w:val="0"/>
                    <w:snapToGrid/>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30" w:type="dxa"/>
                  <w:vAlign w:val="center"/>
                </w:tcPr>
                <w:p>
                  <w:pPr>
                    <w:keepNext w:val="0"/>
                    <w:keepLines w:val="0"/>
                    <w:pageBreakBefore w:val="0"/>
                    <w:widowControl/>
                    <w:kinsoku/>
                    <w:wordWrap/>
                    <w:overflowPunct/>
                    <w:topLinePunct w:val="0"/>
                    <w:bidi w:val="0"/>
                    <w:snapToGrid/>
                    <w:spacing w:line="36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废PP料</w:t>
                  </w:r>
                  <w:r>
                    <w:rPr>
                      <w:rFonts w:hint="eastAsia" w:ascii="Times New Roman" w:hAnsi="Times New Roman" w:eastAsia="宋体" w:cs="Times New Roman"/>
                      <w:color w:val="auto"/>
                      <w:sz w:val="21"/>
                      <w:szCs w:val="21"/>
                      <w:lang w:val="en-US" w:eastAsia="zh-CN"/>
                    </w:rPr>
                    <w:t>和</w:t>
                  </w:r>
                  <w:r>
                    <w:rPr>
                      <w:rFonts w:hint="default" w:ascii="Times New Roman" w:hAnsi="Times New Roman" w:eastAsia="宋体" w:cs="Times New Roman"/>
                      <w:color w:val="auto"/>
                      <w:sz w:val="21"/>
                      <w:szCs w:val="21"/>
                      <w:lang w:val="en-US" w:eastAsia="zh-CN"/>
                    </w:rPr>
                    <w:t>PE料</w:t>
                  </w:r>
                </w:p>
              </w:tc>
              <w:tc>
                <w:tcPr>
                  <w:tcW w:w="930" w:type="dxa"/>
                  <w:vAlign w:val="center"/>
                </w:tcPr>
                <w:p>
                  <w:pPr>
                    <w:keepNext w:val="0"/>
                    <w:keepLines w:val="0"/>
                    <w:pageBreakBefore w:val="0"/>
                    <w:kinsoku/>
                    <w:wordWrap/>
                    <w:overflowPunct/>
                    <w:topLinePunct w:val="0"/>
                    <w:autoSpaceDE w:val="0"/>
                    <w:autoSpaceDN w:val="0"/>
                    <w:bidi w:val="0"/>
                    <w:adjustRightInd w:val="0"/>
                    <w:snapToGrid/>
                    <w:spacing w:line="36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吨</w:t>
                  </w:r>
                </w:p>
              </w:tc>
              <w:tc>
                <w:tcPr>
                  <w:tcW w:w="990" w:type="dxa"/>
                  <w:vAlign w:val="center"/>
                </w:tcPr>
                <w:p>
                  <w:pPr>
                    <w:keepNext w:val="0"/>
                    <w:keepLines w:val="0"/>
                    <w:pageBreakBefore w:val="0"/>
                    <w:widowControl/>
                    <w:suppressLineNumbers w:val="0"/>
                    <w:kinsoku/>
                    <w:wordWrap/>
                    <w:overflowPunct/>
                    <w:topLinePunct w:val="0"/>
                    <w:bidi w:val="0"/>
                    <w:snapToGrid/>
                    <w:spacing w:line="360" w:lineRule="auto"/>
                    <w:jc w:val="center"/>
                    <w:textAlignment w:val="center"/>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auto"/>
                      <w:sz w:val="21"/>
                      <w:szCs w:val="21"/>
                      <w:lang w:val="en-US" w:eastAsia="zh-CN"/>
                    </w:rPr>
                    <w:t>5005.11</w:t>
                  </w:r>
                </w:p>
              </w:tc>
              <w:tc>
                <w:tcPr>
                  <w:tcW w:w="2470" w:type="dxa"/>
                  <w:tcBorders>
                    <w:right w:val="single" w:color="auto" w:sz="4" w:space="0"/>
                  </w:tcBorders>
                  <w:vAlign w:val="center"/>
                </w:tcPr>
                <w:p>
                  <w:pPr>
                    <w:keepNext w:val="0"/>
                    <w:keepLines w:val="0"/>
                    <w:pageBreakBefore w:val="0"/>
                    <w:tabs>
                      <w:tab w:val="left" w:pos="435"/>
                    </w:tabs>
                    <w:kinsoku/>
                    <w:wordWrap/>
                    <w:overflowPunct/>
                    <w:topLinePunct w:val="0"/>
                    <w:autoSpaceDE w:val="0"/>
                    <w:autoSpaceDN w:val="0"/>
                    <w:bidi w:val="0"/>
                    <w:adjustRightInd w:val="0"/>
                    <w:snapToGrid/>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外购，原料均经过清洗和破碎，袋装，</w:t>
                  </w:r>
                  <w:r>
                    <w:rPr>
                      <w:rFonts w:hint="eastAsia" w:ascii="Times New Roman" w:hAnsi="Times New Roman" w:cs="Times New Roman"/>
                      <w:color w:val="auto"/>
                      <w:sz w:val="21"/>
                      <w:szCs w:val="21"/>
                      <w:lang w:val="en-US" w:eastAsia="zh-CN"/>
                    </w:rPr>
                    <w:t>每袋100kg，片状1~3cm，</w:t>
                  </w:r>
                  <w:r>
                    <w:rPr>
                      <w:rFonts w:hint="default" w:ascii="Times New Roman" w:hAnsi="Times New Roman" w:eastAsia="宋体" w:cs="Times New Roman"/>
                      <w:color w:val="auto"/>
                      <w:sz w:val="21"/>
                      <w:szCs w:val="21"/>
                      <w:lang w:val="en-US" w:eastAsia="zh-CN"/>
                    </w:rPr>
                    <w:t>储存于生产车间内的原料区</w:t>
                  </w:r>
                  <w:r>
                    <w:rPr>
                      <w:rFonts w:hint="eastAsia" w:ascii="Times New Roman" w:hAnsi="Times New Roman" w:cs="Times New Roman"/>
                      <w:color w:val="auto"/>
                      <w:sz w:val="21"/>
                      <w:szCs w:val="21"/>
                      <w:lang w:val="en-US" w:eastAsia="zh-CN"/>
                    </w:rPr>
                    <w:t>，</w:t>
                  </w:r>
                </w:p>
              </w:tc>
              <w:tc>
                <w:tcPr>
                  <w:tcW w:w="2799" w:type="dxa"/>
                  <w:vMerge w:val="restart"/>
                  <w:tcBorders>
                    <w:right w:val="single" w:color="auto" w:sz="4" w:space="0"/>
                  </w:tcBorders>
                  <w:vAlign w:val="center"/>
                </w:tcPr>
                <w:p>
                  <w:pPr>
                    <w:keepNext w:val="0"/>
                    <w:keepLines w:val="0"/>
                    <w:pageBreakBefore w:val="0"/>
                    <w:tabs>
                      <w:tab w:val="left" w:pos="435"/>
                    </w:tabs>
                    <w:kinsoku/>
                    <w:wordWrap/>
                    <w:overflowPunct/>
                    <w:topLinePunct w:val="0"/>
                    <w:autoSpaceDE w:val="0"/>
                    <w:autoSpaceDN w:val="0"/>
                    <w:bidi w:val="0"/>
                    <w:adjustRightInd w:val="0"/>
                    <w:snapToGrid/>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drawing>
                      <wp:inline distT="0" distB="0" distL="114300" distR="114300">
                        <wp:extent cx="1304290" cy="2748915"/>
                        <wp:effectExtent l="0" t="0" r="10160" b="13335"/>
                        <wp:docPr id="71" name="图片 71" descr="16993c96558d8220e949ade7d08d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6993c96558d8220e949ade7d08def5"/>
                                <pic:cNvPicPr>
                                  <a:picLocks noChangeAspect="1"/>
                                </pic:cNvPicPr>
                              </pic:nvPicPr>
                              <pic:blipFill>
                                <a:blip r:embed="rId6"/>
                                <a:stretch>
                                  <a:fillRect/>
                                </a:stretch>
                              </pic:blipFill>
                              <pic:spPr>
                                <a:xfrm>
                                  <a:off x="0" y="0"/>
                                  <a:ext cx="1304290" cy="2748915"/>
                                </a:xfrm>
                                <a:prstGeom prst="rect">
                                  <a:avLst/>
                                </a:prstGeom>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Ex>
              <w:trPr>
                <w:trHeight w:val="305" w:hRule="atLeast"/>
                <w:jc w:val="center"/>
              </w:trPr>
              <w:tc>
                <w:tcPr>
                  <w:tcW w:w="531" w:type="dxa"/>
                  <w:vAlign w:val="center"/>
                </w:tcPr>
                <w:p>
                  <w:pPr>
                    <w:keepNext w:val="0"/>
                    <w:keepLines w:val="0"/>
                    <w:pageBreakBefore w:val="0"/>
                    <w:widowControl/>
                    <w:kinsoku/>
                    <w:wordWrap/>
                    <w:overflowPunct/>
                    <w:topLinePunct w:val="0"/>
                    <w:bidi w:val="0"/>
                    <w:snapToGrid/>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p>
              </w:tc>
              <w:tc>
                <w:tcPr>
                  <w:tcW w:w="930" w:type="dxa"/>
                  <w:vAlign w:val="center"/>
                </w:tcPr>
                <w:p>
                  <w:pPr>
                    <w:keepNext w:val="0"/>
                    <w:keepLines w:val="0"/>
                    <w:pageBreakBefore w:val="0"/>
                    <w:widowControl/>
                    <w:kinsoku/>
                    <w:wordWrap/>
                    <w:overflowPunct/>
                    <w:topLinePunct w:val="0"/>
                    <w:bidi w:val="0"/>
                    <w:snapToGrid/>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水</w:t>
                  </w:r>
                </w:p>
              </w:tc>
              <w:tc>
                <w:tcPr>
                  <w:tcW w:w="930" w:type="dxa"/>
                  <w:vAlign w:val="center"/>
                </w:tcPr>
                <w:p>
                  <w:pPr>
                    <w:keepNext w:val="0"/>
                    <w:keepLines w:val="0"/>
                    <w:pageBreakBefore w:val="0"/>
                    <w:kinsoku/>
                    <w:wordWrap/>
                    <w:overflowPunct/>
                    <w:topLinePunct w:val="0"/>
                    <w:autoSpaceDE w:val="0"/>
                    <w:autoSpaceDN w:val="0"/>
                    <w:bidi w:val="0"/>
                    <w:adjustRightInd w:val="0"/>
                    <w:snapToGrid/>
                    <w:spacing w:line="360" w:lineRule="auto"/>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990" w:type="dxa"/>
                  <w:vAlign w:val="top"/>
                </w:tcPr>
                <w:p>
                  <w:pPr>
                    <w:keepNext w:val="0"/>
                    <w:keepLines w:val="0"/>
                    <w:pageBreakBefore w:val="0"/>
                    <w:kinsoku/>
                    <w:wordWrap/>
                    <w:overflowPunct/>
                    <w:topLinePunct w:val="0"/>
                    <w:bidi w:val="0"/>
                    <w:snapToGrid/>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549</w:t>
                  </w:r>
                </w:p>
              </w:tc>
              <w:tc>
                <w:tcPr>
                  <w:tcW w:w="2470" w:type="dxa"/>
                  <w:tcBorders>
                    <w:right w:val="single" w:color="auto" w:sz="4" w:space="0"/>
                  </w:tcBorders>
                  <w:vAlign w:val="center"/>
                </w:tcPr>
                <w:p>
                  <w:pPr>
                    <w:keepNext w:val="0"/>
                    <w:keepLines w:val="0"/>
                    <w:pageBreakBefore w:val="0"/>
                    <w:tabs>
                      <w:tab w:val="left" w:pos="435"/>
                    </w:tabs>
                    <w:kinsoku/>
                    <w:wordWrap/>
                    <w:overflowPunct/>
                    <w:topLinePunct w:val="0"/>
                    <w:autoSpaceDE w:val="0"/>
                    <w:autoSpaceDN w:val="0"/>
                    <w:bidi w:val="0"/>
                    <w:adjustRightInd w:val="0"/>
                    <w:snapToGrid/>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厂区自备井</w:t>
                  </w:r>
                </w:p>
              </w:tc>
              <w:tc>
                <w:tcPr>
                  <w:tcW w:w="2799" w:type="dxa"/>
                  <w:vMerge w:val="continue"/>
                  <w:tcBorders>
                    <w:right w:val="single" w:color="auto" w:sz="4" w:space="0"/>
                  </w:tcBorders>
                  <w:vAlign w:val="center"/>
                </w:tcPr>
                <w:p>
                  <w:pPr>
                    <w:keepNext w:val="0"/>
                    <w:keepLines w:val="0"/>
                    <w:pageBreakBefore w:val="0"/>
                    <w:tabs>
                      <w:tab w:val="left" w:pos="435"/>
                    </w:tabs>
                    <w:kinsoku/>
                    <w:wordWrap/>
                    <w:overflowPunct/>
                    <w:topLinePunct w:val="0"/>
                    <w:autoSpaceDE w:val="0"/>
                    <w:autoSpaceDN w:val="0"/>
                    <w:bidi w:val="0"/>
                    <w:adjustRightInd w:val="0"/>
                    <w:snapToGrid/>
                    <w:spacing w:line="36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Ex>
              <w:trPr>
                <w:trHeight w:val="110" w:hRule="atLeast"/>
                <w:jc w:val="center"/>
              </w:trPr>
              <w:tc>
                <w:tcPr>
                  <w:tcW w:w="531" w:type="dxa"/>
                  <w:vAlign w:val="center"/>
                </w:tcPr>
                <w:p>
                  <w:pPr>
                    <w:keepNext w:val="0"/>
                    <w:keepLines w:val="0"/>
                    <w:pageBreakBefore w:val="0"/>
                    <w:widowControl/>
                    <w:kinsoku/>
                    <w:wordWrap/>
                    <w:overflowPunct/>
                    <w:topLinePunct w:val="0"/>
                    <w:bidi w:val="0"/>
                    <w:snapToGrid/>
                    <w:spacing w:line="36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930" w:type="dxa"/>
                  <w:vAlign w:val="center"/>
                </w:tcPr>
                <w:p>
                  <w:pPr>
                    <w:keepNext w:val="0"/>
                    <w:keepLines w:val="0"/>
                    <w:pageBreakBefore w:val="0"/>
                    <w:widowControl/>
                    <w:kinsoku/>
                    <w:wordWrap/>
                    <w:overflowPunct/>
                    <w:topLinePunct w:val="0"/>
                    <w:bidi w:val="0"/>
                    <w:snapToGrid/>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电</w:t>
                  </w:r>
                </w:p>
              </w:tc>
              <w:tc>
                <w:tcPr>
                  <w:tcW w:w="930" w:type="dxa"/>
                  <w:vAlign w:val="center"/>
                </w:tcPr>
                <w:p>
                  <w:pPr>
                    <w:keepNext w:val="0"/>
                    <w:keepLines w:val="0"/>
                    <w:pageBreakBefore w:val="0"/>
                    <w:kinsoku/>
                    <w:wordWrap/>
                    <w:overflowPunct/>
                    <w:topLinePunct w:val="0"/>
                    <w:autoSpaceDE w:val="0"/>
                    <w:autoSpaceDN w:val="0"/>
                    <w:bidi w:val="0"/>
                    <w:adjustRightInd w:val="0"/>
                    <w:snapToGrid/>
                    <w:spacing w:line="360" w:lineRule="auto"/>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sz w:val="21"/>
                      <w:szCs w:val="21"/>
                    </w:rPr>
                    <w:t>万kWh</w:t>
                  </w:r>
                </w:p>
              </w:tc>
              <w:tc>
                <w:tcPr>
                  <w:tcW w:w="990" w:type="dxa"/>
                  <w:vAlign w:val="center"/>
                </w:tcPr>
                <w:p>
                  <w:pPr>
                    <w:keepNext w:val="0"/>
                    <w:keepLines w:val="0"/>
                    <w:pageBreakBefore w:val="0"/>
                    <w:kinsoku/>
                    <w:wordWrap/>
                    <w:overflowPunct/>
                    <w:topLinePunct w:val="0"/>
                    <w:bidi w:val="0"/>
                    <w:snapToGrid/>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w:t>
                  </w:r>
                </w:p>
              </w:tc>
              <w:tc>
                <w:tcPr>
                  <w:tcW w:w="2470" w:type="dxa"/>
                  <w:tcBorders>
                    <w:right w:val="single" w:color="auto" w:sz="4" w:space="0"/>
                  </w:tcBorders>
                  <w:vAlign w:val="center"/>
                </w:tcPr>
                <w:p>
                  <w:pPr>
                    <w:keepNext w:val="0"/>
                    <w:keepLines w:val="0"/>
                    <w:pageBreakBefore w:val="0"/>
                    <w:tabs>
                      <w:tab w:val="left" w:pos="435"/>
                    </w:tabs>
                    <w:kinsoku/>
                    <w:wordWrap/>
                    <w:overflowPunct/>
                    <w:topLinePunct w:val="0"/>
                    <w:autoSpaceDE w:val="0"/>
                    <w:autoSpaceDN w:val="0"/>
                    <w:bidi w:val="0"/>
                    <w:adjustRightInd w:val="0"/>
                    <w:snapToGrid/>
                    <w:spacing w:line="360" w:lineRule="auto"/>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eastAsia="宋体" w:cs="Times New Roman"/>
                      <w:color w:val="auto"/>
                      <w:sz w:val="21"/>
                      <w:szCs w:val="21"/>
                    </w:rPr>
                    <w:t>由</w:t>
                  </w:r>
                  <w:r>
                    <w:rPr>
                      <w:rFonts w:hint="eastAsia" w:ascii="Times New Roman" w:hAnsi="Times New Roman" w:cs="Times New Roman"/>
                      <w:color w:val="auto"/>
                      <w:sz w:val="21"/>
                      <w:szCs w:val="21"/>
                      <w:lang w:val="en-US" w:eastAsia="zh-CN"/>
                    </w:rPr>
                    <w:t>当地市政供电</w:t>
                  </w:r>
                </w:p>
              </w:tc>
              <w:tc>
                <w:tcPr>
                  <w:tcW w:w="2799" w:type="dxa"/>
                  <w:vMerge w:val="continue"/>
                  <w:tcBorders>
                    <w:right w:val="single" w:color="auto" w:sz="4" w:space="0"/>
                  </w:tcBorders>
                  <w:vAlign w:val="center"/>
                </w:tcPr>
                <w:p>
                  <w:pPr>
                    <w:keepNext w:val="0"/>
                    <w:keepLines w:val="0"/>
                    <w:pageBreakBefore w:val="0"/>
                    <w:tabs>
                      <w:tab w:val="left" w:pos="435"/>
                    </w:tabs>
                    <w:kinsoku/>
                    <w:wordWrap/>
                    <w:overflowPunct/>
                    <w:topLinePunct w:val="0"/>
                    <w:autoSpaceDE w:val="0"/>
                    <w:autoSpaceDN w:val="0"/>
                    <w:bidi w:val="0"/>
                    <w:adjustRightInd w:val="0"/>
                    <w:snapToGrid/>
                    <w:spacing w:line="360" w:lineRule="auto"/>
                    <w:jc w:val="center"/>
                    <w:rPr>
                      <w:rFonts w:hint="default" w:ascii="Times New Roman" w:hAnsi="Times New Roman" w:eastAsia="宋体" w:cs="Times New Roman"/>
                      <w:color w:val="auto"/>
                      <w:sz w:val="21"/>
                      <w:szCs w:val="21"/>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项目</w:t>
            </w:r>
            <w:r>
              <w:rPr>
                <w:rFonts w:hint="eastAsia" w:ascii="Times New Roman" w:hAnsi="Times New Roman" w:eastAsia="宋体" w:cs="Times New Roman"/>
                <w:color w:val="auto"/>
                <w:sz w:val="24"/>
                <w:szCs w:val="24"/>
                <w:u w:val="none"/>
                <w:lang w:val="en-US" w:eastAsia="zh-CN"/>
              </w:rPr>
              <w:t>外购</w:t>
            </w:r>
            <w:r>
              <w:rPr>
                <w:rFonts w:hint="default" w:ascii="Times New Roman" w:hAnsi="Times New Roman" w:eastAsia="宋体" w:cs="Times New Roman"/>
                <w:color w:val="auto"/>
                <w:sz w:val="24"/>
                <w:szCs w:val="24"/>
                <w:u w:val="none"/>
                <w:lang w:val="en-US" w:eastAsia="zh-CN"/>
              </w:rPr>
              <w:t>的</w:t>
            </w:r>
            <w:r>
              <w:rPr>
                <w:rFonts w:hint="eastAsia" w:ascii="Times New Roman" w:hAnsi="Times New Roman" w:eastAsia="宋体" w:cs="Times New Roman"/>
                <w:color w:val="auto"/>
                <w:sz w:val="24"/>
                <w:szCs w:val="24"/>
                <w:u w:val="none"/>
                <w:lang w:val="en-US" w:eastAsia="zh-CN"/>
              </w:rPr>
              <w:t>干净废塑料碎片</w:t>
            </w:r>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其</w:t>
            </w:r>
            <w:r>
              <w:rPr>
                <w:rFonts w:hint="default" w:ascii="Times New Roman" w:hAnsi="Times New Roman" w:eastAsia="宋体" w:cs="Times New Roman"/>
                <w:color w:val="auto"/>
                <w:sz w:val="24"/>
                <w:szCs w:val="24"/>
                <w:u w:val="none"/>
                <w:lang w:val="en-US" w:eastAsia="zh-CN"/>
              </w:rPr>
              <w:t>主要成分为聚乙烯（PE）及聚丙烯（PP），其理化性质及危险特性见下表。</w:t>
            </w:r>
          </w:p>
          <w:p>
            <w:pPr>
              <w:bidi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项目原</w:t>
            </w:r>
            <w:r>
              <w:rPr>
                <w:rFonts w:hint="default" w:ascii="Times New Roman" w:hAnsi="Times New Roman" w:eastAsia="宋体" w:cs="Times New Roman"/>
                <w:b/>
                <w:bCs/>
                <w:sz w:val="24"/>
                <w:szCs w:val="24"/>
                <w:lang w:val="en-US" w:eastAsia="zh-CN"/>
              </w:rPr>
              <w:t>辅</w:t>
            </w:r>
            <w:r>
              <w:rPr>
                <w:rFonts w:hint="default" w:ascii="Times New Roman" w:hAnsi="Times New Roman" w:eastAsia="宋体" w:cs="Times New Roman"/>
                <w:b/>
                <w:bCs/>
                <w:sz w:val="24"/>
                <w:szCs w:val="24"/>
              </w:rPr>
              <w:t>料</w:t>
            </w:r>
            <w:r>
              <w:rPr>
                <w:rFonts w:hint="default" w:ascii="Times New Roman" w:hAnsi="Times New Roman" w:eastAsia="宋体" w:cs="Times New Roman"/>
                <w:b/>
                <w:bCs/>
                <w:sz w:val="24"/>
                <w:szCs w:val="24"/>
                <w:lang w:val="en-US" w:eastAsia="zh-CN"/>
              </w:rPr>
              <w:t>理化性质及危险特性</w:t>
            </w:r>
            <w:r>
              <w:rPr>
                <w:rFonts w:hint="default" w:ascii="Times New Roman" w:hAnsi="Times New Roman" w:eastAsia="宋体" w:cs="Times New Roman"/>
                <w:b/>
                <w:bCs/>
                <w:sz w:val="24"/>
                <w:szCs w:val="24"/>
              </w:rPr>
              <w:t>一览表</w:t>
            </w:r>
          </w:p>
          <w:tbl>
            <w:tblPr>
              <w:tblStyle w:val="11"/>
              <w:tblW w:w="8741" w:type="dxa"/>
              <w:jc w:val="center"/>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754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原料名称</w:t>
                  </w:r>
                </w:p>
              </w:tc>
              <w:tc>
                <w:tcPr>
                  <w:tcW w:w="754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聚丙烯（PP）</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化学式</w:t>
                  </w:r>
                </w:p>
              </w:tc>
              <w:tc>
                <w:tcPr>
                  <w:tcW w:w="754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（C</w:t>
                  </w:r>
                  <w:r>
                    <w:rPr>
                      <w:rFonts w:hint="default" w:ascii="Times New Roman" w:hAnsi="Times New Roman" w:eastAsia="宋体" w:cs="Times New Roman"/>
                      <w:color w:val="auto"/>
                      <w:sz w:val="21"/>
                      <w:szCs w:val="21"/>
                      <w:u w:val="none"/>
                      <w:vertAlign w:val="subscript"/>
                    </w:rPr>
                    <w:t>3</w:t>
                  </w:r>
                  <w:r>
                    <w:rPr>
                      <w:rFonts w:hint="default" w:ascii="Times New Roman" w:hAnsi="Times New Roman" w:eastAsia="宋体" w:cs="Times New Roman"/>
                      <w:color w:val="auto"/>
                      <w:sz w:val="21"/>
                      <w:szCs w:val="21"/>
                      <w:u w:val="none"/>
                    </w:rPr>
                    <w:t>H</w:t>
                  </w:r>
                  <w:r>
                    <w:rPr>
                      <w:rFonts w:hint="default" w:ascii="Times New Roman" w:hAnsi="Times New Roman" w:eastAsia="宋体" w:cs="Times New Roman"/>
                      <w:color w:val="auto"/>
                      <w:sz w:val="21"/>
                      <w:szCs w:val="21"/>
                      <w:u w:val="none"/>
                      <w:vertAlign w:val="subscript"/>
                    </w:rPr>
                    <w:t>6</w:t>
                  </w:r>
                  <w:r>
                    <w:rPr>
                      <w:rFonts w:hint="default" w:ascii="Times New Roman" w:hAnsi="Times New Roman" w:eastAsia="宋体" w:cs="Times New Roman"/>
                      <w:color w:val="auto"/>
                      <w:sz w:val="21"/>
                      <w:szCs w:val="21"/>
                      <w:u w:val="none"/>
                    </w:rPr>
                    <w:t>）</w:t>
                  </w:r>
                  <w:r>
                    <w:rPr>
                      <w:rFonts w:hint="default" w:ascii="Times New Roman" w:hAnsi="Times New Roman" w:eastAsia="宋体" w:cs="Times New Roman"/>
                      <w:color w:val="auto"/>
                      <w:sz w:val="21"/>
                      <w:szCs w:val="21"/>
                      <w:u w:val="none"/>
                      <w:vertAlign w:val="subscript"/>
                    </w:rPr>
                    <w:t xml:space="preserve">n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CAS号</w:t>
                  </w:r>
                </w:p>
              </w:tc>
              <w:tc>
                <w:tcPr>
                  <w:tcW w:w="754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9003-07-0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理化性质</w:t>
                  </w:r>
                </w:p>
              </w:tc>
              <w:tc>
                <w:tcPr>
                  <w:tcW w:w="754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聚丙烯为无毒、无臭、无味的乳白色高结晶的聚合物，比重：0.9-0.91g/cm</w:t>
                  </w:r>
                  <w:r>
                    <w:rPr>
                      <w:rFonts w:hint="default" w:ascii="Times New Roman" w:hAnsi="Times New Roman" w:eastAsia="宋体" w:cs="Times New Roman"/>
                      <w:color w:val="auto"/>
                      <w:sz w:val="21"/>
                      <w:szCs w:val="21"/>
                      <w:u w:val="none"/>
                      <w:vertAlign w:val="superscript"/>
                    </w:rPr>
                    <w:t>3</w:t>
                  </w:r>
                  <w:r>
                    <w:rPr>
                      <w:rFonts w:hint="default" w:ascii="Times New Roman" w:hAnsi="Times New Roman" w:eastAsia="宋体" w:cs="Times New Roman"/>
                      <w:color w:val="auto"/>
                      <w:sz w:val="21"/>
                      <w:szCs w:val="21"/>
                      <w:u w:val="none"/>
                    </w:rPr>
                    <w:t>，成型收缩率：1.0-2.5%，成型温度：160-220℃，特点：硬度耐热性均优于低压聚乙烯，可在100度左右使用，具有良好的电性能和高频绝缘性，不受湿度影响，但低温时变脆、不耐磨、易老化。适于制作一般机械零件、耐腐蚀零件和绝缘零件；</w:t>
                  </w:r>
                </w:p>
                <w:p>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PP热稳定较好，分解温度可达300℃以上；有较低的热变形温度（100℃）、低透明度、低光泽度、低刚性，拉伸强度大，抗冲击强度较差，抗弯曲疲劳性较高，软化温度为150℃，化学性质稳定，耐腐蚀。</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成型特性</w:t>
                  </w:r>
                </w:p>
              </w:tc>
              <w:tc>
                <w:tcPr>
                  <w:tcW w:w="754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①物理性能：PP为无毒、无味的乳白色高结晶的聚合物，是目前所有塑料中最轻的品种之一，对水特别稳定，在水中14h的吸水率仅为0.01%。分子量约8~15万之间，成型性好；制品表面光泽好，易于着色。</w:t>
                  </w:r>
                </w:p>
                <w:p>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②力学性能：PP的结晶度高，结构规整，因而具有优良的力学性能，其强度和硬度、弹性都比高密度PE（HDPE）高。突出特点是抗弯曲疲劳性（7×10</w:t>
                  </w:r>
                  <w:r>
                    <w:rPr>
                      <w:rFonts w:hint="default" w:ascii="Times New Roman" w:hAnsi="Times New Roman" w:eastAsia="宋体" w:cs="Times New Roman"/>
                      <w:color w:val="auto"/>
                      <w:sz w:val="21"/>
                      <w:szCs w:val="21"/>
                      <w:u w:val="none"/>
                      <w:vertAlign w:val="superscript"/>
                    </w:rPr>
                    <w:t>7</w:t>
                  </w:r>
                  <w:r>
                    <w:rPr>
                      <w:rFonts w:hint="default" w:ascii="Times New Roman" w:hAnsi="Times New Roman" w:eastAsia="宋体" w:cs="Times New Roman"/>
                      <w:color w:val="auto"/>
                      <w:sz w:val="21"/>
                      <w:szCs w:val="21"/>
                      <w:u w:val="none"/>
                    </w:rPr>
                    <w:t>）次开闭的折选弯曲而无损坏痕迹，干摩擦系数与尼龙相似，但在油润滑下不如尼龙。</w:t>
                  </w:r>
                </w:p>
                <w:p>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③热性能：PP具有良好的耐热性，熔点在164~170℃，制品能在100℃以上温度进行消毒灭菌。在不受外力的作用下，150℃也不变形。脆化温度为-35℃，在低于-35℃会发生脆化，耐热性不如PE。</w:t>
                  </w:r>
                </w:p>
                <w:p>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④化学稳定性：PP具有良好的化学稳定性，除能被浓硫酸、浓硝酸侵蚀外，对其他各种化学试剂都比较稳定，但低分子量的脂肪烃、芳香烃等能使PP软化和溶胀，化学稳定性随结晶度的增加还有所提高。所以，PP适合制作俄中化工管道和配件，防腐蚀效果良好。</w:t>
                  </w:r>
                </w:p>
                <w:p>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⑤电性能：聚丙烯的高频绝缘性能优良，由于它几乎不吸水</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rPr>
                    <w:t>故绝缘性能不受湿度的影响，有较高的介电系数，且随温度的上升，可以用来制作受热的电气绝缘制品，击穿电压也很高，适用作电器配件等。抗 电压、耐电弧性好，但静电度高，与铜接触易老化。</w:t>
                  </w:r>
                </w:p>
                <w:p>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⑥耐候性：聚丙烯对紫外线很敏感，加入氧化锌硫代丙酸二月桂脂，炭黑式类似的乳白填料等可以改善其耐老化性能。</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燃烧特性</w:t>
                  </w:r>
                </w:p>
              </w:tc>
              <w:tc>
                <w:tcPr>
                  <w:tcW w:w="754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具有燃烧性，易燃。一般是由于收到外来的热而分解出可燃新气体，并于空气中的氧气相混合而着火，离火后继续燃烧，火焰的上端呈黄色，下端呈蓝色，有少量黑烟产生，燃烧时发出石油味。燃烧后熔融滴落。</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毒性</w:t>
                  </w:r>
                </w:p>
              </w:tc>
              <w:tc>
                <w:tcPr>
                  <w:tcW w:w="754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无毒</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原料名称</w:t>
                  </w:r>
                </w:p>
              </w:tc>
              <w:tc>
                <w:tcPr>
                  <w:tcW w:w="754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聚乙烯（PE）</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化学式</w:t>
                  </w:r>
                </w:p>
              </w:tc>
              <w:tc>
                <w:tcPr>
                  <w:tcW w:w="754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vertAlign w:val="baseline"/>
                      <w:lang w:eastAsia="zh-CN"/>
                    </w:rPr>
                    <w:t>（</w:t>
                  </w:r>
                  <w:r>
                    <w:rPr>
                      <w:rFonts w:hint="default" w:ascii="Times New Roman" w:hAnsi="Times New Roman" w:eastAsia="宋体" w:cs="Times New Roman"/>
                      <w:color w:val="auto"/>
                      <w:sz w:val="21"/>
                      <w:szCs w:val="21"/>
                      <w:u w:val="none"/>
                    </w:rPr>
                    <w:t>C</w:t>
                  </w:r>
                  <w:r>
                    <w:rPr>
                      <w:rFonts w:hint="default" w:ascii="Times New Roman" w:hAnsi="Times New Roman" w:eastAsia="宋体" w:cs="Times New Roman"/>
                      <w:color w:val="auto"/>
                      <w:sz w:val="21"/>
                      <w:szCs w:val="21"/>
                      <w:u w:val="none"/>
                      <w:vertAlign w:val="subscript"/>
                    </w:rPr>
                    <w:t>2</w:t>
                  </w:r>
                  <w:r>
                    <w:rPr>
                      <w:rFonts w:hint="default" w:ascii="Times New Roman" w:hAnsi="Times New Roman" w:eastAsia="宋体" w:cs="Times New Roman"/>
                      <w:color w:val="auto"/>
                      <w:sz w:val="21"/>
                      <w:szCs w:val="21"/>
                      <w:u w:val="none"/>
                    </w:rPr>
                    <w:t>H</w:t>
                  </w:r>
                  <w:r>
                    <w:rPr>
                      <w:rFonts w:hint="default" w:ascii="Times New Roman" w:hAnsi="Times New Roman" w:eastAsia="宋体" w:cs="Times New Roman"/>
                      <w:color w:val="auto"/>
                      <w:sz w:val="21"/>
                      <w:szCs w:val="21"/>
                      <w:u w:val="none"/>
                      <w:vertAlign w:val="subscript"/>
                    </w:rPr>
                    <w:t>4</w:t>
                  </w:r>
                  <w:r>
                    <w:rPr>
                      <w:rFonts w:hint="default" w:ascii="Times New Roman" w:hAnsi="Times New Roman" w:eastAsia="宋体" w:cs="Times New Roman"/>
                      <w:color w:val="auto"/>
                      <w:sz w:val="21"/>
                      <w:szCs w:val="21"/>
                      <w:u w:val="none"/>
                      <w:vertAlign w:val="baseline"/>
                      <w:lang w:eastAsia="zh-CN"/>
                    </w:rPr>
                    <w:t>）</w:t>
                  </w:r>
                  <w:r>
                    <w:rPr>
                      <w:rFonts w:hint="default" w:ascii="Times New Roman" w:hAnsi="Times New Roman" w:eastAsia="宋体" w:cs="Times New Roman"/>
                      <w:color w:val="auto"/>
                      <w:sz w:val="21"/>
                      <w:szCs w:val="21"/>
                      <w:u w:val="none"/>
                      <w:vertAlign w:val="subscript"/>
                    </w:rPr>
                    <w:t>n</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CAS号</w:t>
                  </w:r>
                </w:p>
              </w:tc>
              <w:tc>
                <w:tcPr>
                  <w:tcW w:w="754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9002-88-4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理化性质</w:t>
                  </w:r>
                </w:p>
              </w:tc>
              <w:tc>
                <w:tcPr>
                  <w:tcW w:w="754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聚乙烯为白色蜡状半透明材料，柔而韧，逼水轻，无毒，具有优越的介电性能。密度0.95g/cm</w:t>
                  </w:r>
                  <w:r>
                    <w:rPr>
                      <w:rFonts w:hint="default" w:ascii="Times New Roman" w:hAnsi="Times New Roman" w:eastAsia="宋体" w:cs="Times New Roman"/>
                      <w:color w:val="auto"/>
                      <w:sz w:val="21"/>
                      <w:szCs w:val="21"/>
                      <w:u w:val="none"/>
                      <w:vertAlign w:val="superscript"/>
                    </w:rPr>
                    <w:t>3</w:t>
                  </w:r>
                  <w:r>
                    <w:rPr>
                      <w:rFonts w:hint="default" w:ascii="Times New Roman" w:hAnsi="Times New Roman" w:eastAsia="宋体" w:cs="Times New Roman"/>
                      <w:color w:val="auto"/>
                      <w:sz w:val="21"/>
                      <w:szCs w:val="21"/>
                      <w:u w:val="none"/>
                    </w:rPr>
                    <w:t>；闪点：270。透水性差，对有机蒸汽透过率则较大。高密度聚乙烯熔点范围为132-135℃，成型范围为160-280℃；低密度聚乙烯熔点较低（112℃）且范围宽，成型范围为140-260℃，裂解温度≥310℃。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成型特性</w:t>
                  </w:r>
                </w:p>
              </w:tc>
              <w:tc>
                <w:tcPr>
                  <w:tcW w:w="754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具有优良的耐低温性能，最低使用温度可达到-70~-100℃，化学稳定性好，能耐大多数酸碱的侵蚀，不耐具有氧化性质的酸，常温下不溶于一般溶剂，吸水性小，电绝缘性能优良。</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燃烧特性</w:t>
                  </w:r>
                </w:p>
              </w:tc>
              <w:tc>
                <w:tcPr>
                  <w:tcW w:w="754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具有燃烧性，可燃，其燃烧一般是由于受到外来的热而分解处可燃性气体，并与空气中的氧气相混合而着火，离火后继续燃烧，火焰的上端呈黄色，下端呈蓝色，有少量黑烟产生，燃烧时发出石蜡燃烧的气味。燃烧后熔融滴落。</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6"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毒性</w:t>
                  </w:r>
                </w:p>
              </w:tc>
              <w:tc>
                <w:tcPr>
                  <w:tcW w:w="7545" w:type="dxa"/>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无毒</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废塑料来源控制及包装运输要求</w:t>
            </w:r>
          </w:p>
          <w:p>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①废塑料来源控制</w:t>
            </w:r>
          </w:p>
          <w:p>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根据《废塑料污染控制技术规范》（HJ364-2022）要求，项目企业应严格控制废塑料的来源，禁止</w:t>
            </w:r>
            <w:r>
              <w:rPr>
                <w:rFonts w:hint="eastAsia" w:ascii="Times New Roman" w:hAnsi="Times New Roman" w:eastAsia="宋体" w:cs="Times New Roman"/>
                <w:color w:val="auto"/>
                <w:sz w:val="24"/>
                <w:szCs w:val="24"/>
                <w:lang w:eastAsia="zh-CN"/>
              </w:rPr>
              <w:t>外购</w:t>
            </w:r>
            <w:r>
              <w:rPr>
                <w:rFonts w:hint="default" w:ascii="Times New Roman" w:hAnsi="Times New Roman" w:eastAsia="宋体" w:cs="Times New Roman"/>
                <w:color w:val="auto"/>
                <w:sz w:val="24"/>
                <w:szCs w:val="24"/>
              </w:rPr>
              <w:t>受到危险化学品、农药等污染的废弃塑料，禁止</w:t>
            </w:r>
            <w:r>
              <w:rPr>
                <w:rFonts w:hint="eastAsia" w:ascii="Times New Roman" w:hAnsi="Times New Roman" w:eastAsia="宋体" w:cs="Times New Roman"/>
                <w:color w:val="auto"/>
                <w:sz w:val="24"/>
                <w:szCs w:val="24"/>
                <w:lang w:eastAsia="zh-CN"/>
              </w:rPr>
              <w:t>外购</w:t>
            </w:r>
            <w:r>
              <w:rPr>
                <w:rFonts w:hint="default" w:ascii="Times New Roman" w:hAnsi="Times New Roman" w:eastAsia="宋体" w:cs="Times New Roman"/>
                <w:color w:val="auto"/>
                <w:sz w:val="24"/>
                <w:szCs w:val="24"/>
              </w:rPr>
              <w:t>医疗机构废弃的一次性医疗用塑料制品等塑料类危险废物，禁止</w:t>
            </w:r>
            <w:r>
              <w:rPr>
                <w:rFonts w:hint="eastAsia" w:ascii="Times New Roman" w:hAnsi="Times New Roman" w:eastAsia="宋体" w:cs="Times New Roman"/>
                <w:color w:val="auto"/>
                <w:sz w:val="24"/>
                <w:szCs w:val="24"/>
                <w:lang w:eastAsia="zh-CN"/>
              </w:rPr>
              <w:t>外购</w:t>
            </w:r>
            <w:r>
              <w:rPr>
                <w:rFonts w:hint="default" w:ascii="Times New Roman" w:hAnsi="Times New Roman" w:eastAsia="宋体" w:cs="Times New Roman"/>
                <w:color w:val="auto"/>
                <w:sz w:val="24"/>
                <w:szCs w:val="24"/>
              </w:rPr>
              <w:t>进口废塑料以及含氟塑料等特种工程塑料。</w:t>
            </w:r>
          </w:p>
          <w:p>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②包装运输要求</w:t>
            </w:r>
          </w:p>
          <w:p>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根据《废塑料污染控制技术规范》（HJ364-2022）对废塑料包装和运输过程的要求，项目</w:t>
            </w:r>
            <w:r>
              <w:rPr>
                <w:rFonts w:hint="eastAsia" w:ascii="Times New Roman" w:hAnsi="Times New Roman" w:eastAsia="宋体" w:cs="Times New Roman"/>
                <w:color w:val="auto"/>
                <w:sz w:val="24"/>
                <w:szCs w:val="24"/>
                <w:lang w:eastAsia="zh-CN"/>
              </w:rPr>
              <w:t>外购</w:t>
            </w:r>
            <w:r>
              <w:rPr>
                <w:rFonts w:hint="default" w:ascii="Times New Roman" w:hAnsi="Times New Roman" w:eastAsia="宋体" w:cs="Times New Roman"/>
                <w:color w:val="auto"/>
                <w:sz w:val="24"/>
                <w:szCs w:val="24"/>
              </w:rPr>
              <w:t>的废塑料运输应进行</w:t>
            </w:r>
            <w:r>
              <w:rPr>
                <w:rFonts w:hint="eastAsia" w:ascii="Times New Roman" w:hAnsi="Times New Roman" w:eastAsia="宋体" w:cs="Times New Roman"/>
                <w:color w:val="auto"/>
                <w:sz w:val="24"/>
                <w:szCs w:val="24"/>
                <w:lang w:eastAsia="zh-CN"/>
              </w:rPr>
              <w:t>袋装</w:t>
            </w:r>
            <w:r>
              <w:rPr>
                <w:rFonts w:hint="default" w:ascii="Times New Roman" w:hAnsi="Times New Roman" w:eastAsia="宋体" w:cs="Times New Roman"/>
                <w:color w:val="auto"/>
                <w:sz w:val="24"/>
                <w:szCs w:val="24"/>
              </w:rPr>
              <w:t>，不得裸露运输废塑料。废塑料包装物应防水、耐压、遮蔽性好，可多次重复使用；在装卸、运输过程中应确保包装完好，无废塑料遗洒。包装物表面必须有回收标志和废塑料种类标志，标志应清晰、易于识别、不易擦掉，并应标明废塑料的来源、原用途和去向等信息。不得超高、超宽、超载运输废塑料，宜采用密闭集装箱或带有压缩装置的箱式货车运输。废塑料贮存场所必须为封闭或半封闭型设施，应具有防雨、防晒、防渗、防尘、防扬散和防火措施。</w:t>
            </w:r>
          </w:p>
          <w:p>
            <w:pPr>
              <w:keepNext w:val="0"/>
              <w:keepLines w:val="0"/>
              <w:pageBreakBefore w:val="0"/>
              <w:widowControl w:val="0"/>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本次项目主要</w:t>
            </w:r>
            <w:r>
              <w:rPr>
                <w:rFonts w:hint="default" w:ascii="Times New Roman" w:hAnsi="Times New Roman" w:eastAsia="宋体" w:cs="Times New Roman"/>
                <w:color w:val="auto"/>
                <w:sz w:val="24"/>
                <w:szCs w:val="24"/>
                <w:lang w:val="en-US" w:eastAsia="zh-CN"/>
              </w:rPr>
              <w:t>产品</w:t>
            </w:r>
            <w:r>
              <w:rPr>
                <w:rFonts w:hint="default" w:ascii="Times New Roman" w:hAnsi="Times New Roman" w:eastAsia="宋体" w:cs="Times New Roman"/>
                <w:color w:val="auto"/>
                <w:sz w:val="24"/>
                <w:szCs w:val="24"/>
              </w:rPr>
              <w:t>见表2-</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500" w:firstLineChars="600"/>
              <w:textAlignment w:val="auto"/>
              <w:rPr>
                <w:rFonts w:hint="default" w:ascii="Times New Roman" w:hAnsi="Times New Roman" w:eastAsia="宋体" w:cs="Times New Roman"/>
                <w:b/>
                <w:bCs/>
                <w:color w:val="auto"/>
                <w:sz w:val="24"/>
                <w:szCs w:val="24"/>
                <w:u w:val="none"/>
              </w:rPr>
            </w:pPr>
            <w:r>
              <w:rPr>
                <w:rFonts w:hint="default" w:ascii="Times New Roman" w:hAnsi="Times New Roman" w:eastAsia="宋体" w:cs="Times New Roman"/>
                <w:b/>
                <w:bCs/>
                <w:color w:val="auto"/>
                <w:sz w:val="24"/>
                <w:szCs w:val="24"/>
                <w:u w:val="none"/>
              </w:rPr>
              <w:t>表2-</w:t>
            </w:r>
            <w:r>
              <w:rPr>
                <w:rFonts w:hint="eastAsia" w:ascii="Times New Roman" w:hAnsi="Times New Roman" w:eastAsia="宋体" w:cs="Times New Roman"/>
                <w:b/>
                <w:bCs/>
                <w:color w:val="auto"/>
                <w:sz w:val="24"/>
                <w:szCs w:val="24"/>
                <w:u w:val="none"/>
                <w:lang w:val="en-US" w:eastAsia="zh-CN"/>
              </w:rPr>
              <w:t>5</w:t>
            </w:r>
            <w:r>
              <w:rPr>
                <w:rFonts w:hint="default" w:ascii="Times New Roman" w:hAnsi="Times New Roman" w:eastAsia="宋体" w:cs="Times New Roman"/>
                <w:b/>
                <w:bCs/>
                <w:color w:val="auto"/>
                <w:sz w:val="24"/>
                <w:szCs w:val="24"/>
                <w:u w:val="none"/>
              </w:rPr>
              <w:t xml:space="preserve">     </w:t>
            </w:r>
            <w:r>
              <w:rPr>
                <w:rFonts w:hint="default" w:ascii="Times New Roman" w:hAnsi="Times New Roman" w:eastAsia="宋体" w:cs="Times New Roman"/>
                <w:b/>
                <w:bCs/>
                <w:color w:val="auto"/>
                <w:sz w:val="24"/>
                <w:szCs w:val="24"/>
                <w:u w:val="none"/>
                <w:lang w:val="en-US" w:eastAsia="zh-CN"/>
              </w:rPr>
              <w:t xml:space="preserve">   </w:t>
            </w:r>
            <w:r>
              <w:rPr>
                <w:rFonts w:hint="default" w:ascii="Times New Roman" w:hAnsi="Times New Roman" w:eastAsia="宋体" w:cs="Times New Roman"/>
                <w:b/>
                <w:bCs/>
                <w:color w:val="auto"/>
                <w:sz w:val="24"/>
                <w:szCs w:val="24"/>
                <w:u w:val="none"/>
              </w:rPr>
              <w:t>项目工程主要</w:t>
            </w:r>
            <w:r>
              <w:rPr>
                <w:rFonts w:hint="default" w:ascii="Times New Roman" w:hAnsi="Times New Roman" w:eastAsia="宋体" w:cs="Times New Roman"/>
                <w:b/>
                <w:bCs/>
                <w:color w:val="auto"/>
                <w:sz w:val="24"/>
                <w:szCs w:val="24"/>
                <w:u w:val="none"/>
                <w:lang w:val="en-US" w:eastAsia="zh-CN"/>
              </w:rPr>
              <w:t>产品方案</w:t>
            </w:r>
            <w:r>
              <w:rPr>
                <w:rFonts w:hint="default" w:ascii="Times New Roman" w:hAnsi="Times New Roman" w:eastAsia="宋体" w:cs="Times New Roman"/>
                <w:b/>
                <w:bCs/>
                <w:color w:val="auto"/>
                <w:sz w:val="24"/>
                <w:szCs w:val="24"/>
                <w:u w:val="none"/>
              </w:rPr>
              <w:t>一览表</w:t>
            </w:r>
          </w:p>
          <w:tbl>
            <w:tblPr>
              <w:tblStyle w:val="11"/>
              <w:tblW w:w="842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
            <w:tblGrid>
              <w:gridCol w:w="660"/>
              <w:gridCol w:w="1320"/>
              <w:gridCol w:w="810"/>
              <w:gridCol w:w="1080"/>
              <w:gridCol w:w="45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Ex>
              <w:trPr>
                <w:trHeight w:val="291" w:hRule="atLeast"/>
                <w:jc w:val="center"/>
              </w:trPr>
              <w:tc>
                <w:tcPr>
                  <w:tcW w:w="66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序号</w:t>
                  </w:r>
                </w:p>
              </w:tc>
              <w:tc>
                <w:tcPr>
                  <w:tcW w:w="132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名称</w:t>
                  </w:r>
                </w:p>
              </w:tc>
              <w:tc>
                <w:tcPr>
                  <w:tcW w:w="81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单位</w:t>
                  </w:r>
                </w:p>
              </w:tc>
              <w:tc>
                <w:tcPr>
                  <w:tcW w:w="108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eastAsia="宋体" w:cs="Times New Roman"/>
                      <w:b/>
                      <w:bCs/>
                      <w:color w:val="auto"/>
                      <w:sz w:val="21"/>
                      <w:szCs w:val="21"/>
                      <w:lang w:val="zh-CN" w:eastAsia="zh-CN"/>
                    </w:rPr>
                  </w:pPr>
                  <w:r>
                    <w:rPr>
                      <w:rFonts w:hint="default" w:ascii="Times New Roman" w:hAnsi="Times New Roman" w:cs="Times New Roman"/>
                      <w:b/>
                      <w:bCs/>
                      <w:color w:val="auto"/>
                      <w:sz w:val="21"/>
                      <w:szCs w:val="21"/>
                      <w:lang w:val="zh-CN"/>
                    </w:rPr>
                    <w:t>年</w:t>
                  </w:r>
                  <w:r>
                    <w:rPr>
                      <w:rFonts w:hint="default" w:ascii="Times New Roman" w:hAnsi="Times New Roman" w:cs="Times New Roman"/>
                      <w:b/>
                      <w:bCs/>
                      <w:color w:val="auto"/>
                      <w:sz w:val="21"/>
                      <w:szCs w:val="21"/>
                      <w:lang w:val="en-US" w:eastAsia="zh-CN"/>
                    </w:rPr>
                    <w:t>产量</w:t>
                  </w:r>
                </w:p>
              </w:tc>
              <w:tc>
                <w:tcPr>
                  <w:tcW w:w="4551" w:type="dxa"/>
                  <w:tcBorders>
                    <w:right w:val="single" w:color="auto" w:sz="4" w:space="0"/>
                  </w:tcBorders>
                  <w:vAlign w:val="center"/>
                </w:tcPr>
                <w:p>
                  <w:pPr>
                    <w:keepNext w:val="0"/>
                    <w:keepLines w:val="0"/>
                    <w:pageBreakBefore w:val="0"/>
                    <w:kinsoku/>
                    <w:wordWrap/>
                    <w:overflowPunct/>
                    <w:topLinePunct w:val="0"/>
                    <w:autoSpaceDE w:val="0"/>
                    <w:autoSpaceDN w:val="0"/>
                    <w:bidi w:val="0"/>
                    <w:adjustRightInd w:val="0"/>
                    <w:snapToGrid/>
                    <w:spacing w:line="360" w:lineRule="auto"/>
                    <w:jc w:val="center"/>
                    <w:rPr>
                      <w:rFonts w:hint="default" w:ascii="Times New Roman" w:hAnsi="Times New Roman" w:cs="Times New Roman"/>
                      <w:b/>
                      <w:bCs/>
                      <w:color w:val="auto"/>
                      <w:sz w:val="21"/>
                      <w:szCs w:val="21"/>
                      <w:lang w:val="zh-CN"/>
                    </w:rPr>
                  </w:pPr>
                  <w:r>
                    <w:rPr>
                      <w:rFonts w:hint="default" w:ascii="Times New Roman" w:hAnsi="Times New Roman" w:cs="Times New Roman"/>
                      <w:b/>
                      <w:bCs/>
                      <w:color w:val="auto"/>
                      <w:sz w:val="21"/>
                      <w:szCs w:val="21"/>
                      <w:lang w:val="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 w:type="dxa"/>
                  <w:bottom w:w="0" w:type="dxa"/>
                  <w:right w:w="10" w:type="dxa"/>
                </w:tblCellMar>
              </w:tblPrEx>
              <w:trPr>
                <w:trHeight w:val="72" w:hRule="atLeast"/>
                <w:jc w:val="center"/>
              </w:trPr>
              <w:tc>
                <w:tcPr>
                  <w:tcW w:w="660" w:type="dxa"/>
                  <w:vAlign w:val="center"/>
                </w:tcPr>
                <w:p>
                  <w:pPr>
                    <w:keepNext w:val="0"/>
                    <w:keepLines w:val="0"/>
                    <w:pageBreakBefore w:val="0"/>
                    <w:widowControl/>
                    <w:kinsoku/>
                    <w:wordWrap/>
                    <w:overflowPunct/>
                    <w:topLinePunct w:val="0"/>
                    <w:bidi w:val="0"/>
                    <w:snapToGrid/>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320" w:type="dxa"/>
                  <w:vAlign w:val="center"/>
                </w:tcPr>
                <w:p>
                  <w:pPr>
                    <w:keepNext w:val="0"/>
                    <w:keepLines w:val="0"/>
                    <w:pageBreakBefore w:val="0"/>
                    <w:widowControl/>
                    <w:kinsoku/>
                    <w:wordWrap/>
                    <w:overflowPunct/>
                    <w:topLinePunct w:val="0"/>
                    <w:bidi w:val="0"/>
                    <w:snapToGrid/>
                    <w:spacing w:line="36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再生塑料颗粒</w:t>
                  </w:r>
                </w:p>
              </w:tc>
              <w:tc>
                <w:tcPr>
                  <w:tcW w:w="810" w:type="dxa"/>
                  <w:vAlign w:val="center"/>
                </w:tcPr>
                <w:p>
                  <w:pPr>
                    <w:keepNext w:val="0"/>
                    <w:keepLines w:val="0"/>
                    <w:pageBreakBefore w:val="0"/>
                    <w:kinsoku/>
                    <w:wordWrap/>
                    <w:overflowPunct/>
                    <w:topLinePunct w:val="0"/>
                    <w:autoSpaceDE w:val="0"/>
                    <w:autoSpaceDN w:val="0"/>
                    <w:bidi w:val="0"/>
                    <w:adjustRightInd w:val="0"/>
                    <w:snapToGrid/>
                    <w:spacing w:line="360" w:lineRule="auto"/>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吨</w:t>
                  </w:r>
                </w:p>
              </w:tc>
              <w:tc>
                <w:tcPr>
                  <w:tcW w:w="1080" w:type="dxa"/>
                  <w:vAlign w:val="center"/>
                </w:tcPr>
                <w:p>
                  <w:pPr>
                    <w:keepNext w:val="0"/>
                    <w:keepLines w:val="0"/>
                    <w:pageBreakBefore w:val="0"/>
                    <w:widowControl/>
                    <w:suppressLineNumbers w:val="0"/>
                    <w:kinsoku/>
                    <w:wordWrap/>
                    <w:overflowPunct/>
                    <w:topLinePunct w:val="0"/>
                    <w:bidi w:val="0"/>
                    <w:snapToGrid/>
                    <w:spacing w:line="36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5000</w:t>
                  </w:r>
                </w:p>
              </w:tc>
              <w:tc>
                <w:tcPr>
                  <w:tcW w:w="4551" w:type="dxa"/>
                  <w:tcBorders>
                    <w:right w:val="single" w:color="auto" w:sz="4" w:space="0"/>
                  </w:tcBorders>
                  <w:vAlign w:val="center"/>
                </w:tcPr>
                <w:p>
                  <w:pPr>
                    <w:keepNext w:val="0"/>
                    <w:keepLines w:val="0"/>
                    <w:pageBreakBefore w:val="0"/>
                    <w:tabs>
                      <w:tab w:val="left" w:pos="435"/>
                    </w:tabs>
                    <w:kinsoku/>
                    <w:wordWrap/>
                    <w:overflowPunct/>
                    <w:topLinePunct w:val="0"/>
                    <w:autoSpaceDE w:val="0"/>
                    <w:autoSpaceDN w:val="0"/>
                    <w:bidi w:val="0"/>
                    <w:adjustRightInd w:val="0"/>
                    <w:snapToGrid/>
                    <w:spacing w:line="36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主要为PE、PP再生塑料颗粒，</w:t>
                  </w:r>
                  <w:r>
                    <w:rPr>
                      <w:rFonts w:hint="default" w:ascii="Times New Roman" w:hAnsi="Times New Roman" w:cs="Times New Roman"/>
                      <w:sz w:val="21"/>
                      <w:szCs w:val="21"/>
                    </w:rPr>
                    <w:t>粒径2mm-4mm</w:t>
                  </w:r>
                  <w:r>
                    <w:rPr>
                      <w:rFonts w:hint="default" w:ascii="Times New Roman" w:hAnsi="Times New Roman" w:cs="Times New Roman"/>
                      <w:sz w:val="21"/>
                      <w:szCs w:val="21"/>
                      <w:lang w:eastAsia="zh-CN"/>
                    </w:rPr>
                    <w:t>，</w:t>
                  </w:r>
                  <w:r>
                    <w:rPr>
                      <w:rFonts w:hint="default" w:ascii="Times New Roman" w:hAnsi="Times New Roman" w:cs="Times New Roman"/>
                      <w:color w:val="auto"/>
                      <w:sz w:val="21"/>
                      <w:szCs w:val="21"/>
                    </w:rPr>
                    <w:t>40kg袋装，袋装后暂存于生产车间成品区内</w:t>
                  </w:r>
                </w:p>
              </w:tc>
            </w:tr>
          </w:tbl>
          <w:p>
            <w:pPr>
              <w:keepNext w:val="0"/>
              <w:keepLines w:val="0"/>
              <w:pageBreakBefore w:val="0"/>
              <w:kinsoku/>
              <w:wordWrap/>
              <w:overflowPunct/>
              <w:topLinePunct w:val="0"/>
              <w:autoSpaceDE/>
              <w:autoSpaceDN/>
              <w:bidi w:val="0"/>
              <w:adjustRightInd w:val="0"/>
              <w:snapToGrid w:val="0"/>
              <w:spacing w:beforeAutospacing="0" w:line="360" w:lineRule="auto"/>
              <w:ind w:firstLine="44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备注：产品去向：项目生产的再生塑料颗粒全部外售；产品要求：①废塑料再生制品或材料应符合相关产品质量标准，表面应标有再生利用标志；②不宜使用废塑料制造直接接触食品的包装、制品或材料。再生塑料制品或材料在生产过程中不得使用氟氯化碳类化合物作为发泡剂；③制造人体接触的再生塑料制品或材料时，不得添加有毒有害的化学助剂；④宜开发可多次循环再生利用的再生塑料制品或材料。评价要求建设单位在项目运行过程中加强销售管理，严格控制、保证产品去向安全、可靠。</w:t>
            </w:r>
          </w:p>
          <w:p>
            <w:pPr>
              <w:keepNext w:val="0"/>
              <w:keepLines w:val="0"/>
              <w:pageBreakBefore w:val="0"/>
              <w:kinsoku/>
              <w:wordWrap/>
              <w:overflowPunct/>
              <w:topLinePunct w:val="0"/>
              <w:autoSpaceDE/>
              <w:autoSpaceDN/>
              <w:bidi w:val="0"/>
              <w:adjustRightInd w:val="0"/>
              <w:snapToGrid w:val="0"/>
              <w:spacing w:beforeAutospacing="0" w:line="360" w:lineRule="auto"/>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2.3总投资</w:t>
            </w:r>
          </w:p>
          <w:p>
            <w:pPr>
              <w:pStyle w:val="8"/>
              <w:keepNext w:val="0"/>
              <w:keepLines w:val="0"/>
              <w:pageBreakBefore w:val="0"/>
              <w:kinsoku/>
              <w:wordWrap/>
              <w:overflowPunct/>
              <w:topLinePunct w:val="0"/>
              <w:autoSpaceDE/>
              <w:autoSpaceDN/>
              <w:bidi w:val="0"/>
              <w:spacing w:before="0" w:beforeAutospacing="0" w:after="0" w:line="360" w:lineRule="auto"/>
              <w:ind w:left="0" w:leftChars="0" w:firstLine="0" w:firstLineChars="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    本项目总投资2600万元，全部为企业自筹。</w:t>
            </w:r>
          </w:p>
          <w:p>
            <w:pPr>
              <w:keepNext w:val="0"/>
              <w:keepLines w:val="0"/>
              <w:pageBreakBefore w:val="0"/>
              <w:kinsoku/>
              <w:wordWrap/>
              <w:overflowPunct/>
              <w:topLinePunct w:val="0"/>
              <w:autoSpaceDE/>
              <w:autoSpaceDN/>
              <w:bidi w:val="0"/>
              <w:adjustRightInd w:val="0"/>
              <w:snapToGrid w:val="0"/>
              <w:spacing w:beforeAutospacing="0" w:line="360" w:lineRule="auto"/>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w:t>
            </w:r>
            <w:r>
              <w:rPr>
                <w:rFonts w:hint="default" w:ascii="Times New Roman" w:hAnsi="Times New Roman" w:cs="Times New Roman"/>
                <w:b/>
                <w:bCs/>
                <w:color w:val="auto"/>
                <w:sz w:val="24"/>
                <w:szCs w:val="24"/>
                <w:lang w:val="en-US" w:eastAsia="zh-CN"/>
              </w:rPr>
              <w:t>4公用</w:t>
            </w:r>
            <w:r>
              <w:rPr>
                <w:rFonts w:hint="default" w:ascii="Times New Roman" w:hAnsi="Times New Roman" w:cs="Times New Roman"/>
                <w:b/>
                <w:bCs/>
                <w:color w:val="auto"/>
                <w:sz w:val="24"/>
                <w:szCs w:val="24"/>
              </w:rPr>
              <w:t>工程</w:t>
            </w:r>
          </w:p>
          <w:p>
            <w:pPr>
              <w:keepNext w:val="0"/>
              <w:keepLines w:val="0"/>
              <w:pageBreakBefore w:val="0"/>
              <w:widowControl/>
              <w:kinsoku/>
              <w:wordWrap/>
              <w:overflowPunct/>
              <w:topLinePunct w:val="0"/>
              <w:autoSpaceDE/>
              <w:autoSpaceDN/>
              <w:bidi w:val="0"/>
              <w:snapToGrid w:val="0"/>
              <w:spacing w:beforeAutospacing="0" w:line="360" w:lineRule="auto"/>
              <w:ind w:firstLine="375" w:firstLineChars="15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（1）给水：项目用水由</w:t>
            </w:r>
            <w:r>
              <w:rPr>
                <w:rFonts w:hint="eastAsia" w:ascii="Times New Roman" w:hAnsi="Times New Roman" w:cs="Times New Roman"/>
                <w:color w:val="auto"/>
                <w:sz w:val="24"/>
                <w:szCs w:val="24"/>
                <w:lang w:val="en-US" w:eastAsia="zh-CN"/>
              </w:rPr>
              <w:t>厂区自备井</w:t>
            </w:r>
            <w:r>
              <w:rPr>
                <w:rFonts w:hint="default" w:ascii="Times New Roman" w:hAnsi="Times New Roman" w:cs="Times New Roman"/>
                <w:color w:val="auto"/>
                <w:sz w:val="24"/>
                <w:szCs w:val="24"/>
              </w:rPr>
              <w:t>供给，可满足需求。</w:t>
            </w: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（2）排水：采用雨污分流排水系统，项目区雨水汇集后经西侧的自然沟向西汇入白河；营运期职工生活污水经化粪池处理后用于周围农田施肥，资源化利用不外排；挤出冷却废水</w:t>
            </w:r>
            <w:r>
              <w:rPr>
                <w:rFonts w:hint="eastAsia" w:ascii="Times New Roman" w:hAnsi="Times New Roman" w:cs="Times New Roman"/>
                <w:color w:val="auto"/>
                <w:sz w:val="24"/>
                <w:szCs w:val="24"/>
                <w:lang w:eastAsia="zh-CN"/>
              </w:rPr>
              <w:t>和喷淋塔废水</w:t>
            </w:r>
            <w:r>
              <w:rPr>
                <w:rFonts w:hint="default" w:ascii="Times New Roman" w:hAnsi="Times New Roman" w:cs="Times New Roman"/>
                <w:color w:val="auto"/>
                <w:sz w:val="24"/>
                <w:szCs w:val="24"/>
              </w:rPr>
              <w:t>，循环使用不外排。</w:t>
            </w: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（3）环卫设施：在</w:t>
            </w:r>
            <w:r>
              <w:rPr>
                <w:rFonts w:hint="default" w:ascii="Times New Roman" w:hAnsi="Times New Roman" w:cs="Times New Roman"/>
                <w:color w:val="auto"/>
                <w:sz w:val="24"/>
                <w:szCs w:val="24"/>
                <w:lang w:val="en-US" w:eastAsia="zh-CN"/>
              </w:rPr>
              <w:t>厂内</w:t>
            </w:r>
            <w:r>
              <w:rPr>
                <w:rFonts w:hint="default" w:ascii="Times New Roman" w:hAnsi="Times New Roman" w:cs="Times New Roman"/>
                <w:color w:val="auto"/>
                <w:sz w:val="24"/>
                <w:szCs w:val="24"/>
              </w:rPr>
              <w:t>设置移动式垃圾箱，项目产生的生活垃圾收集后送附近垃圾中转站由环卫部门统一处理。</w:t>
            </w: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（4）供电：本项目供电</w:t>
            </w:r>
            <w:r>
              <w:rPr>
                <w:rFonts w:hint="default" w:ascii="Times New Roman" w:hAnsi="Times New Roman" w:cs="Times New Roman"/>
                <w:color w:val="auto"/>
                <w:sz w:val="24"/>
                <w:szCs w:val="24"/>
                <w:lang w:val="en-US" w:eastAsia="zh-CN"/>
              </w:rPr>
              <w:t>由区域</w:t>
            </w:r>
            <w:r>
              <w:rPr>
                <w:rFonts w:hint="default" w:ascii="Times New Roman" w:hAnsi="Times New Roman" w:cs="Times New Roman"/>
                <w:color w:val="auto"/>
                <w:sz w:val="24"/>
                <w:szCs w:val="24"/>
              </w:rPr>
              <w:t>电网</w:t>
            </w:r>
            <w:r>
              <w:rPr>
                <w:rFonts w:hint="default" w:ascii="Times New Roman" w:hAnsi="Times New Roman" w:cs="Times New Roman"/>
                <w:color w:val="auto"/>
                <w:sz w:val="24"/>
                <w:szCs w:val="24"/>
                <w:lang w:val="en-US" w:eastAsia="zh-CN"/>
              </w:rPr>
              <w:t>提供</w:t>
            </w:r>
            <w:r>
              <w:rPr>
                <w:rFonts w:hint="default" w:ascii="Times New Roman" w:hAnsi="Times New Roman" w:cs="Times New Roman"/>
                <w:color w:val="auto"/>
                <w:sz w:val="24"/>
                <w:szCs w:val="24"/>
              </w:rPr>
              <w:t>，可满足项目用电需求。</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2.5劳动定员及工作制度</w:t>
            </w:r>
          </w:p>
          <w:p>
            <w:pPr>
              <w:keepNext w:val="0"/>
              <w:keepLines w:val="0"/>
              <w:pageBreakBefore w:val="0"/>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本次工程劳动定员5人，年工作时间为300天，每天</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班，每班8小时。</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2.6厂区平面布置</w:t>
            </w:r>
          </w:p>
          <w:p>
            <w:pPr>
              <w:keepNext w:val="0"/>
              <w:keepLines w:val="0"/>
              <w:pageBreakBefore w:val="0"/>
              <w:kinsoku/>
              <w:wordWrap/>
              <w:overflowPunct/>
              <w:topLinePunct w:val="0"/>
              <w:autoSpaceDE/>
              <w:autoSpaceDN/>
              <w:bidi w:val="0"/>
              <w:adjustRightInd w:val="0"/>
              <w:snapToGrid w:val="0"/>
              <w:spacing w:line="360" w:lineRule="auto"/>
              <w:ind w:firstLine="50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根据厂区平面布局，办公</w:t>
            </w:r>
            <w:r>
              <w:rPr>
                <w:rFonts w:hint="eastAsia" w:ascii="Times New Roman" w:hAnsi="Times New Roman" w:cs="Times New Roman"/>
                <w:color w:val="auto"/>
                <w:sz w:val="24"/>
                <w:szCs w:val="24"/>
                <w:lang w:val="en-US" w:eastAsia="zh-CN"/>
              </w:rPr>
              <w:t>用房</w:t>
            </w:r>
            <w:r>
              <w:rPr>
                <w:rFonts w:hint="default" w:ascii="Times New Roman" w:hAnsi="Times New Roman" w:cs="Times New Roman"/>
                <w:color w:val="auto"/>
                <w:sz w:val="24"/>
                <w:szCs w:val="24"/>
                <w:lang w:val="en-US" w:eastAsia="zh-CN"/>
              </w:rPr>
              <w:t>位于在</w:t>
            </w:r>
            <w:r>
              <w:rPr>
                <w:rFonts w:hint="eastAsia" w:ascii="Times New Roman" w:hAnsi="Times New Roman" w:cs="Times New Roman"/>
                <w:color w:val="auto"/>
                <w:sz w:val="24"/>
                <w:szCs w:val="24"/>
                <w:lang w:val="en-US" w:eastAsia="zh-CN"/>
              </w:rPr>
              <w:t>厂区的北侧</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生产车间位于厂区南侧</w:t>
            </w:r>
            <w:r>
              <w:rPr>
                <w:rFonts w:hint="default" w:ascii="Times New Roman" w:hAnsi="Times New Roman" w:cs="Times New Roman"/>
                <w:color w:val="auto"/>
                <w:sz w:val="24"/>
                <w:szCs w:val="24"/>
                <w:lang w:val="en-US" w:eastAsia="zh-CN"/>
              </w:rPr>
              <w:t>，生产线布局于车间，做到功能分区明确、流程合理，厂区布局能够适应各个工艺生产，便于交通，符合安全、消防要求。</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2.7项目水平衡分析</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项目营运期，用水主要为</w:t>
            </w:r>
            <w:r>
              <w:rPr>
                <w:rFonts w:hint="eastAsia" w:ascii="Times New Roman" w:hAnsi="Times New Roman" w:cs="Times New Roman"/>
                <w:color w:val="auto"/>
                <w:sz w:val="24"/>
                <w:szCs w:val="24"/>
                <w:lang w:val="en-US" w:eastAsia="zh-CN"/>
              </w:rPr>
              <w:t>冷却</w:t>
            </w:r>
            <w:r>
              <w:rPr>
                <w:rFonts w:hint="default" w:ascii="Times New Roman" w:hAnsi="Times New Roman" w:cs="Times New Roman"/>
                <w:color w:val="auto"/>
                <w:sz w:val="24"/>
                <w:szCs w:val="24"/>
                <w:lang w:val="en-US" w:eastAsia="zh-CN"/>
              </w:rPr>
              <w:t>用水</w:t>
            </w:r>
            <w:r>
              <w:rPr>
                <w:rFonts w:hint="eastAsia" w:ascii="Times New Roman" w:hAnsi="Times New Roman" w:cs="Times New Roman"/>
                <w:color w:val="auto"/>
                <w:sz w:val="24"/>
                <w:szCs w:val="24"/>
                <w:lang w:val="en-US" w:eastAsia="zh-CN"/>
              </w:rPr>
              <w:t>、喷淋塔用水</w:t>
            </w:r>
            <w:r>
              <w:rPr>
                <w:rFonts w:hint="default" w:ascii="Times New Roman" w:hAnsi="Times New Roman" w:cs="Times New Roman"/>
                <w:color w:val="auto"/>
                <w:sz w:val="24"/>
                <w:szCs w:val="24"/>
                <w:lang w:val="en-US" w:eastAsia="zh-CN"/>
              </w:rPr>
              <w:t>和职工生活用水。</w:t>
            </w:r>
          </w:p>
          <w:p>
            <w:pPr>
              <w:keepNext w:val="0"/>
              <w:keepLines w:val="0"/>
              <w:pageBreakBefore w:val="0"/>
              <w:kinsoku/>
              <w:wordWrap/>
              <w:overflowPunct/>
              <w:topLinePunct w:val="0"/>
              <w:autoSpaceDE/>
              <w:autoSpaceDN/>
              <w:bidi w:val="0"/>
              <w:spacing w:line="360" w:lineRule="auto"/>
              <w:ind w:firstLine="500" w:firstLineChars="200"/>
              <w:jc w:val="left"/>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1、冷却用水</w:t>
            </w: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高温熔融挤出后的塑料条需进入生产线末端配套的冷却水槽（长4m*宽0.55m*深0.35m）进行冷却降温，冷却水循环利用，定期补充新鲜水。冷却水槽有效容积按总容积的</w:t>
            </w:r>
            <w:r>
              <w:rPr>
                <w:rFonts w:hint="eastAsia" w:ascii="Times New Roman" w:hAnsi="Times New Roman" w:cs="Times New Roman"/>
                <w:color w:val="auto"/>
                <w:sz w:val="24"/>
                <w:szCs w:val="24"/>
                <w:lang w:val="en-US" w:eastAsia="zh-CN"/>
              </w:rPr>
              <w:t>0.85</w:t>
            </w:r>
            <w:r>
              <w:rPr>
                <w:rFonts w:hint="default" w:ascii="Times New Roman" w:hAnsi="Times New Roman" w:cs="Times New Roman"/>
                <w:color w:val="auto"/>
                <w:sz w:val="24"/>
                <w:szCs w:val="24"/>
                <w:lang w:val="en-US" w:eastAsia="zh-CN"/>
              </w:rPr>
              <w:t>计，即0.65</w:t>
            </w:r>
            <w:r>
              <w:rPr>
                <w:rFonts w:hint="eastAsia" w:ascii="Times New Roman" w:hAnsi="Times New Roman" w:cs="Times New Roman"/>
                <w:color w:val="auto"/>
                <w:sz w:val="24"/>
                <w:szCs w:val="24"/>
                <w:lang w:val="en-US" w:eastAsia="zh-CN"/>
              </w:rPr>
              <w:t>m³</w:t>
            </w:r>
            <w:r>
              <w:rPr>
                <w:rFonts w:hint="default" w:ascii="Times New Roman" w:hAnsi="Times New Roman" w:cs="Times New Roman"/>
                <w:color w:val="auto"/>
                <w:sz w:val="24"/>
                <w:szCs w:val="24"/>
                <w:lang w:val="en-US" w:eastAsia="zh-CN"/>
              </w:rPr>
              <w:t>，则</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val="en-US" w:eastAsia="zh-CN"/>
              </w:rPr>
              <w:t>条线冷却循环用水量约为</w:t>
            </w:r>
            <w:r>
              <w:rPr>
                <w:rFonts w:hint="eastAsia" w:ascii="Times New Roman" w:hAnsi="Times New Roman" w:cs="Times New Roman"/>
                <w:color w:val="auto"/>
                <w:sz w:val="24"/>
                <w:szCs w:val="24"/>
                <w:lang w:val="en-US" w:eastAsia="zh-CN"/>
              </w:rPr>
              <w:t>4.55m³/d</w:t>
            </w:r>
            <w:r>
              <w:rPr>
                <w:rFonts w:hint="default" w:ascii="Times New Roman" w:hAnsi="Times New Roman" w:cs="Times New Roman"/>
                <w:color w:val="auto"/>
                <w:sz w:val="24"/>
                <w:szCs w:val="24"/>
                <w:lang w:val="en-US" w:eastAsia="zh-CN"/>
              </w:rPr>
              <w:t>，冷却水损耗量按用水量的10%计，需定期补充新鲜水量为0.</w:t>
            </w:r>
            <w:r>
              <w:rPr>
                <w:rFonts w:hint="eastAsia" w:ascii="Times New Roman" w:hAnsi="Times New Roman" w:cs="Times New Roman"/>
                <w:color w:val="auto"/>
                <w:sz w:val="24"/>
                <w:szCs w:val="24"/>
                <w:lang w:val="en-US" w:eastAsia="zh-CN"/>
              </w:rPr>
              <w:t>46m³</w:t>
            </w:r>
            <w:r>
              <w:rPr>
                <w:rFonts w:hint="default"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val="en-US" w:eastAsia="zh-CN"/>
              </w:rPr>
              <w:t>7条线冷却水集中通过地下管道进入冷却水池（40m³），循环使用，不外排</w:t>
            </w:r>
            <w:r>
              <w:rPr>
                <w:rFonts w:hint="default" w:ascii="Times New Roman" w:hAnsi="Times New Roman" w:cs="Times New Roman"/>
                <w:color w:val="auto"/>
                <w:sz w:val="24"/>
                <w:szCs w:val="24"/>
                <w:lang w:val="en-US" w:eastAsia="zh-CN"/>
              </w:rPr>
              <w:t>。</w:t>
            </w: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2、喷淋塔用水</w:t>
            </w: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项目有机废气处理设置水喷淋工序，喷淋塔自带循环水系统（循环水池20m³），循环用水量约为10m³/d，循环利用及时补充损耗，用水损耗以10％计，每日补充新鲜水量约为1m³/d，循环利用不外排。</w:t>
            </w: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3、生活用水</w:t>
            </w: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本项目劳动定员5人，均不在厂区食宿，根据《河南省地方标准 工业及城镇生活用水定额》（DB41/T385-2020），项目职工生活用水参照《定额》中表48中“公共管理、 社会保障和社会组织—机关用水定额—22</w:t>
            </w:r>
            <w:r>
              <w:rPr>
                <w:rFonts w:hint="eastAsia" w:ascii="Times New Roman" w:hAnsi="Times New Roman" w:cs="Times New Roman"/>
                <w:color w:val="auto"/>
                <w:sz w:val="24"/>
                <w:szCs w:val="24"/>
                <w:lang w:val="en-US" w:eastAsia="zh-CN"/>
              </w:rPr>
              <w:t>m³</w:t>
            </w:r>
            <w:r>
              <w:rPr>
                <w:rFonts w:hint="default" w:ascii="Times New Roman" w:hAnsi="Times New Roman" w:cs="Times New Roman"/>
                <w:color w:val="auto"/>
                <w:sz w:val="24"/>
                <w:szCs w:val="24"/>
                <w:lang w:val="en-US" w:eastAsia="zh-CN"/>
              </w:rPr>
              <w:t>/人•a（无食堂），折合73L/人•d，则项目职工生活用水量为</w:t>
            </w:r>
            <w:r>
              <w:rPr>
                <w:rFonts w:hint="eastAsia" w:ascii="Times New Roman" w:hAnsi="Times New Roman" w:cs="Times New Roman"/>
                <w:color w:val="auto"/>
                <w:sz w:val="24"/>
                <w:szCs w:val="24"/>
                <w:lang w:val="en-US" w:eastAsia="zh-CN"/>
              </w:rPr>
              <w:t>0.37m³</w:t>
            </w:r>
            <w:r>
              <w:rPr>
                <w:rFonts w:hint="default" w:ascii="Times New Roman" w:hAnsi="Times New Roman" w:cs="Times New Roman"/>
                <w:color w:val="auto"/>
                <w:sz w:val="24"/>
                <w:szCs w:val="24"/>
                <w:lang w:val="en-US" w:eastAsia="zh-CN"/>
              </w:rPr>
              <w:t>/d，废水产污系数取0.8，生活污水产生量为0.</w:t>
            </w:r>
            <w:r>
              <w:rPr>
                <w:rFonts w:hint="eastAsia" w:ascii="Times New Roman" w:hAnsi="Times New Roman" w:cs="Times New Roman"/>
                <w:color w:val="auto"/>
                <w:sz w:val="24"/>
                <w:szCs w:val="24"/>
                <w:lang w:val="en-US" w:eastAsia="zh-CN"/>
              </w:rPr>
              <w:t>3m³</w:t>
            </w:r>
            <w:r>
              <w:rPr>
                <w:rFonts w:hint="default"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val="en-US" w:eastAsia="zh-CN"/>
              </w:rPr>
              <w:t>生活废水经化粪池（10m³）处理后用于附近农田施肥，不外排</w:t>
            </w:r>
            <w:r>
              <w:rPr>
                <w:rFonts w:hint="default" w:ascii="Times New Roman" w:hAnsi="Times New Roman" w:cs="Times New Roman"/>
                <w:color w:val="auto"/>
                <w:sz w:val="24"/>
                <w:szCs w:val="24"/>
              </w:rPr>
              <w:t>。</w:t>
            </w:r>
          </w:p>
          <w:p>
            <w:pPr>
              <w:keepNext w:val="0"/>
              <w:keepLines w:val="0"/>
              <w:pageBreakBefore w:val="0"/>
              <w:widowControl/>
              <w:kinsoku/>
              <w:wordWrap/>
              <w:overflowPunct/>
              <w:topLinePunct w:val="0"/>
              <w:autoSpaceDE/>
              <w:autoSpaceDN/>
              <w:bidi w:val="0"/>
              <w:snapToGrid w:val="0"/>
              <w:spacing w:line="360" w:lineRule="auto"/>
              <w:ind w:firstLine="330" w:firstLineChars="150"/>
              <w:textAlignment w:val="auto"/>
              <w:rPr>
                <w:rFonts w:hint="default" w:ascii="Times New Roman" w:hAnsi="Times New Roman" w:cs="Times New Roman"/>
                <w:color w:val="auto"/>
                <w:sz w:val="24"/>
                <w:szCs w:val="24"/>
              </w:rPr>
            </w:pPr>
            <w:r>
              <w:rPr>
                <w:sz w:val="21"/>
              </w:rPr>
              <mc:AlternateContent>
                <mc:Choice Requires="wpg">
                  <w:drawing>
                    <wp:anchor distT="0" distB="0" distL="114300" distR="114300" simplePos="0" relativeHeight="251667456" behindDoc="0" locked="0" layoutInCell="1" allowOverlap="1">
                      <wp:simplePos x="0" y="0"/>
                      <wp:positionH relativeFrom="column">
                        <wp:posOffset>29845</wp:posOffset>
                      </wp:positionH>
                      <wp:positionV relativeFrom="paragraph">
                        <wp:posOffset>99695</wp:posOffset>
                      </wp:positionV>
                      <wp:extent cx="5407025" cy="3697605"/>
                      <wp:effectExtent l="0" t="0" r="0" b="17145"/>
                      <wp:wrapNone/>
                      <wp:docPr id="15" name="组合 15"/>
                      <wp:cNvGraphicFramePr/>
                      <a:graphic xmlns:a="http://schemas.openxmlformats.org/drawingml/2006/main">
                        <a:graphicData uri="http://schemas.microsoft.com/office/word/2010/wordprocessingGroup">
                          <wpg:wgp>
                            <wpg:cNvGrpSpPr/>
                            <wpg:grpSpPr>
                              <a:xfrm>
                                <a:off x="0" y="0"/>
                                <a:ext cx="5407025" cy="3697605"/>
                                <a:chOff x="10237" y="2795"/>
                                <a:chExt cx="8515" cy="5823"/>
                              </a:xfrm>
                            </wpg:grpSpPr>
                            <wps:wsp>
                              <wps:cNvPr id="111" name="Rectangle 135"/>
                              <wps:cNvSpPr>
                                <a:spLocks noChangeArrowheads="1"/>
                              </wps:cNvSpPr>
                              <wps:spPr bwMode="auto">
                                <a:xfrm>
                                  <a:off x="10237" y="4587"/>
                                  <a:ext cx="1065" cy="812"/>
                                </a:xfrm>
                                <a:prstGeom prst="rect">
                                  <a:avLst/>
                                </a:prstGeom>
                                <a:noFill/>
                                <a:ln>
                                  <a:noFill/>
                                </a:ln>
                                <a:effectLst/>
                              </wps:spPr>
                              <wps:txbx>
                                <w:txbxContent>
                                  <w:p>
                                    <w:pPr>
                                      <w:jc w:val="center"/>
                                    </w:pPr>
                                    <w:r>
                                      <w:t>新鲜水</w:t>
                                    </w:r>
                                  </w:p>
                                  <w:p>
                                    <w:pPr>
                                      <w:jc w:val="center"/>
                                      <w:rPr>
                                        <w:rFonts w:hint="default" w:eastAsia="宋体"/>
                                        <w:lang w:val="en-US" w:eastAsia="zh-CN"/>
                                      </w:rPr>
                                    </w:pPr>
                                    <w:r>
                                      <w:rPr>
                                        <w:rFonts w:hint="eastAsia"/>
                                        <w:lang w:val="en-US" w:eastAsia="zh-CN"/>
                                      </w:rPr>
                                      <w:t>1.83</w:t>
                                    </w:r>
                                  </w:p>
                                </w:txbxContent>
                              </wps:txbx>
                              <wps:bodyPr rot="0" vert="horz" wrap="square" lIns="91440" tIns="45720" rIns="91440" bIns="45720" anchor="t" anchorCtr="0" upright="1">
                                <a:noAutofit/>
                              </wps:bodyPr>
                            </wps:wsp>
                            <wps:wsp>
                              <wps:cNvPr id="116" name="Rectangle 178"/>
                              <wps:cNvSpPr>
                                <a:spLocks noChangeArrowheads="1"/>
                              </wps:cNvSpPr>
                              <wps:spPr bwMode="auto">
                                <a:xfrm>
                                  <a:off x="12187" y="6321"/>
                                  <a:ext cx="1665" cy="573"/>
                                </a:xfrm>
                                <a:prstGeom prst="rect">
                                  <a:avLst/>
                                </a:prstGeom>
                                <a:noFill/>
                                <a:ln w="9525" algn="ctr">
                                  <a:solidFill>
                                    <a:srgbClr val="000000"/>
                                  </a:solidFill>
                                  <a:miter lim="800000"/>
                                </a:ln>
                                <a:effectLst/>
                              </wps:spPr>
                              <wps:txbx>
                                <w:txbxContent>
                                  <w:p>
                                    <w:pPr>
                                      <w:jc w:val="center"/>
                                    </w:pPr>
                                    <w:r>
                                      <w:rPr>
                                        <w:rFonts w:hint="eastAsia"/>
                                      </w:rPr>
                                      <w:t>职工生活用水</w:t>
                                    </w:r>
                                  </w:p>
                                </w:txbxContent>
                              </wps:txbx>
                              <wps:bodyPr rot="0" vert="horz" wrap="square" lIns="91440" tIns="45720" rIns="91440" bIns="45720" anchor="t" anchorCtr="0" upright="1">
                                <a:noAutofit/>
                              </wps:bodyPr>
                            </wps:wsp>
                            <wps:wsp>
                              <wps:cNvPr id="123" name="Rectangle 184"/>
                              <wps:cNvSpPr>
                                <a:spLocks noChangeArrowheads="1"/>
                              </wps:cNvSpPr>
                              <wps:spPr bwMode="auto">
                                <a:xfrm>
                                  <a:off x="16497" y="6357"/>
                                  <a:ext cx="2255" cy="562"/>
                                </a:xfrm>
                                <a:prstGeom prst="rect">
                                  <a:avLst/>
                                </a:prstGeom>
                                <a:noFill/>
                                <a:ln>
                                  <a:noFill/>
                                </a:ln>
                                <a:effectLst/>
                              </wps:spPr>
                              <wps:txbx>
                                <w:txbxContent>
                                  <w:p>
                                    <w:pPr>
                                      <w:jc w:val="center"/>
                                    </w:pPr>
                                    <w:r>
                                      <w:rPr>
                                        <w:rFonts w:hint="eastAsia"/>
                                      </w:rPr>
                                      <w:t>用于周围农田施肥</w:t>
                                    </w:r>
                                  </w:p>
                                </w:txbxContent>
                              </wps:txbx>
                              <wps:bodyPr rot="0" vert="horz" wrap="square" lIns="91440" tIns="45720" rIns="91440" bIns="45720" anchor="t" anchorCtr="0" upright="1">
                                <a:noAutofit/>
                              </wps:bodyPr>
                            </wps:wsp>
                            <wps:wsp>
                              <wps:cNvPr id="124" name="Rectangle 185"/>
                              <wps:cNvSpPr>
                                <a:spLocks noChangeArrowheads="1"/>
                              </wps:cNvSpPr>
                              <wps:spPr bwMode="auto">
                                <a:xfrm>
                                  <a:off x="11372" y="6092"/>
                                  <a:ext cx="874" cy="440"/>
                                </a:xfrm>
                                <a:prstGeom prst="rect">
                                  <a:avLst/>
                                </a:prstGeom>
                                <a:noFill/>
                                <a:ln>
                                  <a:noFill/>
                                </a:ln>
                                <a:effectLst/>
                              </wps:spPr>
                              <wps:txbx>
                                <w:txbxContent>
                                  <w:p>
                                    <w:pPr>
                                      <w:jc w:val="center"/>
                                      <w:rPr>
                                        <w:rFonts w:hint="default" w:eastAsia="宋体"/>
                                        <w:lang w:val="en-US" w:eastAsia="zh-CN"/>
                                      </w:rPr>
                                    </w:pPr>
                                    <w:r>
                                      <w:rPr>
                                        <w:rFonts w:hint="eastAsia"/>
                                        <w:lang w:val="en-US" w:eastAsia="zh-CN"/>
                                      </w:rPr>
                                      <w:t>0.37</w:t>
                                    </w:r>
                                  </w:p>
                                </w:txbxContent>
                              </wps:txbx>
                              <wps:bodyPr rot="0" vert="horz" wrap="square" lIns="91440" tIns="45720" rIns="91440" bIns="45720" anchor="t" anchorCtr="0" upright="1">
                                <a:noAutofit/>
                              </wps:bodyPr>
                            </wps:wsp>
                            <wps:wsp>
                              <wps:cNvPr id="126" name="AutoShape 155"/>
                              <wps:cNvCnPr>
                                <a:cxnSpLocks noChangeShapeType="1"/>
                              </wps:cNvCnPr>
                              <wps:spPr bwMode="auto">
                                <a:xfrm flipH="1">
                                  <a:off x="11355" y="4056"/>
                                  <a:ext cx="5" cy="4014"/>
                                </a:xfrm>
                                <a:prstGeom prst="straightConnector1">
                                  <a:avLst/>
                                </a:prstGeom>
                                <a:noFill/>
                                <a:ln w="9525">
                                  <a:solidFill>
                                    <a:srgbClr val="000000"/>
                                  </a:solidFill>
                                  <a:round/>
                                </a:ln>
                                <a:effectLst/>
                              </wps:spPr>
                              <wps:bodyPr/>
                            </wps:wsp>
                            <wps:wsp>
                              <wps:cNvPr id="130" name="Rectangle 178"/>
                              <wps:cNvSpPr>
                                <a:spLocks noChangeArrowheads="1"/>
                              </wps:cNvSpPr>
                              <wps:spPr bwMode="auto">
                                <a:xfrm>
                                  <a:off x="12194" y="3804"/>
                                  <a:ext cx="1335" cy="436"/>
                                </a:xfrm>
                                <a:prstGeom prst="rect">
                                  <a:avLst/>
                                </a:prstGeom>
                                <a:noFill/>
                                <a:ln w="9525" algn="ctr">
                                  <a:solidFill>
                                    <a:srgbClr val="000000"/>
                                  </a:solidFill>
                                  <a:miter lim="800000"/>
                                </a:ln>
                                <a:effectLst/>
                              </wps:spPr>
                              <wps:txbx>
                                <w:txbxContent>
                                  <w:p>
                                    <w:pPr>
                                      <w:pStyle w:val="9"/>
                                      <w:spacing w:before="0" w:beforeAutospacing="0" w:after="0" w:afterAutospacing="0"/>
                                      <w:jc w:val="center"/>
                                    </w:pPr>
                                    <w:r>
                                      <w:rPr>
                                        <w:rFonts w:hint="eastAsia" w:ascii="Times New Roman"/>
                                        <w:kern w:val="2"/>
                                        <w:sz w:val="21"/>
                                        <w:szCs w:val="21"/>
                                      </w:rPr>
                                      <w:t>冷却用水</w:t>
                                    </w:r>
                                  </w:p>
                                </w:txbxContent>
                              </wps:txbx>
                              <wps:bodyPr rot="0" vert="horz" wrap="square" lIns="91440" tIns="45720" rIns="91440" bIns="45720" anchor="t" anchorCtr="0" upright="1">
                                <a:noAutofit/>
                              </wps:bodyPr>
                            </wps:wsp>
                            <wps:wsp>
                              <wps:cNvPr id="133" name="Rectangle 105"/>
                              <wps:cNvSpPr>
                                <a:spLocks noChangeArrowheads="1"/>
                              </wps:cNvSpPr>
                              <wps:spPr bwMode="auto">
                                <a:xfrm>
                                  <a:off x="11409" y="3452"/>
                                  <a:ext cx="739" cy="485"/>
                                </a:xfrm>
                                <a:prstGeom prst="rect">
                                  <a:avLst/>
                                </a:prstGeom>
                                <a:noFill/>
                                <a:ln>
                                  <a:noFill/>
                                </a:ln>
                                <a:effectLst/>
                              </wps:spPr>
                              <wps:txbx>
                                <w:txbxContent>
                                  <w:p>
                                    <w:pPr>
                                      <w:pStyle w:val="9"/>
                                      <w:spacing w:before="0" w:beforeAutospacing="0" w:after="0" w:afterAutospacing="0"/>
                                      <w:jc w:val="both"/>
                                      <w:rPr>
                                        <w:rFonts w:hint="default" w:eastAsia="宋体"/>
                                        <w:lang w:val="en-US" w:eastAsia="zh-CN"/>
                                      </w:rPr>
                                    </w:pPr>
                                    <w:r>
                                      <w:rPr>
                                        <w:rFonts w:hint="eastAsia" w:ascii="Times New Roman"/>
                                        <w:kern w:val="2"/>
                                        <w:sz w:val="21"/>
                                        <w:szCs w:val="21"/>
                                        <w:lang w:val="en-US" w:eastAsia="zh-CN"/>
                                      </w:rPr>
                                      <w:t>0.46</w:t>
                                    </w:r>
                                  </w:p>
                                </w:txbxContent>
                              </wps:txbx>
                              <wps:bodyPr rot="0" vert="horz" wrap="square" lIns="91440" tIns="45720" rIns="91440" bIns="45720" anchor="t" anchorCtr="0" upright="1">
                                <a:noAutofit/>
                              </wps:bodyPr>
                            </wps:wsp>
                            <wps:wsp>
                              <wps:cNvPr id="205" name="Rectangle 100"/>
                              <wps:cNvSpPr>
                                <a:spLocks noChangeArrowheads="1"/>
                              </wps:cNvSpPr>
                              <wps:spPr bwMode="auto">
                                <a:xfrm>
                                  <a:off x="12340" y="2795"/>
                                  <a:ext cx="1517" cy="451"/>
                                </a:xfrm>
                                <a:prstGeom prst="rect">
                                  <a:avLst/>
                                </a:prstGeom>
                                <a:noFill/>
                                <a:ln>
                                  <a:noFill/>
                                </a:ln>
                                <a:effectLst/>
                              </wps:spPr>
                              <wps:txbx>
                                <w:txbxContent>
                                  <w:p>
                                    <w:pPr>
                                      <w:jc w:val="center"/>
                                      <w:rPr>
                                        <w:rFonts w:hint="default" w:eastAsia="宋体"/>
                                        <w:lang w:val="en-US" w:eastAsia="zh-CN"/>
                                      </w:rPr>
                                    </w:pPr>
                                    <w:r>
                                      <w:t>损耗</w:t>
                                    </w:r>
                                    <w:r>
                                      <w:rPr>
                                        <w:rFonts w:hint="eastAsia"/>
                                      </w:rPr>
                                      <w:t>0.</w:t>
                                    </w:r>
                                    <w:r>
                                      <w:rPr>
                                        <w:rFonts w:hint="eastAsia"/>
                                        <w:lang w:val="en-US" w:eastAsia="zh-CN"/>
                                      </w:rPr>
                                      <w:t>46</w:t>
                                    </w:r>
                                  </w:p>
                                </w:txbxContent>
                              </wps:txbx>
                              <wps:bodyPr rot="0" vert="horz" wrap="square" lIns="91440" tIns="45720" rIns="91440" bIns="45720" anchor="t" anchorCtr="0" upright="1">
                                <a:noAutofit/>
                              </wps:bodyPr>
                            </wps:wsp>
                            <wps:wsp>
                              <wps:cNvPr id="3" name="Rectangle 105"/>
                              <wps:cNvSpPr>
                                <a:spLocks noChangeArrowheads="1"/>
                              </wps:cNvSpPr>
                              <wps:spPr bwMode="auto">
                                <a:xfrm>
                                  <a:off x="14409" y="3462"/>
                                  <a:ext cx="739" cy="485"/>
                                </a:xfrm>
                                <a:prstGeom prst="rect">
                                  <a:avLst/>
                                </a:prstGeom>
                                <a:noFill/>
                                <a:ln>
                                  <a:noFill/>
                                </a:ln>
                                <a:effectLst/>
                              </wps:spPr>
                              <wps:txbx>
                                <w:txbxContent>
                                  <w:p>
                                    <w:pPr>
                                      <w:pStyle w:val="9"/>
                                      <w:spacing w:before="0" w:beforeAutospacing="0" w:after="0" w:afterAutospacing="0"/>
                                      <w:jc w:val="both"/>
                                      <w:rPr>
                                        <w:rFonts w:hint="default" w:eastAsia="宋体"/>
                                        <w:lang w:val="en-US" w:eastAsia="zh-CN"/>
                                      </w:rPr>
                                    </w:pPr>
                                    <w:r>
                                      <w:rPr>
                                        <w:rFonts w:hint="eastAsia" w:ascii="Times New Roman"/>
                                        <w:kern w:val="2"/>
                                        <w:sz w:val="21"/>
                                        <w:szCs w:val="21"/>
                                        <w:lang w:val="en-US" w:eastAsia="zh-CN"/>
                                      </w:rPr>
                                      <w:t>4.55</w:t>
                                    </w:r>
                                  </w:p>
                                </w:txbxContent>
                              </wps:txbx>
                              <wps:bodyPr rot="0" vert="horz" wrap="square" lIns="91440" tIns="45720" rIns="91440" bIns="45720" anchor="t" anchorCtr="0" upright="1">
                                <a:noAutofit/>
                              </wps:bodyPr>
                            </wps:wsp>
                            <wps:wsp>
                              <wps:cNvPr id="6" name="Rectangle 179"/>
                              <wps:cNvSpPr>
                                <a:spLocks noChangeArrowheads="1"/>
                              </wps:cNvSpPr>
                              <wps:spPr bwMode="auto">
                                <a:xfrm>
                                  <a:off x="12723" y="5361"/>
                                  <a:ext cx="1218" cy="470"/>
                                </a:xfrm>
                                <a:prstGeom prst="rect">
                                  <a:avLst/>
                                </a:prstGeom>
                                <a:noFill/>
                                <a:ln>
                                  <a:noFill/>
                                </a:ln>
                                <a:effectLst/>
                              </wps:spPr>
                              <wps:txbx>
                                <w:txbxContent>
                                  <w:p>
                                    <w:pPr>
                                      <w:rPr>
                                        <w:rFonts w:hint="default" w:eastAsia="宋体"/>
                                        <w:lang w:val="en-US" w:eastAsia="zh-CN"/>
                                      </w:rPr>
                                    </w:pPr>
                                    <w:r>
                                      <w:t>损耗</w:t>
                                    </w:r>
                                    <w:r>
                                      <w:rPr>
                                        <w:rFonts w:hint="eastAsia"/>
                                        <w:lang w:val="en-US" w:eastAsia="zh-CN"/>
                                      </w:rPr>
                                      <w:t>0.07</w:t>
                                    </w:r>
                                  </w:p>
                                </w:txbxContent>
                              </wps:txbx>
                              <wps:bodyPr rot="0" vert="horz" wrap="square" lIns="91440" tIns="45720" rIns="91440" bIns="45720" anchor="t" anchorCtr="0" upright="1">
                                <a:noAutofit/>
                              </wps:bodyPr>
                            </wps:wsp>
                            <wps:wsp>
                              <wps:cNvPr id="223" name="AutoShape 181"/>
                              <wps:cNvCnPr>
                                <a:cxnSpLocks noChangeShapeType="1"/>
                              </wps:cNvCnPr>
                              <wps:spPr bwMode="auto">
                                <a:xfrm>
                                  <a:off x="13855" y="6615"/>
                                  <a:ext cx="792" cy="2"/>
                                </a:xfrm>
                                <a:prstGeom prst="straightConnector1">
                                  <a:avLst/>
                                </a:prstGeom>
                                <a:noFill/>
                                <a:ln w="9525">
                                  <a:solidFill>
                                    <a:srgbClr val="000000"/>
                                  </a:solidFill>
                                  <a:round/>
                                  <a:tailEnd type="triangle" w="med" len="med"/>
                                </a:ln>
                                <a:effectLst/>
                              </wps:spPr>
                              <wps:bodyPr/>
                            </wps:wsp>
                            <wps:wsp>
                              <wps:cNvPr id="232" name="Rectangle 182"/>
                              <wps:cNvSpPr>
                                <a:spLocks noChangeArrowheads="1"/>
                              </wps:cNvSpPr>
                              <wps:spPr bwMode="auto">
                                <a:xfrm>
                                  <a:off x="14638" y="6336"/>
                                  <a:ext cx="1065" cy="526"/>
                                </a:xfrm>
                                <a:prstGeom prst="rect">
                                  <a:avLst/>
                                </a:prstGeom>
                                <a:noFill/>
                                <a:ln w="9525" algn="ctr">
                                  <a:solidFill>
                                    <a:srgbClr val="000000"/>
                                  </a:solidFill>
                                  <a:miter lim="800000"/>
                                </a:ln>
                                <a:effectLst/>
                              </wps:spPr>
                              <wps:txbx>
                                <w:txbxContent>
                                  <w:p>
                                    <w:pPr>
                                      <w:jc w:val="center"/>
                                    </w:pPr>
                                    <w:r>
                                      <w:rPr>
                                        <w:rFonts w:hint="eastAsia"/>
                                      </w:rPr>
                                      <w:t>化粪池</w:t>
                                    </w:r>
                                  </w:p>
                                </w:txbxContent>
                              </wps:txbx>
                              <wps:bodyPr rot="0" vert="horz" wrap="square" lIns="91440" tIns="45720" rIns="91440" bIns="45720" anchor="t" anchorCtr="0" upright="1">
                                <a:noAutofit/>
                              </wps:bodyPr>
                            </wps:wsp>
                            <wps:wsp>
                              <wps:cNvPr id="233" name="AutoShape 183"/>
                              <wps:cNvCnPr>
                                <a:cxnSpLocks noChangeShapeType="1"/>
                              </wps:cNvCnPr>
                              <wps:spPr bwMode="auto">
                                <a:xfrm>
                                  <a:off x="15703" y="6611"/>
                                  <a:ext cx="783" cy="1"/>
                                </a:xfrm>
                                <a:prstGeom prst="straightConnector1">
                                  <a:avLst/>
                                </a:prstGeom>
                                <a:noFill/>
                                <a:ln w="9525">
                                  <a:solidFill>
                                    <a:srgbClr val="000000"/>
                                  </a:solidFill>
                                  <a:round/>
                                  <a:tailEnd type="triangle" w="med" len="med"/>
                                </a:ln>
                                <a:effectLst/>
                              </wps:spPr>
                              <wps:bodyPr/>
                            </wps:wsp>
                            <wps:wsp>
                              <wps:cNvPr id="235" name="Rectangle 185"/>
                              <wps:cNvSpPr>
                                <a:spLocks noChangeArrowheads="1"/>
                              </wps:cNvSpPr>
                              <wps:spPr bwMode="auto">
                                <a:xfrm>
                                  <a:off x="13772" y="6092"/>
                                  <a:ext cx="874" cy="457"/>
                                </a:xfrm>
                                <a:prstGeom prst="rect">
                                  <a:avLst/>
                                </a:prstGeom>
                                <a:noFill/>
                                <a:ln>
                                  <a:noFill/>
                                </a:ln>
                                <a:effectLst/>
                              </wps:spPr>
                              <wps:txbx>
                                <w:txbxContent>
                                  <w:p>
                                    <w:pPr>
                                      <w:jc w:val="center"/>
                                      <w:rPr>
                                        <w:rFonts w:hint="default" w:eastAsia="宋体"/>
                                        <w:lang w:val="en-US" w:eastAsia="zh-CN"/>
                                      </w:rPr>
                                    </w:pPr>
                                    <w:r>
                                      <w:rPr>
                                        <w:rFonts w:hint="eastAsia"/>
                                        <w:lang w:val="en-US" w:eastAsia="zh-CN"/>
                                      </w:rPr>
                                      <w:t>0.3</w:t>
                                    </w:r>
                                  </w:p>
                                </w:txbxContent>
                              </wps:txbx>
                              <wps:bodyPr rot="0" vert="horz" wrap="square" lIns="91440" tIns="45720" rIns="91440" bIns="45720" anchor="t" anchorCtr="0" upright="1">
                                <a:noAutofit/>
                              </wps:bodyPr>
                            </wps:wsp>
                            <wps:wsp>
                              <wps:cNvPr id="7" name="Rectangle 178"/>
                              <wps:cNvSpPr>
                                <a:spLocks noChangeArrowheads="1"/>
                              </wps:cNvSpPr>
                              <wps:spPr bwMode="auto">
                                <a:xfrm>
                                  <a:off x="15406" y="3687"/>
                                  <a:ext cx="1335" cy="555"/>
                                </a:xfrm>
                                <a:prstGeom prst="rect">
                                  <a:avLst/>
                                </a:prstGeom>
                                <a:noFill/>
                                <a:ln w="9525" algn="ctr">
                                  <a:solidFill>
                                    <a:srgbClr val="000000"/>
                                  </a:solidFill>
                                  <a:miter lim="800000"/>
                                </a:ln>
                                <a:effectLst/>
                              </wps:spPr>
                              <wps:txbx>
                                <w:txbxContent>
                                  <w:p>
                                    <w:pPr>
                                      <w:pStyle w:val="9"/>
                                      <w:spacing w:before="0" w:beforeAutospacing="0" w:after="0" w:afterAutospacing="0"/>
                                      <w:jc w:val="center"/>
                                      <w:rPr>
                                        <w:rFonts w:hint="eastAsia" w:eastAsia="宋体"/>
                                        <w:lang w:eastAsia="zh-CN"/>
                                      </w:rPr>
                                    </w:pPr>
                                    <w:r>
                                      <w:rPr>
                                        <w:rFonts w:hint="eastAsia" w:ascii="Times New Roman"/>
                                        <w:kern w:val="2"/>
                                        <w:sz w:val="21"/>
                                        <w:szCs w:val="21"/>
                                      </w:rPr>
                                      <w:t>冷却</w:t>
                                    </w:r>
                                    <w:r>
                                      <w:rPr>
                                        <w:rFonts w:hint="eastAsia" w:ascii="Times New Roman"/>
                                        <w:kern w:val="2"/>
                                        <w:sz w:val="21"/>
                                        <w:szCs w:val="21"/>
                                        <w:lang w:eastAsia="zh-CN"/>
                                      </w:rPr>
                                      <w:t>水池</w:t>
                                    </w:r>
                                  </w:p>
                                </w:txbxContent>
                              </wps:txbx>
                              <wps:bodyPr rot="0" vert="horz" wrap="square" lIns="91440" tIns="45720" rIns="91440" bIns="45720" anchor="t" anchorCtr="0" upright="1">
                                <a:noAutofit/>
                              </wps:bodyPr>
                            </wps:wsp>
                            <wps:wsp>
                              <wps:cNvPr id="120" name="AutoShape 181"/>
                              <wps:cNvCnPr>
                                <a:cxnSpLocks noChangeShapeType="1"/>
                              </wps:cNvCnPr>
                              <wps:spPr bwMode="auto">
                                <a:xfrm>
                                  <a:off x="11380" y="6590"/>
                                  <a:ext cx="792" cy="2"/>
                                </a:xfrm>
                                <a:prstGeom prst="straightConnector1">
                                  <a:avLst/>
                                </a:prstGeom>
                                <a:noFill/>
                                <a:ln w="9525">
                                  <a:solidFill>
                                    <a:srgbClr val="000000"/>
                                  </a:solidFill>
                                  <a:round/>
                                  <a:tailEnd type="triangle" w="med" len="med"/>
                                </a:ln>
                                <a:effectLst/>
                              </wps:spPr>
                              <wps:bodyPr/>
                            </wps:wsp>
                            <wps:wsp>
                              <wps:cNvPr id="10" name="AutoShape 180"/>
                              <wps:cNvCnPr>
                                <a:cxnSpLocks noChangeShapeType="1"/>
                              </wps:cNvCnPr>
                              <wps:spPr bwMode="auto">
                                <a:xfrm flipV="1">
                                  <a:off x="12654" y="3424"/>
                                  <a:ext cx="468" cy="349"/>
                                </a:xfrm>
                                <a:prstGeom prst="curvedConnector3">
                                  <a:avLst>
                                    <a:gd name="adj1" fmla="val 59615"/>
                                  </a:avLst>
                                </a:prstGeom>
                                <a:noFill/>
                                <a:ln w="9525">
                                  <a:solidFill>
                                    <a:srgbClr val="000000"/>
                                  </a:solidFill>
                                  <a:prstDash val="dash"/>
                                  <a:round/>
                                  <a:tailEnd type="triangle" w="med" len="med"/>
                                </a:ln>
                                <a:effectLst/>
                              </wps:spPr>
                              <wps:bodyPr/>
                            </wps:wsp>
                            <wps:wsp>
                              <wps:cNvPr id="113" name="Rectangle 152"/>
                              <wps:cNvSpPr>
                                <a:spLocks noChangeArrowheads="1"/>
                              </wps:cNvSpPr>
                              <wps:spPr bwMode="auto">
                                <a:xfrm>
                                  <a:off x="13887" y="4260"/>
                                  <a:ext cx="1398" cy="533"/>
                                </a:xfrm>
                                <a:prstGeom prst="rect">
                                  <a:avLst/>
                                </a:prstGeom>
                                <a:noFill/>
                                <a:ln>
                                  <a:noFill/>
                                </a:ln>
                                <a:effectLst/>
                              </wps:spPr>
                              <wps:txb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循环4.55</w:t>
                                    </w:r>
                                  </w:p>
                                </w:txbxContent>
                              </wps:txbx>
                              <wps:bodyPr rot="0" vert="horz" wrap="square" lIns="91440" tIns="45720" rIns="91440" bIns="45720" anchor="t" anchorCtr="0" upright="1">
                                <a:noAutofit/>
                              </wps:bodyPr>
                            </wps:wsp>
                            <wps:wsp>
                              <wps:cNvPr id="11" name="肘形连接符 11"/>
                              <wps:cNvCnPr>
                                <a:stCxn id="7" idx="3"/>
                                <a:endCxn id="130" idx="2"/>
                              </wps:cNvCnPr>
                              <wps:spPr>
                                <a:xfrm flipH="1">
                                  <a:off x="12862" y="3965"/>
                                  <a:ext cx="3879" cy="275"/>
                                </a:xfrm>
                                <a:prstGeom prst="bentConnector4">
                                  <a:avLst>
                                    <a:gd name="adj1" fmla="val -9667"/>
                                    <a:gd name="adj2" fmla="val 23709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2" name="Rectangle 185"/>
                              <wps:cNvSpPr>
                                <a:spLocks noChangeArrowheads="1"/>
                              </wps:cNvSpPr>
                              <wps:spPr bwMode="auto">
                                <a:xfrm>
                                  <a:off x="15632" y="6117"/>
                                  <a:ext cx="874" cy="533"/>
                                </a:xfrm>
                                <a:prstGeom prst="rect">
                                  <a:avLst/>
                                </a:prstGeom>
                                <a:noFill/>
                                <a:ln>
                                  <a:noFill/>
                                </a:ln>
                                <a:effectLst/>
                              </wps:spPr>
                              <wps:txbx>
                                <w:txbxContent>
                                  <w:p>
                                    <w:pPr>
                                      <w:jc w:val="center"/>
                                      <w:rPr>
                                        <w:rFonts w:hint="default" w:eastAsia="宋体"/>
                                        <w:lang w:val="en-US" w:eastAsia="zh-CN"/>
                                      </w:rPr>
                                    </w:pPr>
                                    <w:r>
                                      <w:rPr>
                                        <w:rFonts w:hint="eastAsia"/>
                                        <w:lang w:val="en-US" w:eastAsia="zh-CN"/>
                                      </w:rPr>
                                      <w:t>0.3</w:t>
                                    </w:r>
                                  </w:p>
                                </w:txbxContent>
                              </wps:txbx>
                              <wps:bodyPr rot="0" vert="horz" wrap="square" lIns="91440" tIns="45720" rIns="91440" bIns="45720" anchor="t" anchorCtr="0" upright="1">
                                <a:noAutofit/>
                              </wps:bodyPr>
                            </wps:wsp>
                            <wps:wsp>
                              <wps:cNvPr id="132" name="AutoShape 181"/>
                              <wps:cNvCnPr>
                                <a:cxnSpLocks noChangeShapeType="1"/>
                              </wps:cNvCnPr>
                              <wps:spPr bwMode="auto">
                                <a:xfrm>
                                  <a:off x="13526" y="3998"/>
                                  <a:ext cx="1880" cy="13"/>
                                </a:xfrm>
                                <a:prstGeom prst="straightConnector1">
                                  <a:avLst/>
                                </a:prstGeom>
                                <a:noFill/>
                                <a:ln w="9525">
                                  <a:solidFill>
                                    <a:srgbClr val="000000"/>
                                  </a:solidFill>
                                  <a:round/>
                                  <a:tailEnd type="none" w="med" len="med"/>
                                </a:ln>
                                <a:effectLst/>
                              </wps:spPr>
                              <wps:bodyPr/>
                            </wps:wsp>
                            <wps:wsp>
                              <wps:cNvPr id="221" name="AutoShape 180"/>
                              <wps:cNvCnPr>
                                <a:cxnSpLocks noChangeShapeType="1"/>
                              </wps:cNvCnPr>
                              <wps:spPr bwMode="auto">
                                <a:xfrm flipV="1">
                                  <a:off x="12898" y="5867"/>
                                  <a:ext cx="468" cy="349"/>
                                </a:xfrm>
                                <a:prstGeom prst="curvedConnector3">
                                  <a:avLst>
                                    <a:gd name="adj1" fmla="val 50000"/>
                                  </a:avLst>
                                </a:prstGeom>
                                <a:noFill/>
                                <a:ln w="9525">
                                  <a:solidFill>
                                    <a:srgbClr val="000000"/>
                                  </a:solidFill>
                                  <a:prstDash val="dash"/>
                                  <a:round/>
                                  <a:tailEnd type="triangle" w="med" len="med"/>
                                </a:ln>
                                <a:effectLst/>
                              </wps:spPr>
                              <wps:bodyPr/>
                            </wps:wsp>
                            <wps:wsp>
                              <wps:cNvPr id="9" name="AutoShape 181"/>
                              <wps:cNvCnPr>
                                <a:cxnSpLocks noChangeShapeType="1"/>
                              </wps:cNvCnPr>
                              <wps:spPr bwMode="auto">
                                <a:xfrm>
                                  <a:off x="11365" y="4081"/>
                                  <a:ext cx="792" cy="1"/>
                                </a:xfrm>
                                <a:prstGeom prst="straightConnector1">
                                  <a:avLst/>
                                </a:prstGeom>
                                <a:noFill/>
                                <a:ln w="9525">
                                  <a:solidFill>
                                    <a:srgbClr val="000000"/>
                                  </a:solidFill>
                                  <a:round/>
                                  <a:tailEnd type="triangle" w="med" len="med"/>
                                </a:ln>
                                <a:effectLst/>
                              </wps:spPr>
                              <wps:bodyPr/>
                            </wps:wsp>
                            <wps:wsp>
                              <wps:cNvPr id="50" name="AutoShape 181"/>
                              <wps:cNvCnPr>
                                <a:cxnSpLocks noChangeShapeType="1"/>
                              </wps:cNvCnPr>
                              <wps:spPr bwMode="auto">
                                <a:xfrm>
                                  <a:off x="11365" y="8060"/>
                                  <a:ext cx="792" cy="2"/>
                                </a:xfrm>
                                <a:prstGeom prst="straightConnector1">
                                  <a:avLst/>
                                </a:prstGeom>
                                <a:noFill/>
                                <a:ln w="9525">
                                  <a:solidFill>
                                    <a:srgbClr val="000000"/>
                                  </a:solidFill>
                                  <a:round/>
                                  <a:tailEnd type="triangle" w="med" len="med"/>
                                </a:ln>
                                <a:effectLst/>
                              </wps:spPr>
                              <wps:bodyPr/>
                            </wps:wsp>
                            <wps:wsp>
                              <wps:cNvPr id="67" name="Rectangle 105"/>
                              <wps:cNvSpPr>
                                <a:spLocks noChangeArrowheads="1"/>
                              </wps:cNvSpPr>
                              <wps:spPr bwMode="auto">
                                <a:xfrm>
                                  <a:off x="11439" y="7397"/>
                                  <a:ext cx="739" cy="485"/>
                                </a:xfrm>
                                <a:prstGeom prst="rect">
                                  <a:avLst/>
                                </a:prstGeom>
                                <a:noFill/>
                                <a:ln>
                                  <a:noFill/>
                                </a:ln>
                                <a:effectLst/>
                              </wps:spPr>
                              <wps:txbx>
                                <w:txbxContent>
                                  <w:p>
                                    <w:pPr>
                                      <w:pStyle w:val="9"/>
                                      <w:spacing w:before="0" w:beforeAutospacing="0" w:after="0" w:afterAutospacing="0"/>
                                      <w:jc w:val="both"/>
                                      <w:rPr>
                                        <w:rFonts w:hint="default" w:eastAsia="宋体"/>
                                        <w:lang w:val="en-US" w:eastAsia="zh-CN"/>
                                      </w:rPr>
                                    </w:pPr>
                                    <w:r>
                                      <w:rPr>
                                        <w:rFonts w:hint="eastAsia" w:ascii="Times New Roman"/>
                                        <w:kern w:val="2"/>
                                        <w:sz w:val="21"/>
                                        <w:szCs w:val="21"/>
                                        <w:lang w:val="en-US" w:eastAsia="zh-CN"/>
                                      </w:rPr>
                                      <w:t>1</w:t>
                                    </w:r>
                                  </w:p>
                                </w:txbxContent>
                              </wps:txbx>
                              <wps:bodyPr rot="0" vert="horz" wrap="square" lIns="91440" tIns="45720" rIns="91440" bIns="45720" anchor="t" anchorCtr="0" upright="1">
                                <a:noAutofit/>
                              </wps:bodyPr>
                            </wps:wsp>
                            <wps:wsp>
                              <wps:cNvPr id="74" name="Rectangle 178"/>
                              <wps:cNvSpPr>
                                <a:spLocks noChangeArrowheads="1"/>
                              </wps:cNvSpPr>
                              <wps:spPr bwMode="auto">
                                <a:xfrm>
                                  <a:off x="12239" y="7824"/>
                                  <a:ext cx="1665" cy="436"/>
                                </a:xfrm>
                                <a:prstGeom prst="rect">
                                  <a:avLst/>
                                </a:prstGeom>
                                <a:noFill/>
                                <a:ln w="9525" algn="ctr">
                                  <a:solidFill>
                                    <a:srgbClr val="000000"/>
                                  </a:solidFill>
                                  <a:miter lim="800000"/>
                                </a:ln>
                                <a:effectLst/>
                              </wps:spPr>
                              <wps:txbx>
                                <w:txbxContent>
                                  <w:p>
                                    <w:pPr>
                                      <w:pStyle w:val="9"/>
                                      <w:spacing w:before="0" w:beforeAutospacing="0" w:after="0" w:afterAutospacing="0"/>
                                      <w:jc w:val="center"/>
                                      <w:rPr>
                                        <w:rFonts w:hint="default" w:eastAsia="宋体"/>
                                        <w:lang w:val="en-US" w:eastAsia="zh-CN"/>
                                      </w:rPr>
                                    </w:pPr>
                                    <w:r>
                                      <w:rPr>
                                        <w:rFonts w:hint="eastAsia" w:ascii="Times New Roman"/>
                                        <w:kern w:val="2"/>
                                        <w:sz w:val="21"/>
                                        <w:szCs w:val="21"/>
                                        <w:lang w:eastAsia="zh-CN"/>
                                      </w:rPr>
                                      <w:t>喷淋塔用水</w:t>
                                    </w:r>
                                    <w:r>
                                      <w:rPr>
                                        <w:rFonts w:hint="eastAsia" w:ascii="Times New Roman"/>
                                        <w:kern w:val="2"/>
                                        <w:sz w:val="21"/>
                                        <w:szCs w:val="21"/>
                                        <w:lang w:val="en-US" w:eastAsia="zh-CN"/>
                                      </w:rPr>
                                      <w:t>10</w:t>
                                    </w:r>
                                  </w:p>
                                </w:txbxContent>
                              </wps:txbx>
                              <wps:bodyPr rot="0" vert="horz" wrap="square" lIns="91440" tIns="45720" rIns="91440" bIns="45720" anchor="t" anchorCtr="0" upright="1">
                                <a:noAutofit/>
                              </wps:bodyPr>
                            </wps:wsp>
                            <wps:wsp>
                              <wps:cNvPr id="75" name="肘形连接符 8"/>
                              <wps:cNvCnPr>
                                <a:stCxn id="4" idx="3"/>
                                <a:endCxn id="4" idx="2"/>
                              </wps:cNvCnPr>
                              <wps:spPr>
                                <a:xfrm flipH="1">
                                  <a:off x="13072" y="8042"/>
                                  <a:ext cx="832" cy="218"/>
                                </a:xfrm>
                                <a:prstGeom prst="bentConnector4">
                                  <a:avLst>
                                    <a:gd name="adj1" fmla="val -45072"/>
                                    <a:gd name="adj2" fmla="val 272018"/>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76" name="Rectangle 152"/>
                              <wps:cNvSpPr>
                                <a:spLocks noChangeArrowheads="1"/>
                              </wps:cNvSpPr>
                              <wps:spPr bwMode="auto">
                                <a:xfrm>
                                  <a:off x="14487" y="8085"/>
                                  <a:ext cx="590" cy="533"/>
                                </a:xfrm>
                                <a:prstGeom prst="rect">
                                  <a:avLst/>
                                </a:prstGeom>
                                <a:noFill/>
                                <a:ln>
                                  <a:noFill/>
                                </a:ln>
                                <a:effectLst/>
                              </wps:spPr>
                              <wps:txb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9</w:t>
                                    </w:r>
                                  </w:p>
                                </w:txbxContent>
                              </wps:txbx>
                              <wps:bodyPr rot="0" vert="horz" wrap="square" lIns="91440" tIns="45720" rIns="91440" bIns="45720" anchor="t" anchorCtr="0" upright="1">
                                <a:noAutofit/>
                              </wps:bodyPr>
                            </wps:wsp>
                            <wps:wsp>
                              <wps:cNvPr id="77" name="AutoShape 180"/>
                              <wps:cNvCnPr>
                                <a:cxnSpLocks noChangeShapeType="1"/>
                              </wps:cNvCnPr>
                              <wps:spPr bwMode="auto">
                                <a:xfrm flipV="1">
                                  <a:off x="13048" y="7487"/>
                                  <a:ext cx="468" cy="349"/>
                                </a:xfrm>
                                <a:prstGeom prst="curvedConnector3">
                                  <a:avLst>
                                    <a:gd name="adj1" fmla="val 50000"/>
                                  </a:avLst>
                                </a:prstGeom>
                                <a:noFill/>
                                <a:ln w="9525">
                                  <a:solidFill>
                                    <a:srgbClr val="000000"/>
                                  </a:solidFill>
                                  <a:prstDash val="dash"/>
                                  <a:round/>
                                  <a:tailEnd type="triangle" w="med" len="med"/>
                                </a:ln>
                                <a:effectLst/>
                              </wps:spPr>
                              <wps:bodyPr/>
                            </wps:wsp>
                            <wps:wsp>
                              <wps:cNvPr id="78" name="Rectangle 179"/>
                              <wps:cNvSpPr>
                                <a:spLocks noChangeArrowheads="1"/>
                              </wps:cNvSpPr>
                              <wps:spPr bwMode="auto">
                                <a:xfrm>
                                  <a:off x="12828" y="6951"/>
                                  <a:ext cx="1218" cy="470"/>
                                </a:xfrm>
                                <a:prstGeom prst="rect">
                                  <a:avLst/>
                                </a:prstGeom>
                                <a:noFill/>
                                <a:ln>
                                  <a:noFill/>
                                </a:ln>
                                <a:effectLst/>
                              </wps:spPr>
                              <wps:txbx>
                                <w:txbxContent>
                                  <w:p>
                                    <w:pPr>
                                      <w:rPr>
                                        <w:rFonts w:hint="default" w:eastAsia="宋体"/>
                                        <w:lang w:val="en-US" w:eastAsia="zh-CN"/>
                                      </w:rPr>
                                    </w:pPr>
                                    <w:r>
                                      <w:t>损耗</w:t>
                                    </w:r>
                                    <w:r>
                                      <w:rPr>
                                        <w:rFonts w:hint="eastAsia"/>
                                        <w:lang w:val="en-US" w:eastAsia="zh-CN"/>
                                      </w:rPr>
                                      <w:t>1</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35pt;margin-top:7.85pt;height:291.15pt;width:425.75pt;z-index:251667456;mso-width-relative:page;mso-height-relative:page;" coordorigin="10237,2795" coordsize="8515,5823" o:gfxdata="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">
                      <o:lock v:ext="edit" aspectratio="f"/>
                      <v:rect id="Rectangle 135" o:spid="_x0000_s1026" o:spt="1" style="position:absolute;left:10237;top:4587;height:812;width:1065;" filled="f" stroked="f" coordsize="21600,21600" o:gfxdata="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5r9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pPr>
                              <w:r>
                                <w:t>新鲜水</w:t>
                              </w:r>
                            </w:p>
                            <w:p>
                              <w:pPr>
                                <w:jc w:val="center"/>
                                <w:rPr>
                                  <w:rFonts w:hint="default" w:eastAsia="宋体"/>
                                  <w:lang w:val="en-US" w:eastAsia="zh-CN"/>
                                </w:rPr>
                              </w:pPr>
                              <w:r>
                                <w:rPr>
                                  <w:rFonts w:hint="eastAsia"/>
                                  <w:lang w:val="en-US" w:eastAsia="zh-CN"/>
                                </w:rPr>
                                <w:t>1.83</w:t>
                              </w:r>
                            </w:p>
                          </w:txbxContent>
                        </v:textbox>
                      </v:rect>
                      <v:rect id="Rectangle 178" o:spid="_x0000_s1026" o:spt="1" style="position:absolute;left:12187;top:6321;height:573;width:1665;" filled="f" stroked="t" coordsize="21600,21600" o:gfxdata="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03AgugAAANw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w:txbxContent>
                            <w:p>
                              <w:pPr>
                                <w:jc w:val="center"/>
                              </w:pPr>
                              <w:r>
                                <w:rPr>
                                  <w:rFonts w:hint="eastAsia"/>
                                </w:rPr>
                                <w:t>职工生活用水</w:t>
                              </w:r>
                            </w:p>
                          </w:txbxContent>
                        </v:textbox>
                      </v:rect>
                      <v:rect id="Rectangle 184" o:spid="_x0000_s1026" o:spt="1" style="position:absolute;left:16497;top:6357;height:562;width:2255;" filled="f" stroked="f" coordsize="21600,21600" o:gfxdata="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tei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pPr>
                              <w:r>
                                <w:rPr>
                                  <w:rFonts w:hint="eastAsia"/>
                                </w:rPr>
                                <w:t>用于周围农田施肥</w:t>
                              </w:r>
                            </w:p>
                          </w:txbxContent>
                        </v:textbox>
                      </v:rect>
                      <v:rect id="Rectangle 185" o:spid="_x0000_s1026" o:spt="1" style="position:absolute;left:11372;top:6092;height:440;width:874;" filled="f" stroked="f" coordsize="21600,21600" o:gfxdata="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KLG/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0.37</w:t>
                              </w:r>
                            </w:p>
                          </w:txbxContent>
                        </v:textbox>
                      </v:rect>
                      <v:shape id="AutoShape 155" o:spid="_x0000_s1026" o:spt="32" type="#_x0000_t32" style="position:absolute;left:11355;top:4056;flip:x;height:4014;width:5;" filled="f" stroked="t" coordsize="21600,21600" o:gfxdata="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sL4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rect id="Rectangle 178" o:spid="_x0000_s1026" o:spt="1" style="position:absolute;left:12194;top:3804;height:436;width:1335;" filled="f" stroked="t" coordsize="21600,21600" o:gfxdata="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MRr74A&#10;AADcAAAADwAAAAAAAAABACAAAAAiAAAAZHJzL2Rvd25yZXYueG1sUEsBAhQAFAAAAAgAh07iQDMv&#10;BZ47AAAAOQAAABAAAAAAAAAAAQAgAAAADQEAAGRycy9zaGFwZXhtbC54bWxQSwUGAAAAAAYABgBb&#10;AQAAtwMAAAAA&#10;">
                        <v:fill on="f" focussize="0,0"/>
                        <v:stroke color="#000000" miterlimit="8" joinstyle="miter"/>
                        <v:imagedata o:title=""/>
                        <o:lock v:ext="edit" aspectratio="f"/>
                        <v:textbox>
                          <w:txbxContent>
                            <w:p>
                              <w:pPr>
                                <w:pStyle w:val="9"/>
                                <w:spacing w:before="0" w:beforeAutospacing="0" w:after="0" w:afterAutospacing="0"/>
                                <w:jc w:val="center"/>
                              </w:pPr>
                              <w:r>
                                <w:rPr>
                                  <w:rFonts w:hint="eastAsia" w:ascii="Times New Roman"/>
                                  <w:kern w:val="2"/>
                                  <w:sz w:val="21"/>
                                  <w:szCs w:val="21"/>
                                </w:rPr>
                                <w:t>冷却用水</w:t>
                              </w:r>
                            </w:p>
                          </w:txbxContent>
                        </v:textbox>
                      </v:rect>
                      <v:rect id="Rectangle 105" o:spid="_x0000_s1026" o:spt="1" style="position:absolute;left:11409;top:3452;height:485;width:739;" filled="f" stroked="f" coordsize="21600,21600" o:gfxdata="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LIV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9"/>
                                <w:spacing w:before="0" w:beforeAutospacing="0" w:after="0" w:afterAutospacing="0"/>
                                <w:jc w:val="both"/>
                                <w:rPr>
                                  <w:rFonts w:hint="default" w:eastAsia="宋体"/>
                                  <w:lang w:val="en-US" w:eastAsia="zh-CN"/>
                                </w:rPr>
                              </w:pPr>
                              <w:r>
                                <w:rPr>
                                  <w:rFonts w:hint="eastAsia" w:ascii="Times New Roman"/>
                                  <w:kern w:val="2"/>
                                  <w:sz w:val="21"/>
                                  <w:szCs w:val="21"/>
                                  <w:lang w:val="en-US" w:eastAsia="zh-CN"/>
                                </w:rPr>
                                <w:t>0.46</w:t>
                              </w:r>
                            </w:p>
                          </w:txbxContent>
                        </v:textbox>
                      </v:rect>
                      <v:rect id="Rectangle 100" o:spid="_x0000_s1026" o:spt="1" style="position:absolute;left:12340;top:2795;height:451;width:1517;" filled="f" stroked="f" coordsize="21600,21600" o:gfxdata="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5ee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default" w:eastAsia="宋体"/>
                                  <w:lang w:val="en-US" w:eastAsia="zh-CN"/>
                                </w:rPr>
                              </w:pPr>
                              <w:r>
                                <w:t>损耗</w:t>
                              </w:r>
                              <w:r>
                                <w:rPr>
                                  <w:rFonts w:hint="eastAsia"/>
                                </w:rPr>
                                <w:t>0.</w:t>
                              </w:r>
                              <w:r>
                                <w:rPr>
                                  <w:rFonts w:hint="eastAsia"/>
                                  <w:lang w:val="en-US" w:eastAsia="zh-CN"/>
                                </w:rPr>
                                <w:t>46</w:t>
                              </w:r>
                            </w:p>
                          </w:txbxContent>
                        </v:textbox>
                      </v:rect>
                      <v:rect id="Rectangle 105" o:spid="_x0000_s1026" o:spt="1" style="position:absolute;left:14409;top:3462;height:485;width:739;" filled="f" stroked="f" coordsize="21600,21600" o:gfxdata="UEsDBAoAAAAAAIdO4kAAAAAAAAAAAAAAAAAEAAAAZHJzL1BLAwQUAAAACACHTuJAU6YSob0AAADa&#10;AAAADwAAAGRycy9kb3ducmV2LnhtbEWPQWvCQBSE74X+h+UVvJRmo0I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hKh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9"/>
                                <w:spacing w:before="0" w:beforeAutospacing="0" w:after="0" w:afterAutospacing="0"/>
                                <w:jc w:val="both"/>
                                <w:rPr>
                                  <w:rFonts w:hint="default" w:eastAsia="宋体"/>
                                  <w:lang w:val="en-US" w:eastAsia="zh-CN"/>
                                </w:rPr>
                              </w:pPr>
                              <w:r>
                                <w:rPr>
                                  <w:rFonts w:hint="eastAsia" w:ascii="Times New Roman"/>
                                  <w:kern w:val="2"/>
                                  <w:sz w:val="21"/>
                                  <w:szCs w:val="21"/>
                                  <w:lang w:val="en-US" w:eastAsia="zh-CN"/>
                                </w:rPr>
                                <w:t>4.55</w:t>
                              </w:r>
                            </w:p>
                          </w:txbxContent>
                        </v:textbox>
                      </v:rect>
                      <v:rect id="Rectangle 179" o:spid="_x0000_s1026" o:spt="1" style="position:absolute;left:12723;top:5361;height:470;width:1218;" filled="f" stroked="f" coordsize="21600,21600" o:gfxdata="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RsTm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default" w:eastAsia="宋体"/>
                                  <w:lang w:val="en-US" w:eastAsia="zh-CN"/>
                                </w:rPr>
                              </w:pPr>
                              <w:r>
                                <w:t>损耗</w:t>
                              </w:r>
                              <w:r>
                                <w:rPr>
                                  <w:rFonts w:hint="eastAsia"/>
                                  <w:lang w:val="en-US" w:eastAsia="zh-CN"/>
                                </w:rPr>
                                <w:t>0.07</w:t>
                              </w:r>
                            </w:p>
                          </w:txbxContent>
                        </v:textbox>
                      </v:rect>
                      <v:shape id="AutoShape 181" o:spid="_x0000_s1026" o:spt="32" type="#_x0000_t32" style="position:absolute;left:13855;top:6615;height:2;width:792;" filled="f" stroked="t" coordsize="21600,21600" o:gfxdata="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am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Rectangle 182" o:spid="_x0000_s1026" o:spt="1" style="position:absolute;left:14638;top:6336;height:526;width:1065;" filled="f" stroked="t" coordsize="21600,21600" o:gfxdata="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Es/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jc w:val="center"/>
                              </w:pPr>
                              <w:r>
                                <w:rPr>
                                  <w:rFonts w:hint="eastAsia"/>
                                </w:rPr>
                                <w:t>化粪池</w:t>
                              </w:r>
                            </w:p>
                          </w:txbxContent>
                        </v:textbox>
                      </v:rect>
                      <v:shape id="AutoShape 183" o:spid="_x0000_s1026" o:spt="32" type="#_x0000_t32" style="position:absolute;left:15703;top:6611;height:1;width:783;" filled="f" stroked="t" coordsize="21600,21600" o:gfxdata="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8u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185" o:spid="_x0000_s1026" o:spt="1" style="position:absolute;left:13772;top:6092;height:457;width:874;" filled="f" stroked="f" coordsize="21600,21600" o:gfxdata="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KUx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0.3</w:t>
                              </w:r>
                            </w:p>
                          </w:txbxContent>
                        </v:textbox>
                      </v:rect>
                      <v:rect id="Rectangle 178" o:spid="_x0000_s1026" o:spt="1" style="position:absolute;left:15406;top:3687;height:555;width:1335;" filled="f" stroked="t" coordsize="21600,21600" o:gfxdata="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0DfzugAAANo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w:txbxContent>
                            <w:p>
                              <w:pPr>
                                <w:pStyle w:val="9"/>
                                <w:spacing w:before="0" w:beforeAutospacing="0" w:after="0" w:afterAutospacing="0"/>
                                <w:jc w:val="center"/>
                                <w:rPr>
                                  <w:rFonts w:hint="eastAsia" w:eastAsia="宋体"/>
                                  <w:lang w:eastAsia="zh-CN"/>
                                </w:rPr>
                              </w:pPr>
                              <w:r>
                                <w:rPr>
                                  <w:rFonts w:hint="eastAsia" w:ascii="Times New Roman"/>
                                  <w:kern w:val="2"/>
                                  <w:sz w:val="21"/>
                                  <w:szCs w:val="21"/>
                                </w:rPr>
                                <w:t>冷却</w:t>
                              </w:r>
                              <w:r>
                                <w:rPr>
                                  <w:rFonts w:hint="eastAsia" w:ascii="Times New Roman"/>
                                  <w:kern w:val="2"/>
                                  <w:sz w:val="21"/>
                                  <w:szCs w:val="21"/>
                                  <w:lang w:eastAsia="zh-CN"/>
                                </w:rPr>
                                <w:t>水池</w:t>
                              </w:r>
                            </w:p>
                          </w:txbxContent>
                        </v:textbox>
                      </v:rect>
                      <v:shape id="AutoShape 181" o:spid="_x0000_s1026" o:spt="32" type="#_x0000_t32" style="position:absolute;left:11380;top:6590;height:2;width:792;" filled="f" stroked="t" coordsize="21600,21600" o:gfxdata="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Jl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180" o:spid="_x0000_s1026" o:spt="38" type="#_x0000_t38" style="position:absolute;left:12654;top:3424;flip:y;height:349;width:468;" filled="f" stroked="t" coordsize="21600,21600" o:gfxdata="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C7jR&#10;wAAAANsAAAAPAAAAAAAAAAEAIAAAACIAAABkcnMvZG93bnJldi54bWxQSwECFAAUAAAACACHTuJA&#10;My8FnjsAAAA5AAAAEAAAAAAAAAABACAAAAAPAQAAZHJzL3NoYXBleG1sLnhtbFBLBQYAAAAABgAG&#10;AFsBAAC5AwAAAAA=&#10;" adj="12877">
                        <v:fill on="f" focussize="0,0"/>
                        <v:stroke color="#000000" joinstyle="round" dashstyle="dash" endarrow="block"/>
                        <v:imagedata o:title=""/>
                        <o:lock v:ext="edit" aspectratio="f"/>
                      </v:shape>
                      <v:rect id="Rectangle 152" o:spid="_x0000_s1026" o:spt="1" style="position:absolute;left:13887;top:4260;height:533;width:1398;" filled="f" stroked="f" coordsize="21600,21600" o:gfxdata="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eUN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循环4.55</w:t>
                              </w:r>
                            </w:p>
                          </w:txbxContent>
                        </v:textbox>
                      </v:rect>
                      <v:shape id="_x0000_s1026" o:spid="_x0000_s1026" o:spt="35" type="#_x0000_t35" style="position:absolute;left:12862;top:3965;flip:x;height:275;width:3879;" filled="f" stroked="t" coordsize="21600,21600" o:gfxdata="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ZMpMS5AAAA2wAA&#10;AA8AAAAAAAAAAQAgAAAAIgAAAGRycy9kb3ducmV2LnhtbFBLAQIUABQAAAAIAIdO4kAzLwWeOwAA&#10;ADkAAAAQAAAAAAAAAAEAIAAAAAgBAABkcnMvc2hhcGV4bWwueG1sUEsFBgAAAAAGAAYAWwEAALID&#10;AAAAAA==&#10;" adj="-2088,51212">
                        <v:fill on="f" focussize="0,0"/>
                        <v:stroke weight="1pt" color="#000000 [3213]" miterlimit="8" joinstyle="miter" endarrow="open"/>
                        <v:imagedata o:title=""/>
                        <o:lock v:ext="edit" aspectratio="f"/>
                      </v:shape>
                      <v:rect id="Rectangle 185" o:spid="_x0000_s1026" o:spt="1" style="position:absolute;left:15632;top:6117;height:533;width:874;" filled="f" stroked="f" coordsize="21600,21600" o:gfxdata="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oZ/8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0.3</w:t>
                              </w:r>
                            </w:p>
                          </w:txbxContent>
                        </v:textbox>
                      </v:rect>
                      <v:shape id="AutoShape 181" o:spid="_x0000_s1026" o:spt="32" type="#_x0000_t32" style="position:absolute;left:13526;top:3998;height:13;width:1880;" filled="f" stroked="t" coordsize="21600,21600" o:gfxdata="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xwK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80" o:spid="_x0000_s1026" o:spt="38" type="#_x0000_t38" style="position:absolute;left:12898;top:5867;flip:y;height:349;width:468;" filled="f" stroked="t" coordsize="21600,21600" o:gfxdata="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eRavQAA&#10;ANwAAAAPAAAAAAAAAAEAIAAAACIAAABkcnMvZG93bnJldi54bWxQSwECFAAUAAAACACHTuJAMy8F&#10;njsAAAA5AAAAEAAAAAAAAAABACAAAAAMAQAAZHJzL3NoYXBleG1sLnhtbFBLBQYAAAAABgAGAFsB&#10;AAC2AwAAAAA=&#10;" adj="10800">
                        <v:fill on="f" focussize="0,0"/>
                        <v:stroke color="#000000" joinstyle="round" dashstyle="dash" endarrow="block"/>
                        <v:imagedata o:title=""/>
                        <o:lock v:ext="edit" aspectratio="f"/>
                      </v:shape>
                      <v:shape id="AutoShape 181" o:spid="_x0000_s1026" o:spt="32" type="#_x0000_t32" style="position:absolute;left:11365;top:4081;height:1;width:792;" filled="f" stroked="t" coordsize="21600,21600" o:gfxdata="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eNHT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181" o:spid="_x0000_s1026" o:spt="32" type="#_x0000_t32" style="position:absolute;left:11365;top:8060;height:2;width:792;" filled="f" stroked="t" coordsize="21600,21600" o:gfxdata="UEsDBAoAAAAAAIdO4kAAAAAAAAAAAAAAAAAEAAAAZHJzL1BLAwQUAAAACACHTuJAieZQOrsAAADb&#10;AAAADwAAAGRycy9kb3ducmV2LnhtbEVPW2vCMBR+H+w/hDPY20wrr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QO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Rectangle 105" o:spid="_x0000_s1026" o:spt="1" style="position:absolute;left:11439;top:7397;height:485;width:739;" filled="f" stroked="f" coordsize="21600,21600" o:gfxdata="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BPG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9"/>
                                <w:spacing w:before="0" w:beforeAutospacing="0" w:after="0" w:afterAutospacing="0"/>
                                <w:jc w:val="both"/>
                                <w:rPr>
                                  <w:rFonts w:hint="default" w:eastAsia="宋体"/>
                                  <w:lang w:val="en-US" w:eastAsia="zh-CN"/>
                                </w:rPr>
                              </w:pPr>
                              <w:r>
                                <w:rPr>
                                  <w:rFonts w:hint="eastAsia" w:ascii="Times New Roman"/>
                                  <w:kern w:val="2"/>
                                  <w:sz w:val="21"/>
                                  <w:szCs w:val="21"/>
                                  <w:lang w:val="en-US" w:eastAsia="zh-CN"/>
                                </w:rPr>
                                <w:t>1</w:t>
                              </w:r>
                            </w:p>
                          </w:txbxContent>
                        </v:textbox>
                      </v:rect>
                      <v:rect id="Rectangle 178" o:spid="_x0000_s1026" o:spt="1" style="position:absolute;left:12239;top:7824;height:436;width:1665;" filled="f" stroked="t" coordsize="21600,21600" o:gfxdata="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Csn8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pStyle w:val="9"/>
                                <w:spacing w:before="0" w:beforeAutospacing="0" w:after="0" w:afterAutospacing="0"/>
                                <w:jc w:val="center"/>
                                <w:rPr>
                                  <w:rFonts w:hint="default" w:eastAsia="宋体"/>
                                  <w:lang w:val="en-US" w:eastAsia="zh-CN"/>
                                </w:rPr>
                              </w:pPr>
                              <w:r>
                                <w:rPr>
                                  <w:rFonts w:hint="eastAsia" w:ascii="Times New Roman"/>
                                  <w:kern w:val="2"/>
                                  <w:sz w:val="21"/>
                                  <w:szCs w:val="21"/>
                                  <w:lang w:eastAsia="zh-CN"/>
                                </w:rPr>
                                <w:t>喷淋塔用水</w:t>
                              </w:r>
                              <w:r>
                                <w:rPr>
                                  <w:rFonts w:hint="eastAsia" w:ascii="Times New Roman"/>
                                  <w:kern w:val="2"/>
                                  <w:sz w:val="21"/>
                                  <w:szCs w:val="21"/>
                                  <w:lang w:val="en-US" w:eastAsia="zh-CN"/>
                                </w:rPr>
                                <w:t>10</w:t>
                              </w:r>
                            </w:p>
                          </w:txbxContent>
                        </v:textbox>
                      </v:rect>
                      <v:shape id="肘形连接符 8" o:spid="_x0000_s1026" o:spt="35" type="#_x0000_t35" style="position:absolute;left:13072;top:8042;flip:x;height:218;width:832;" filled="f" stroked="t" coordsize="21600,21600" o:gfxdata="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7xRlvQAA&#10;ANsAAAAPAAAAAAAAAAEAIAAAACIAAABkcnMvZG93bnJldi54bWxQSwECFAAUAAAACACHTuJAMy8F&#10;njsAAAA5AAAAEAAAAAAAAAABACAAAAAMAQAAZHJzL3NoYXBleG1sLnhtbFBLBQYAAAAABgAGAFsB&#10;AAC2AwAAAAA=&#10;" adj="-9736,58756">
                        <v:fill on="f" focussize="0,0"/>
                        <v:stroke weight="1pt" color="#000000 [3213]" miterlimit="8" joinstyle="miter" endarrow="open"/>
                        <v:imagedata o:title=""/>
                        <o:lock v:ext="edit" aspectratio="f"/>
                      </v:shape>
                      <v:rect id="Rectangle 152" o:spid="_x0000_s1026" o:spt="1" style="position:absolute;left:14487;top:8085;height:533;width:590;" filled="f" stroked="f" coordsize="21600,21600" o:gfxdata="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V8X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9</w:t>
                              </w:r>
                            </w:p>
                          </w:txbxContent>
                        </v:textbox>
                      </v:rect>
                      <v:shape id="AutoShape 180" o:spid="_x0000_s1026" o:spt="38" type="#_x0000_t38" style="position:absolute;left:13048;top:7487;flip:y;height:349;width:468;" filled="f" stroked="t" coordsize="21600,21600" o:gfxdata="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OJa8AAAA&#10;2wAAAA8AAAAAAAAAAQAgAAAAIgAAAGRycy9kb3ducmV2LnhtbFBLAQIUABQAAAAIAIdO4kAzLwWe&#10;OwAAADkAAAAQAAAAAAAAAAEAIAAAAAsBAABkcnMvc2hhcGV4bWwueG1sUEsFBgAAAAAGAAYAWwEA&#10;ALUDAAAAAA==&#10;" adj="10800">
                        <v:fill on="f" focussize="0,0"/>
                        <v:stroke color="#000000" joinstyle="round" dashstyle="dash" endarrow="block"/>
                        <v:imagedata o:title=""/>
                        <o:lock v:ext="edit" aspectratio="f"/>
                      </v:shape>
                      <v:rect id="Rectangle 179" o:spid="_x0000_s1026" o:spt="1" style="position:absolute;left:12828;top:6951;height:470;width:1218;" filled="f" stroked="f" coordsize="21600,21600" o:gfxdata="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ZNt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default" w:eastAsia="宋体"/>
                                  <w:lang w:val="en-US" w:eastAsia="zh-CN"/>
                                </w:rPr>
                              </w:pPr>
                              <w:r>
                                <w:t>损耗</w:t>
                              </w:r>
                              <w:r>
                                <w:rPr>
                                  <w:rFonts w:hint="eastAsia"/>
                                  <w:lang w:val="en-US" w:eastAsia="zh-CN"/>
                                </w:rPr>
                                <w:t>1</w:t>
                              </w:r>
                            </w:p>
                          </w:txbxContent>
                        </v:textbox>
                      </v:rect>
                    </v:group>
                  </w:pict>
                </mc:Fallback>
              </mc:AlternateContent>
            </w: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p>
          <w:p>
            <w:pPr>
              <w:keepNext w:val="0"/>
              <w:keepLines w:val="0"/>
              <w:pageBreakBefore w:val="0"/>
              <w:widowControl/>
              <w:kinsoku/>
              <w:wordWrap/>
              <w:overflowPunct/>
              <w:topLinePunct w:val="0"/>
              <w:autoSpaceDE/>
              <w:autoSpaceDN/>
              <w:bidi w:val="0"/>
              <w:snapToGrid w:val="0"/>
              <w:spacing w:line="360" w:lineRule="auto"/>
              <w:ind w:firstLine="375" w:firstLineChars="150"/>
              <w:textAlignment w:val="auto"/>
              <w:rPr>
                <w:rFonts w:hint="default" w:ascii="Times New Roman" w:hAnsi="Times New Roman" w:cs="Times New Roman"/>
                <w:color w:val="auto"/>
                <w:sz w:val="24"/>
                <w:szCs w:val="24"/>
              </w:rPr>
            </w:pPr>
          </w:p>
          <w:p>
            <w:pPr>
              <w:keepNext w:val="0"/>
              <w:keepLines w:val="0"/>
              <w:pageBreakBefore w:val="0"/>
              <w:widowControl/>
              <w:kinsoku/>
              <w:wordWrap/>
              <w:overflowPunct/>
              <w:topLinePunct w:val="0"/>
              <w:autoSpaceDE/>
              <w:autoSpaceDN/>
              <w:bidi w:val="0"/>
              <w:snapToGrid w:val="0"/>
              <w:spacing w:line="360" w:lineRule="auto"/>
              <w:ind w:firstLine="375" w:firstLineChars="150"/>
              <w:jc w:val="center"/>
              <w:textAlignment w:val="auto"/>
              <w:rPr>
                <w:rFonts w:hint="default" w:ascii="Times New Roman" w:hAnsi="Times New Roman" w:cs="Times New Roman"/>
                <w:b/>
                <w:bCs/>
                <w:color w:val="auto"/>
                <w:sz w:val="24"/>
                <w:szCs w:val="24"/>
              </w:rPr>
            </w:pPr>
          </w:p>
          <w:p>
            <w:pPr>
              <w:keepNext w:val="0"/>
              <w:keepLines w:val="0"/>
              <w:pageBreakBefore w:val="0"/>
              <w:widowControl/>
              <w:kinsoku/>
              <w:wordWrap/>
              <w:overflowPunct/>
              <w:topLinePunct w:val="0"/>
              <w:autoSpaceDE/>
              <w:autoSpaceDN/>
              <w:bidi w:val="0"/>
              <w:snapToGrid w:val="0"/>
              <w:spacing w:line="360" w:lineRule="auto"/>
              <w:ind w:firstLine="375" w:firstLineChars="150"/>
              <w:jc w:val="center"/>
              <w:textAlignment w:val="auto"/>
              <w:rPr>
                <w:rFonts w:hint="default" w:ascii="Times New Roman" w:hAnsi="Times New Roman" w:cs="Times New Roman"/>
                <w:b/>
                <w:bCs/>
                <w:color w:val="auto"/>
                <w:sz w:val="24"/>
                <w:szCs w:val="24"/>
              </w:rPr>
            </w:pPr>
          </w:p>
          <w:p>
            <w:pPr>
              <w:keepNext w:val="0"/>
              <w:keepLines w:val="0"/>
              <w:pageBreakBefore w:val="0"/>
              <w:widowControl/>
              <w:kinsoku/>
              <w:wordWrap/>
              <w:overflowPunct/>
              <w:topLinePunct w:val="0"/>
              <w:autoSpaceDE/>
              <w:autoSpaceDN/>
              <w:bidi w:val="0"/>
              <w:snapToGrid w:val="0"/>
              <w:spacing w:line="360" w:lineRule="auto"/>
              <w:ind w:firstLine="375" w:firstLineChars="15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图2-</w:t>
            </w: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 xml:space="preserve">       项目营运期水平衡图     单位：</w:t>
            </w:r>
            <w:r>
              <w:rPr>
                <w:rFonts w:hint="eastAsia" w:ascii="Times New Roman" w:hAnsi="Times New Roman" w:cs="Times New Roman"/>
                <w:b/>
                <w:bCs/>
                <w:color w:val="auto"/>
                <w:sz w:val="24"/>
                <w:szCs w:val="24"/>
                <w:lang w:val="en-US" w:eastAsia="zh-CN"/>
              </w:rPr>
              <w:t>m³</w:t>
            </w:r>
            <w:r>
              <w:rPr>
                <w:rFonts w:hint="default" w:ascii="Times New Roman" w:hAnsi="Times New Roman" w:cs="Times New Roman"/>
                <w:b/>
                <w:bCs/>
                <w:color w:val="auto"/>
                <w:sz w:val="24"/>
                <w:szCs w:val="24"/>
              </w:rPr>
              <w:t>/d</w:t>
            </w:r>
          </w:p>
          <w:p>
            <w:pPr>
              <w:keepNext w:val="0"/>
              <w:keepLines w:val="0"/>
              <w:pageBreakBefore w:val="0"/>
              <w:widowControl/>
              <w:kinsoku/>
              <w:wordWrap/>
              <w:overflowPunct/>
              <w:topLinePunct w:val="0"/>
              <w:autoSpaceDE/>
              <w:autoSpaceDN/>
              <w:bidi w:val="0"/>
              <w:snapToGrid w:val="0"/>
              <w:spacing w:line="360" w:lineRule="auto"/>
              <w:ind w:firstLine="375" w:firstLineChars="15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本项目年产塑料再生颗粒5000t，年加工废塑料约</w:t>
            </w:r>
            <w:r>
              <w:rPr>
                <w:rFonts w:hint="default" w:ascii="Times New Roman" w:hAnsi="Times New Roman" w:eastAsia="宋体" w:cs="Times New Roman"/>
                <w:b w:val="0"/>
                <w:bCs w:val="0"/>
                <w:color w:val="auto"/>
                <w:sz w:val="24"/>
                <w:szCs w:val="24"/>
                <w:lang w:val="en-US" w:eastAsia="zh-CN"/>
              </w:rPr>
              <w:t>5005.11</w:t>
            </w:r>
            <w:r>
              <w:rPr>
                <w:rFonts w:hint="default" w:ascii="Times New Roman" w:hAnsi="Times New Roman" w:eastAsia="宋体" w:cs="Times New Roman"/>
                <w:b w:val="0"/>
                <w:bCs w:val="0"/>
                <w:color w:val="auto"/>
                <w:sz w:val="24"/>
                <w:szCs w:val="24"/>
              </w:rPr>
              <w:t>t（产出率为</w:t>
            </w:r>
            <w:r>
              <w:rPr>
                <w:rFonts w:hint="default" w:ascii="Times New Roman" w:hAnsi="Times New Roman" w:eastAsia="宋体" w:cs="Times New Roman"/>
                <w:b w:val="0"/>
                <w:bCs w:val="0"/>
                <w:color w:val="auto"/>
                <w:sz w:val="24"/>
                <w:szCs w:val="24"/>
                <w:lang w:val="en-US" w:eastAsia="zh-CN"/>
              </w:rPr>
              <w:t>99.9</w:t>
            </w:r>
            <w:r>
              <w:rPr>
                <w:rFonts w:hint="default" w:ascii="Times New Roman" w:hAnsi="Times New Roman" w:eastAsia="宋体" w:cs="Times New Roman"/>
                <w:b w:val="0"/>
                <w:bCs w:val="0"/>
                <w:color w:val="auto"/>
                <w:sz w:val="24"/>
                <w:szCs w:val="24"/>
              </w:rPr>
              <w:t>%），根据水平衡分析可知，本项目生产过程新鲜水消耗量为</w:t>
            </w:r>
            <w:r>
              <w:rPr>
                <w:rFonts w:hint="eastAsia" w:ascii="Times New Roman" w:hAnsi="Times New Roman" w:cs="Times New Roman"/>
                <w:b w:val="0"/>
                <w:bCs w:val="0"/>
                <w:color w:val="auto"/>
                <w:sz w:val="24"/>
                <w:szCs w:val="24"/>
                <w:lang w:val="en-US" w:eastAsia="zh-CN"/>
              </w:rPr>
              <w:t>1.83</w:t>
            </w:r>
            <w:r>
              <w:rPr>
                <w:rFonts w:hint="default" w:ascii="Times New Roman" w:hAnsi="Times New Roman" w:eastAsia="宋体" w:cs="Times New Roman"/>
                <w:b w:val="0"/>
                <w:bCs w:val="0"/>
                <w:color w:val="auto"/>
                <w:sz w:val="24"/>
                <w:szCs w:val="24"/>
              </w:rPr>
              <w:t>t/d，</w:t>
            </w:r>
            <w:r>
              <w:rPr>
                <w:rFonts w:hint="eastAsia" w:ascii="Times New Roman" w:hAnsi="Times New Roman" w:cs="Times New Roman"/>
                <w:b w:val="0"/>
                <w:bCs w:val="0"/>
                <w:color w:val="auto"/>
                <w:sz w:val="24"/>
                <w:szCs w:val="24"/>
                <w:lang w:val="en-US" w:eastAsia="zh-CN"/>
              </w:rPr>
              <w:t>549</w:t>
            </w:r>
            <w:r>
              <w:rPr>
                <w:rFonts w:hint="default" w:ascii="Times New Roman" w:hAnsi="Times New Roman" w:eastAsia="宋体" w:cs="Times New Roman"/>
                <w:b w:val="0"/>
                <w:bCs w:val="0"/>
                <w:color w:val="auto"/>
                <w:sz w:val="24"/>
                <w:szCs w:val="24"/>
              </w:rPr>
              <w:t>t/a，合计为</w:t>
            </w:r>
            <w:r>
              <w:rPr>
                <w:rFonts w:hint="eastAsia" w:ascii="Times New Roman" w:hAnsi="Times New Roman" w:cs="Times New Roman"/>
                <w:b w:val="0"/>
                <w:bCs w:val="0"/>
                <w:color w:val="auto"/>
                <w:sz w:val="24"/>
                <w:szCs w:val="24"/>
                <w:lang w:val="en-US" w:eastAsia="zh-CN"/>
              </w:rPr>
              <w:t>0.11</w:t>
            </w:r>
            <w:r>
              <w:rPr>
                <w:rFonts w:hint="default" w:ascii="Times New Roman" w:hAnsi="Times New Roman" w:eastAsia="宋体" w:cs="Times New Roman"/>
                <w:b w:val="0"/>
                <w:bCs w:val="0"/>
                <w:color w:val="auto"/>
                <w:sz w:val="24"/>
                <w:szCs w:val="24"/>
              </w:rPr>
              <w:t>t/t废塑料，因此，本项目新鲜水消耗指标可以满足《废塑料综合利用行业规范条件》中“塑料再生造粒类企业的综合新水消耗低于0.2吨/吨废塑料”的标准要求。</w:t>
            </w:r>
          </w:p>
          <w:p>
            <w:pPr>
              <w:pStyle w:val="15"/>
              <w:widowControl/>
              <w:spacing w:line="360" w:lineRule="auto"/>
              <w:ind w:firstLine="482"/>
              <w:jc w:val="both"/>
              <w:rPr>
                <w:rFonts w:hint="default" w:ascii="Times New Roman" w:hAnsi="Times New Roman" w:eastAsia="宋体" w:cs="Times New Roman"/>
                <w:b/>
                <w:highlight w:val="none"/>
                <w:lang w:val="en-US" w:eastAsia="zh-CN"/>
              </w:rPr>
            </w:pPr>
            <w:r>
              <w:rPr>
                <w:rFonts w:hint="default" w:ascii="Times New Roman" w:hAnsi="Times New Roman" w:eastAsia="宋体" w:cs="Times New Roman"/>
                <w:b/>
                <w:highlight w:val="none"/>
                <w:lang w:val="en-US" w:eastAsia="zh-CN"/>
              </w:rPr>
              <w:t>2.8</w:t>
            </w:r>
            <w:r>
              <w:rPr>
                <w:rFonts w:hint="default" w:ascii="Times New Roman" w:hAnsi="Times New Roman" w:eastAsia="宋体" w:cs="Times New Roman"/>
                <w:b/>
                <w:highlight w:val="none"/>
              </w:rPr>
              <w:t>、物料平衡</w:t>
            </w:r>
            <w:r>
              <w:rPr>
                <w:rFonts w:hint="default" w:ascii="Times New Roman" w:hAnsi="Times New Roman" w:eastAsia="宋体" w:cs="Times New Roman"/>
                <w:b/>
                <w:highlight w:val="none"/>
                <w:lang w:val="en-US" w:eastAsia="zh-CN"/>
              </w:rPr>
              <w:t>分析</w:t>
            </w:r>
          </w:p>
          <w:p>
            <w:pPr>
              <w:pStyle w:val="15"/>
              <w:widowControl/>
              <w:spacing w:line="360" w:lineRule="auto"/>
              <w:ind w:firstLine="480"/>
              <w:jc w:val="both"/>
              <w:rPr>
                <w:rFonts w:hint="default" w:ascii="Times New Roman" w:hAnsi="Times New Roman" w:eastAsia="宋体" w:cs="Times New Roman"/>
                <w:u w:val="none"/>
              </w:rPr>
            </w:pPr>
            <w:r>
              <w:rPr>
                <w:rFonts w:hint="default" w:ascii="Times New Roman" w:hAnsi="Times New Roman" w:eastAsia="宋体" w:cs="Times New Roman"/>
              </w:rPr>
              <w:t>本</w:t>
            </w:r>
            <w:r>
              <w:rPr>
                <w:rFonts w:hint="default" w:ascii="Times New Roman" w:hAnsi="Times New Roman" w:eastAsia="宋体" w:cs="Times New Roman"/>
                <w:lang w:val="en-US" w:eastAsia="zh-CN"/>
              </w:rPr>
              <w:t>项目废塑料</w:t>
            </w:r>
            <w:r>
              <w:rPr>
                <w:rFonts w:hint="default" w:ascii="Times New Roman" w:hAnsi="Times New Roman" w:eastAsia="宋体" w:cs="Times New Roman"/>
              </w:rPr>
              <w:t>年用量为</w:t>
            </w:r>
            <w:r>
              <w:rPr>
                <w:rFonts w:hint="default" w:ascii="Times New Roman" w:hAnsi="Times New Roman" w:eastAsia="宋体" w:cs="Times New Roman"/>
                <w:lang w:val="en-US" w:eastAsia="zh-CN"/>
              </w:rPr>
              <w:t>5005.11</w:t>
            </w:r>
            <w:r>
              <w:rPr>
                <w:rFonts w:hint="default" w:ascii="Times New Roman" w:hAnsi="Times New Roman" w:eastAsia="宋体" w:cs="Times New Roman"/>
              </w:rPr>
              <w:t>t/a</w:t>
            </w:r>
            <w:r>
              <w:rPr>
                <w:rFonts w:hint="default" w:ascii="Times New Roman" w:hAnsi="Times New Roman" w:eastAsia="宋体" w:cs="Times New Roman"/>
                <w:lang w:eastAsia="zh-CN"/>
              </w:rPr>
              <w:t>，</w:t>
            </w:r>
            <w:r>
              <w:rPr>
                <w:rFonts w:hint="default" w:ascii="Times New Roman" w:hAnsi="Times New Roman" w:eastAsia="宋体" w:cs="Times New Roman"/>
              </w:rPr>
              <w:t>废塑料经造粒加工</w:t>
            </w:r>
            <w:r>
              <w:rPr>
                <w:rFonts w:hint="default" w:ascii="Times New Roman" w:hAnsi="Times New Roman" w:eastAsia="宋体" w:cs="Times New Roman"/>
                <w:lang w:val="en-US" w:eastAsia="zh-CN"/>
              </w:rPr>
              <w:t>成再生</w:t>
            </w:r>
            <w:r>
              <w:rPr>
                <w:rFonts w:hint="default" w:ascii="Times New Roman" w:hAnsi="Times New Roman" w:eastAsia="宋体" w:cs="Times New Roman"/>
              </w:rPr>
              <w:t>塑料颗粒成品</w:t>
            </w:r>
            <w:r>
              <w:rPr>
                <w:rFonts w:hint="default" w:ascii="Times New Roman" w:hAnsi="Times New Roman" w:eastAsia="宋体" w:cs="Times New Roman"/>
                <w:lang w:eastAsia="zh-CN"/>
              </w:rPr>
              <w:t>，</w:t>
            </w:r>
            <w:r>
              <w:rPr>
                <w:rFonts w:hint="default" w:ascii="Times New Roman" w:hAnsi="Times New Roman" w:eastAsia="宋体" w:cs="Times New Roman"/>
              </w:rPr>
              <w:t>年产</w:t>
            </w:r>
            <w:r>
              <w:rPr>
                <w:rFonts w:hint="default" w:ascii="Times New Roman" w:hAnsi="Times New Roman" w:eastAsia="宋体" w:cs="Times New Roman"/>
                <w:lang w:val="en-US" w:eastAsia="zh-CN"/>
              </w:rPr>
              <w:t>再生塑料颗粒5</w:t>
            </w:r>
            <w:r>
              <w:rPr>
                <w:rFonts w:hint="default" w:ascii="Times New Roman" w:hAnsi="Times New Roman" w:eastAsia="宋体" w:cs="Times New Roman"/>
              </w:rPr>
              <w:t>000t/a；</w:t>
            </w:r>
            <w:r>
              <w:rPr>
                <w:rFonts w:hint="default" w:ascii="Times New Roman" w:hAnsi="Times New Roman" w:eastAsia="宋体" w:cs="Times New Roman"/>
                <w:color w:val="auto"/>
                <w:u w:val="none"/>
              </w:rPr>
              <w:t>废</w:t>
            </w:r>
            <w:r>
              <w:rPr>
                <w:rFonts w:hint="default" w:ascii="Times New Roman" w:hAnsi="Times New Roman" w:eastAsia="宋体" w:cs="Times New Roman"/>
                <w:color w:val="auto"/>
                <w:u w:val="none"/>
                <w:lang w:eastAsia="zh-CN"/>
              </w:rPr>
              <w:t>滤网中</w:t>
            </w:r>
            <w:r>
              <w:rPr>
                <w:rFonts w:hint="default" w:ascii="Times New Roman" w:hAnsi="Times New Roman" w:eastAsia="宋体" w:cs="Times New Roman"/>
                <w:color w:val="auto"/>
                <w:u w:val="none"/>
              </w:rPr>
              <w:t>废塑料</w:t>
            </w:r>
            <w:r>
              <w:rPr>
                <w:rFonts w:hint="default" w:ascii="Times New Roman" w:hAnsi="Times New Roman" w:eastAsia="宋体" w:cs="Times New Roman"/>
                <w:color w:val="auto"/>
                <w:u w:val="none"/>
                <w:lang w:val="en-US" w:eastAsia="zh-CN"/>
              </w:rPr>
              <w:t>3.36</w:t>
            </w:r>
            <w:r>
              <w:rPr>
                <w:rFonts w:hint="default" w:ascii="Times New Roman" w:hAnsi="Times New Roman" w:eastAsia="宋体" w:cs="Times New Roman"/>
                <w:color w:val="auto"/>
                <w:u w:val="none"/>
              </w:rPr>
              <w:t>t/a；熔融挤出过程有机废气（以非甲烷总烃计）产生量</w:t>
            </w:r>
            <w:r>
              <w:rPr>
                <w:rFonts w:hint="default" w:ascii="Times New Roman" w:hAnsi="Times New Roman" w:eastAsia="宋体" w:cs="Times New Roman"/>
                <w:color w:val="auto"/>
                <w:u w:val="none"/>
                <w:lang w:val="en-US" w:eastAsia="zh-CN"/>
              </w:rPr>
              <w:t>1.75</w:t>
            </w:r>
            <w:r>
              <w:rPr>
                <w:rFonts w:hint="default" w:ascii="Times New Roman" w:hAnsi="Times New Roman" w:eastAsia="宋体" w:cs="Times New Roman"/>
                <w:color w:val="auto"/>
                <w:u w:val="none"/>
              </w:rPr>
              <w:t>t/a。</w:t>
            </w:r>
            <w:r>
              <w:rPr>
                <w:rFonts w:hint="default" w:ascii="Times New Roman" w:hAnsi="Times New Roman" w:eastAsia="宋体" w:cs="Times New Roman"/>
                <w:u w:val="none"/>
              </w:rPr>
              <w:t>项目物料平衡详见下表。</w:t>
            </w:r>
          </w:p>
          <w:p>
            <w:pPr>
              <w:pStyle w:val="8"/>
              <w:spacing w:after="0"/>
              <w:ind w:left="0" w:leftChars="0" w:firstLine="0" w:firstLineChars="0"/>
              <w:jc w:val="center"/>
              <w:rPr>
                <w:b/>
                <w:bCs/>
                <w:color w:val="000000"/>
                <w:kern w:val="0"/>
                <w:sz w:val="24"/>
              </w:rPr>
            </w:pPr>
            <w:r>
              <w:rPr>
                <w:b/>
                <w:bCs/>
                <w:color w:val="000000"/>
                <w:kern w:val="0"/>
                <w:sz w:val="24"/>
              </w:rPr>
              <w:t>表2-</w:t>
            </w:r>
            <w:r>
              <w:rPr>
                <w:rFonts w:hint="eastAsia"/>
                <w:b/>
                <w:bCs/>
                <w:color w:val="000000"/>
                <w:kern w:val="0"/>
                <w:sz w:val="24"/>
                <w:lang w:val="en-US" w:eastAsia="zh-CN"/>
              </w:rPr>
              <w:t>6</w:t>
            </w:r>
            <w:r>
              <w:rPr>
                <w:b/>
                <w:bCs/>
                <w:color w:val="000000"/>
                <w:kern w:val="0"/>
                <w:sz w:val="24"/>
              </w:rPr>
              <w:t xml:space="preserve">   </w:t>
            </w:r>
            <w:r>
              <w:rPr>
                <w:rFonts w:hint="eastAsia"/>
                <w:b/>
                <w:bCs/>
                <w:color w:val="000000"/>
                <w:kern w:val="0"/>
                <w:sz w:val="24"/>
              </w:rPr>
              <w:t xml:space="preserve"> </w:t>
            </w:r>
            <w:r>
              <w:rPr>
                <w:rFonts w:hint="eastAsia"/>
                <w:b/>
                <w:bCs/>
                <w:color w:val="000000"/>
                <w:kern w:val="0"/>
                <w:sz w:val="24"/>
                <w:lang w:val="en-US" w:eastAsia="zh-CN"/>
              </w:rPr>
              <w:t xml:space="preserve"> </w:t>
            </w:r>
            <w:r>
              <w:rPr>
                <w:rFonts w:hint="eastAsia"/>
                <w:b/>
                <w:bCs/>
                <w:color w:val="000000"/>
                <w:kern w:val="0"/>
                <w:sz w:val="24"/>
              </w:rPr>
              <w:t xml:space="preserve"> </w:t>
            </w:r>
            <w:r>
              <w:rPr>
                <w:b/>
                <w:bCs/>
                <w:color w:val="000000"/>
                <w:kern w:val="0"/>
                <w:sz w:val="24"/>
              </w:rPr>
              <w:t xml:space="preserve"> 项目</w:t>
            </w:r>
            <w:r>
              <w:rPr>
                <w:rFonts w:hint="eastAsia"/>
                <w:b/>
                <w:bCs/>
                <w:color w:val="000000"/>
                <w:kern w:val="0"/>
                <w:sz w:val="24"/>
              </w:rPr>
              <w:t>物料平衡</w:t>
            </w:r>
            <w:r>
              <w:rPr>
                <w:b/>
                <w:bCs/>
                <w:color w:val="000000"/>
                <w:kern w:val="0"/>
                <w:sz w:val="24"/>
              </w:rPr>
              <w:t>一览表</w:t>
            </w:r>
            <w:r>
              <w:rPr>
                <w:rFonts w:hint="eastAsia"/>
                <w:b/>
                <w:bCs/>
                <w:color w:val="000000"/>
                <w:kern w:val="0"/>
                <w:sz w:val="24"/>
              </w:rPr>
              <w:t xml:space="preserve">     </w:t>
            </w:r>
            <w:r>
              <w:rPr>
                <w:b/>
                <w:bCs/>
                <w:color w:val="000000"/>
                <w:kern w:val="0"/>
                <w:sz w:val="21"/>
                <w:szCs w:val="21"/>
              </w:rPr>
              <w:t>单位：t/a</w:t>
            </w:r>
          </w:p>
          <w:tbl>
            <w:tblPr>
              <w:tblStyle w:val="11"/>
              <w:tblW w:w="8579"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93"/>
              <w:gridCol w:w="1481"/>
              <w:gridCol w:w="1077"/>
              <w:gridCol w:w="943"/>
              <w:gridCol w:w="2701"/>
              <w:gridCol w:w="148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45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输入</w:t>
                  </w:r>
                </w:p>
              </w:tc>
              <w:tc>
                <w:tcPr>
                  <w:tcW w:w="512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输出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37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种类</w:t>
                  </w:r>
                </w:p>
              </w:tc>
              <w:tc>
                <w:tcPr>
                  <w:tcW w:w="107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数量</w:t>
                  </w:r>
                </w:p>
              </w:tc>
              <w:tc>
                <w:tcPr>
                  <w:tcW w:w="364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种类</w:t>
                  </w:r>
                </w:p>
              </w:tc>
              <w:tc>
                <w:tcPr>
                  <w:tcW w:w="148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9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废塑料</w:t>
                  </w:r>
                </w:p>
              </w:tc>
              <w:tc>
                <w:tcPr>
                  <w:tcW w:w="148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回收的</w:t>
                  </w:r>
                  <w:r>
                    <w:rPr>
                      <w:rFonts w:hint="default" w:ascii="Times New Roman" w:hAnsi="Times New Roman" w:eastAsia="宋体" w:cs="Times New Roman"/>
                      <w:color w:val="000000"/>
                      <w:sz w:val="21"/>
                      <w:szCs w:val="21"/>
                      <w:lang w:val="en-US" w:eastAsia="zh-CN"/>
                    </w:rPr>
                    <w:t>废</w:t>
                  </w:r>
                  <w:r>
                    <w:rPr>
                      <w:rFonts w:hint="default" w:ascii="Times New Roman" w:hAnsi="Times New Roman" w:eastAsia="宋体" w:cs="Times New Roman"/>
                      <w:color w:val="000000"/>
                      <w:sz w:val="21"/>
                      <w:szCs w:val="21"/>
                    </w:rPr>
                    <w:t>塑料包装膜及废农用地膜</w:t>
                  </w:r>
                </w:p>
              </w:tc>
              <w:tc>
                <w:tcPr>
                  <w:tcW w:w="107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5005.11</w:t>
                  </w:r>
                </w:p>
              </w:tc>
              <w:tc>
                <w:tcPr>
                  <w:tcW w:w="94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产品</w:t>
                  </w:r>
                </w:p>
              </w:tc>
              <w:tc>
                <w:tcPr>
                  <w:tcW w:w="270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再生塑料颗粒</w:t>
                  </w:r>
                </w:p>
              </w:tc>
              <w:tc>
                <w:tcPr>
                  <w:tcW w:w="148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5000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44" w:hRule="atLeas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p>
              </w:tc>
              <w:tc>
                <w:tcPr>
                  <w:tcW w:w="148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p>
              </w:tc>
              <w:tc>
                <w:tcPr>
                  <w:tcW w:w="10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p>
              </w:tc>
              <w:tc>
                <w:tcPr>
                  <w:tcW w:w="94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废气</w:t>
                  </w:r>
                </w:p>
              </w:tc>
              <w:tc>
                <w:tcPr>
                  <w:tcW w:w="270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auto"/>
                      <w:sz w:val="21"/>
                      <w:szCs w:val="21"/>
                      <w:u w:val="none"/>
                    </w:rPr>
                    <w:t>有机废气</w:t>
                  </w:r>
                </w:p>
              </w:tc>
              <w:tc>
                <w:tcPr>
                  <w:tcW w:w="148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auto"/>
                      <w:sz w:val="21"/>
                      <w:szCs w:val="21"/>
                      <w:u w:val="none"/>
                      <w:lang w:val="en-US" w:eastAsia="zh-CN"/>
                    </w:rPr>
                    <w:t>1.75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p>
              </w:tc>
              <w:tc>
                <w:tcPr>
                  <w:tcW w:w="148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p>
              </w:tc>
              <w:tc>
                <w:tcPr>
                  <w:tcW w:w="107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p>
              </w:tc>
              <w:tc>
                <w:tcPr>
                  <w:tcW w:w="94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固废</w:t>
                  </w:r>
                </w:p>
              </w:tc>
              <w:tc>
                <w:tcPr>
                  <w:tcW w:w="2701"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eastAsia="zh-CN"/>
                    </w:rPr>
                    <w:t>废滤网中废塑料</w:t>
                  </w:r>
                </w:p>
              </w:tc>
              <w:tc>
                <w:tcPr>
                  <w:tcW w:w="148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37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合计</w:t>
                  </w:r>
                </w:p>
              </w:tc>
              <w:tc>
                <w:tcPr>
                  <w:tcW w:w="1077"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5005.11</w:t>
                  </w:r>
                </w:p>
              </w:tc>
              <w:tc>
                <w:tcPr>
                  <w:tcW w:w="364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合计</w:t>
                  </w:r>
                </w:p>
              </w:tc>
              <w:tc>
                <w:tcPr>
                  <w:tcW w:w="148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5005.11</w:t>
                  </w:r>
                </w:p>
              </w:tc>
            </w:tr>
          </w:tbl>
          <w:p>
            <w:pPr>
              <w:bidi w:val="0"/>
              <w:ind w:firstLine="660" w:firstLineChars="300"/>
              <w:rPr>
                <w:rFonts w:hint="eastAsia" w:eastAsia="宋体"/>
                <w:b/>
                <w:bCs/>
                <w:lang w:eastAsia="zh-CN"/>
              </w:rPr>
            </w:pPr>
            <w:r>
              <w:rPr>
                <w:rFonts w:hint="eastAsia"/>
                <w:b/>
                <w:bCs/>
                <w:lang w:eastAsia="zh-CN"/>
              </w:rPr>
              <w:t>备注：筛分产生的不合格品，全部回用于生产，不再计入物料平衡。</w:t>
            </w:r>
          </w:p>
          <w:p>
            <w:pPr>
              <w:keepNext w:val="0"/>
              <w:keepLines w:val="0"/>
              <w:pageBreakBefore w:val="0"/>
              <w:widowControl/>
              <w:kinsoku/>
              <w:wordWrap/>
              <w:overflowPunct/>
              <w:topLinePunct w:val="0"/>
              <w:autoSpaceDE/>
              <w:autoSpaceDN/>
              <w:bidi w:val="0"/>
              <w:snapToGrid w:val="0"/>
              <w:spacing w:line="360" w:lineRule="auto"/>
              <w:ind w:firstLine="330" w:firstLineChars="150"/>
              <w:jc w:val="both"/>
              <w:textAlignment w:val="auto"/>
              <w:rPr>
                <w:rFonts w:hint="default" w:ascii="Times New Roman" w:hAnsi="Times New Roman" w:cs="Times New Roman"/>
                <w:b w:val="0"/>
                <w:bCs w:val="0"/>
                <w:color w:val="auto"/>
                <w:sz w:val="24"/>
                <w:szCs w:val="24"/>
              </w:rPr>
            </w:pPr>
            <w:r>
              <w:rPr>
                <w:sz w:val="21"/>
              </w:rPr>
              <mc:AlternateContent>
                <mc:Choice Requires="wps">
                  <w:drawing>
                    <wp:anchor distT="0" distB="0" distL="114300" distR="114300" simplePos="0" relativeHeight="251666432" behindDoc="0" locked="0" layoutInCell="1" allowOverlap="1">
                      <wp:simplePos x="0" y="0"/>
                      <wp:positionH relativeFrom="column">
                        <wp:posOffset>1063625</wp:posOffset>
                      </wp:positionH>
                      <wp:positionV relativeFrom="paragraph">
                        <wp:posOffset>694055</wp:posOffset>
                      </wp:positionV>
                      <wp:extent cx="9525" cy="1143000"/>
                      <wp:effectExtent l="50165" t="0" r="54610" b="0"/>
                      <wp:wrapNone/>
                      <wp:docPr id="70" name="直接箭头连接符 70"/>
                      <wp:cNvGraphicFramePr/>
                      <a:graphic xmlns:a="http://schemas.openxmlformats.org/drawingml/2006/main">
                        <a:graphicData uri="http://schemas.microsoft.com/office/word/2010/wordprocessingShape">
                          <wps:wsp>
                            <wps:cNvCnPr/>
                            <wps:spPr>
                              <a:xfrm flipH="1">
                                <a:off x="2261235" y="1627505"/>
                                <a:ext cx="9525" cy="1143000"/>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83.75pt;margin-top:54.65pt;height:90pt;width:0.75pt;z-index:251666432;mso-width-relative:page;mso-height-relative:page;" filled="f" stroked="t" coordsize="21600,21600" o:gfxdata="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3PH17bAAAACwEAAA8AAAAAAAAAAQAgAAAAIgAAAGRycy9k&#10;b3ducmV2LnhtbFBLAQIUABQAAAAIAIdO4kARlxSB/wEAAKwDAAAOAAAAAAAAAAEAIAAAACoBAABk&#10;cnMvZTJvRG9jLnhtbFBLBQYAAAAABgAGAFkBAACbBQAAAAA=&#10;">
                      <v:fill on="f" focussize="0,0"/>
                      <v:stroke weight="1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1073150</wp:posOffset>
                      </wp:positionH>
                      <wp:positionV relativeFrom="paragraph">
                        <wp:posOffset>703580</wp:posOffset>
                      </wp:positionV>
                      <wp:extent cx="1323975" cy="9525"/>
                      <wp:effectExtent l="0" t="0" r="0" b="0"/>
                      <wp:wrapNone/>
                      <wp:docPr id="69" name="直接连接符 69"/>
                      <wp:cNvGraphicFramePr/>
                      <a:graphic xmlns:a="http://schemas.openxmlformats.org/drawingml/2006/main">
                        <a:graphicData uri="http://schemas.microsoft.com/office/word/2010/wordprocessingShape">
                          <wps:wsp>
                            <wps:cNvCnPr/>
                            <wps:spPr>
                              <a:xfrm>
                                <a:off x="2223135" y="1627505"/>
                                <a:ext cx="1323975" cy="9525"/>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4.5pt;margin-top:55.4pt;height:0.75pt;width:104.25pt;z-index:251665408;mso-width-relative:page;mso-height-relative:page;" filled="f" stroked="t" coordsize="21600,21600" o:gfxdata="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ht5brZAAAACwEAAA8AAAAA&#10;AAAAAQAgAAAAIgAAAGRycy9kb3ducmV2LnhtbFBLAQIUABQAAAAIAIdO4kDNXACf2gEAAHUDAAAO&#10;AAAAAAAAAAEAIAAAACgBAABkcnMvZTJvRG9jLnhtbFBLBQYAAAAABgAGAFkBAAB0BQAAAAA=&#10;">
                      <v:fill on="f" focussize="0,0"/>
                      <v:stroke weight="1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2397125</wp:posOffset>
                      </wp:positionH>
                      <wp:positionV relativeFrom="paragraph">
                        <wp:posOffset>713105</wp:posOffset>
                      </wp:positionV>
                      <wp:extent cx="0" cy="428625"/>
                      <wp:effectExtent l="9525" t="0" r="9525" b="9525"/>
                      <wp:wrapNone/>
                      <wp:docPr id="68" name="直接连接符 68"/>
                      <wp:cNvGraphicFramePr/>
                      <a:graphic xmlns:a="http://schemas.openxmlformats.org/drawingml/2006/main">
                        <a:graphicData uri="http://schemas.microsoft.com/office/word/2010/wordprocessingShape">
                          <wps:wsp>
                            <wps:cNvCnPr/>
                            <wps:spPr>
                              <a:xfrm flipV="1">
                                <a:off x="3718560" y="1646555"/>
                                <a:ext cx="0" cy="428625"/>
                              </a:xfrm>
                              <a:prstGeom prst="line">
                                <a:avLst/>
                              </a:prstGeom>
                              <a:ln w="190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88.75pt;margin-top:56.15pt;height:33.75pt;width:0pt;z-index:251664384;mso-width-relative:page;mso-height-relative:page;" filled="f" stroked="t" coordsize="21600,21600" o:gfxdata="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WNQH9cAAAALAQAADwAA&#10;AAAAAAABACAAAAAiAAAAZHJzL2Rvd25yZXYueG1sUEsBAhQAFAAAAAgAh07iQKH1SazeAQAAewMA&#10;AA4AAAAAAAAAAQAgAAAAJgEAAGRycy9lMm9Eb2MueG1sUEsFBgAAAAAGAAYAWQEAAHYFAAAAAA==&#10;">
                      <v:fill on="f" focussize="0,0"/>
                      <v:stroke weight="1.5pt" color="#000000 [3213]" miterlimit="8" joinstyle="miter"/>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361315</wp:posOffset>
                      </wp:positionH>
                      <wp:positionV relativeFrom="paragraph">
                        <wp:posOffset>3135630</wp:posOffset>
                      </wp:positionV>
                      <wp:extent cx="3942080" cy="295275"/>
                      <wp:effectExtent l="0" t="0" r="0" b="0"/>
                      <wp:wrapNone/>
                      <wp:docPr id="305" name="Rectangle 38"/>
                      <wp:cNvGraphicFramePr/>
                      <a:graphic xmlns:a="http://schemas.openxmlformats.org/drawingml/2006/main">
                        <a:graphicData uri="http://schemas.microsoft.com/office/word/2010/wordprocessingShape">
                          <wps:wsp>
                            <wps:cNvSpPr>
                              <a:spLocks noChangeArrowheads="1"/>
                            </wps:cNvSpPr>
                            <wps:spPr bwMode="auto">
                              <a:xfrm>
                                <a:off x="0" y="0"/>
                                <a:ext cx="3942080" cy="295275"/>
                              </a:xfrm>
                              <a:prstGeom prst="rect">
                                <a:avLst/>
                              </a:prstGeom>
                              <a:noFill/>
                              <a:ln>
                                <a:noFill/>
                              </a:ln>
                              <a:effectLst/>
                            </wps:spPr>
                            <wps:txbx>
                              <w:txbxContent>
                                <w:p>
                                  <w:pPr>
                                    <w:jc w:val="center"/>
                                    <w:rPr>
                                      <w:rFonts w:hint="default" w:ascii="Times New Roman" w:hAnsi="Times New Roman" w:cs="Times New Roman"/>
                                      <w:b/>
                                      <w:color w:val="auto"/>
                                      <w:sz w:val="24"/>
                                      <w:szCs w:val="24"/>
                                      <w:u w:val="none"/>
                                    </w:rPr>
                                  </w:pPr>
                                  <w:r>
                                    <w:rPr>
                                      <w:rFonts w:hint="default" w:ascii="Times New Roman" w:hAnsi="Times New Roman" w:cs="Times New Roman"/>
                                      <w:b/>
                                      <w:color w:val="auto"/>
                                      <w:sz w:val="24"/>
                                      <w:szCs w:val="24"/>
                                      <w:u w:val="none"/>
                                    </w:rPr>
                                    <w:t>图2-</w:t>
                                  </w:r>
                                  <w:r>
                                    <w:rPr>
                                      <w:rFonts w:hint="default" w:ascii="Times New Roman" w:hAnsi="Times New Roman" w:cs="Times New Roman"/>
                                      <w:b/>
                                      <w:color w:val="auto"/>
                                      <w:sz w:val="24"/>
                                      <w:szCs w:val="24"/>
                                      <w:u w:val="none"/>
                                      <w:lang w:val="en-US" w:eastAsia="zh-CN"/>
                                    </w:rPr>
                                    <w:t>2</w:t>
                                  </w:r>
                                  <w:r>
                                    <w:rPr>
                                      <w:rFonts w:hint="default" w:ascii="Times New Roman" w:hAnsi="Times New Roman" w:cs="Times New Roman"/>
                                      <w:b/>
                                      <w:color w:val="auto"/>
                                      <w:sz w:val="24"/>
                                      <w:szCs w:val="24"/>
                                      <w:u w:val="none"/>
                                    </w:rPr>
                                    <w:t xml:space="preserve">      项目营运期物料平衡图   单位</w:t>
                                  </w:r>
                                  <w:r>
                                    <w:rPr>
                                      <w:rFonts w:hint="default" w:ascii="Times New Roman" w:hAnsi="Times New Roman" w:cs="Times New Roman"/>
                                      <w:color w:val="auto"/>
                                      <w:sz w:val="24"/>
                                      <w:szCs w:val="24"/>
                                      <w:u w:val="none"/>
                                    </w:rPr>
                                    <w:t>：t/a</w:t>
                                  </w:r>
                                </w:p>
                              </w:txbxContent>
                            </wps:txbx>
                            <wps:bodyPr rot="0" vert="horz" wrap="square" lIns="91440" tIns="45720" rIns="91440" bIns="45720" anchor="t" anchorCtr="0" upright="1">
                              <a:noAutofit/>
                            </wps:bodyPr>
                          </wps:wsp>
                        </a:graphicData>
                      </a:graphic>
                    </wp:anchor>
                  </w:drawing>
                </mc:Choice>
                <mc:Fallback>
                  <w:pict>
                    <v:rect id="Rectangle 38" o:spid="_x0000_s1026" o:spt="1" style="position:absolute;left:0pt;margin-left:28.45pt;margin-top:246.9pt;height:23.25pt;width:310.4pt;z-index:251663360;mso-width-relative:page;mso-height-relative:page;" filled="f" stroked="f" coordsize="21600,21600" o:gfxdata="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BcG4NsAAAAKAQAADwAAAAAAAAABACAAAAAiAAAAZHJzL2Rvd25yZXYueG1sUEsBAhQA&#10;FAAAAAgAh07iQFUB80nvAQAAzgMAAA4AAAAAAAAAAQAgAAAAKgEAAGRycy9lMm9Eb2MueG1sUEsF&#10;BgAAAAAGAAYAWQEAAIsFAAAAAA==&#10;">
                      <v:fill on="f" focussize="0,0"/>
                      <v:stroke on="f"/>
                      <v:imagedata o:title=""/>
                      <o:lock v:ext="edit" aspectratio="f"/>
                      <v:textbox>
                        <w:txbxContent>
                          <w:p>
                            <w:pPr>
                              <w:jc w:val="center"/>
                              <w:rPr>
                                <w:rFonts w:hint="default" w:ascii="Times New Roman" w:hAnsi="Times New Roman" w:cs="Times New Roman"/>
                                <w:b/>
                                <w:color w:val="auto"/>
                                <w:sz w:val="24"/>
                                <w:szCs w:val="24"/>
                                <w:u w:val="none"/>
                              </w:rPr>
                            </w:pPr>
                            <w:r>
                              <w:rPr>
                                <w:rFonts w:hint="default" w:ascii="Times New Roman" w:hAnsi="Times New Roman" w:cs="Times New Roman"/>
                                <w:b/>
                                <w:color w:val="auto"/>
                                <w:sz w:val="24"/>
                                <w:szCs w:val="24"/>
                                <w:u w:val="none"/>
                              </w:rPr>
                              <w:t>图2-</w:t>
                            </w:r>
                            <w:r>
                              <w:rPr>
                                <w:rFonts w:hint="default" w:ascii="Times New Roman" w:hAnsi="Times New Roman" w:cs="Times New Roman"/>
                                <w:b/>
                                <w:color w:val="auto"/>
                                <w:sz w:val="24"/>
                                <w:szCs w:val="24"/>
                                <w:u w:val="none"/>
                                <w:lang w:val="en-US" w:eastAsia="zh-CN"/>
                              </w:rPr>
                              <w:t>2</w:t>
                            </w:r>
                            <w:r>
                              <w:rPr>
                                <w:rFonts w:hint="default" w:ascii="Times New Roman" w:hAnsi="Times New Roman" w:cs="Times New Roman"/>
                                <w:b/>
                                <w:color w:val="auto"/>
                                <w:sz w:val="24"/>
                                <w:szCs w:val="24"/>
                                <w:u w:val="none"/>
                              </w:rPr>
                              <w:t xml:space="preserve">      项目营运期物料平衡图   单位</w:t>
                            </w:r>
                            <w:r>
                              <w:rPr>
                                <w:rFonts w:hint="default" w:ascii="Times New Roman" w:hAnsi="Times New Roman" w:cs="Times New Roman"/>
                                <w:color w:val="auto"/>
                                <w:sz w:val="24"/>
                                <w:szCs w:val="24"/>
                                <w:u w:val="none"/>
                              </w:rPr>
                              <w:t>：t/a</w:t>
                            </w:r>
                          </w:p>
                        </w:txbxContent>
                      </v:textbox>
                    </v:rect>
                  </w:pict>
                </mc:Fallback>
              </mc:AlternateContent>
            </w:r>
            <w:r>
              <w:rPr>
                <w:color w:val="000000"/>
                <w:szCs w:val="24"/>
              </w:rPr>
              <mc:AlternateContent>
                <mc:Choice Requires="wpc">
                  <w:drawing>
                    <wp:inline distT="0" distB="0" distL="0" distR="0">
                      <wp:extent cx="5031740" cy="2903220"/>
                      <wp:effectExtent l="0" t="0" r="0" b="0"/>
                      <wp:docPr id="310" name="画布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6" name="Rectangle 4"/>
                              <wps:cNvSpPr>
                                <a:spLocks noChangeArrowheads="1"/>
                              </wps:cNvSpPr>
                              <wps:spPr bwMode="auto">
                                <a:xfrm>
                                  <a:off x="26670" y="1564640"/>
                                  <a:ext cx="324485" cy="689610"/>
                                </a:xfrm>
                                <a:prstGeom prst="rect">
                                  <a:avLst/>
                                </a:prstGeom>
                                <a:noFill/>
                                <a:ln>
                                  <a:noFill/>
                                </a:ln>
                                <a:effectLst/>
                              </wps:spPr>
                              <wps:txbx>
                                <w:txbxContent>
                                  <w:p>
                                    <w:pPr>
                                      <w:rPr>
                                        <w:rFonts w:hint="eastAsia" w:eastAsia="宋体"/>
                                        <w:lang w:val="en-US" w:eastAsia="zh-CN"/>
                                      </w:rPr>
                                    </w:pPr>
                                    <w:r>
                                      <w:rPr>
                                        <w:rFonts w:hint="eastAsia"/>
                                      </w:rPr>
                                      <w:t>废塑料</w:t>
                                    </w:r>
                                  </w:p>
                                </w:txbxContent>
                              </wps:txbx>
                              <wps:bodyPr rot="0" vert="horz" wrap="square" lIns="91440" tIns="45720" rIns="91440" bIns="45720" anchor="t" anchorCtr="0" upright="1">
                                <a:noAutofit/>
                              </wps:bodyPr>
                            </wps:wsp>
                            <wps:wsp>
                              <wps:cNvPr id="84" name="Rectangle 12"/>
                              <wps:cNvSpPr>
                                <a:spLocks noChangeArrowheads="1"/>
                              </wps:cNvSpPr>
                              <wps:spPr bwMode="auto">
                                <a:xfrm>
                                  <a:off x="938530" y="1033145"/>
                                  <a:ext cx="333375" cy="1744345"/>
                                </a:xfrm>
                                <a:prstGeom prst="rect">
                                  <a:avLst/>
                                </a:prstGeom>
                                <a:noFill/>
                                <a:ln w="9525" algn="ctr">
                                  <a:solidFill>
                                    <a:srgbClr val="000000"/>
                                  </a:solidFill>
                                  <a:miter lim="800000"/>
                                </a:ln>
                                <a:effectLst/>
                              </wps:spPr>
                              <wps:txbx>
                                <w:txbxContent>
                                  <w:p>
                                    <w:pPr>
                                      <w:jc w:val="left"/>
                                    </w:pPr>
                                  </w:p>
                                  <w:p>
                                    <w:pPr>
                                      <w:jc w:val="left"/>
                                    </w:pPr>
                                  </w:p>
                                  <w:p>
                                    <w:pPr>
                                      <w:jc w:val="left"/>
                                    </w:pPr>
                                    <w:r>
                                      <w:rPr>
                                        <w:rFonts w:hint="eastAsia"/>
                                      </w:rPr>
                                      <w:t>熔融造粒</w:t>
                                    </w:r>
                                  </w:p>
                                </w:txbxContent>
                              </wps:txbx>
                              <wps:bodyPr rot="0" vert="horz" wrap="square" lIns="91440" tIns="45720" rIns="91440" bIns="45720" anchor="t" anchorCtr="0" upright="1">
                                <a:noAutofit/>
                              </wps:bodyPr>
                            </wps:wsp>
                            <wps:wsp>
                              <wps:cNvPr id="85" name="AutoShape 13"/>
                              <wps:cNvCnPr>
                                <a:cxnSpLocks noChangeShapeType="1"/>
                              </wps:cNvCnPr>
                              <wps:spPr bwMode="auto">
                                <a:xfrm>
                                  <a:off x="1281430" y="1857375"/>
                                  <a:ext cx="419100" cy="635"/>
                                </a:xfrm>
                                <a:prstGeom prst="straightConnector1">
                                  <a:avLst/>
                                </a:prstGeom>
                                <a:noFill/>
                                <a:ln w="9525">
                                  <a:solidFill>
                                    <a:srgbClr val="000000"/>
                                  </a:solidFill>
                                  <a:round/>
                                  <a:tailEnd type="triangle" w="med" len="med"/>
                                </a:ln>
                                <a:effectLst/>
                              </wps:spPr>
                              <wps:bodyPr/>
                            </wps:wsp>
                            <wps:wsp>
                              <wps:cNvPr id="86" name="AutoShape 14"/>
                              <wps:cNvCnPr>
                                <a:cxnSpLocks noChangeShapeType="1"/>
                              </wps:cNvCnPr>
                              <wps:spPr bwMode="auto">
                                <a:xfrm>
                                  <a:off x="1281430" y="2266950"/>
                                  <a:ext cx="419100" cy="635"/>
                                </a:xfrm>
                                <a:prstGeom prst="straightConnector1">
                                  <a:avLst/>
                                </a:prstGeom>
                                <a:noFill/>
                                <a:ln w="9525">
                                  <a:solidFill>
                                    <a:srgbClr val="000000"/>
                                  </a:solidFill>
                                  <a:round/>
                                  <a:tailEnd type="triangle" w="med" len="med"/>
                                </a:ln>
                                <a:effectLst/>
                              </wps:spPr>
                              <wps:bodyPr/>
                            </wps:wsp>
                            <wps:wsp>
                              <wps:cNvPr id="87" name="Rectangle 15"/>
                              <wps:cNvSpPr>
                                <a:spLocks noChangeArrowheads="1"/>
                              </wps:cNvSpPr>
                              <wps:spPr bwMode="auto">
                                <a:xfrm>
                                  <a:off x="1738630" y="1677035"/>
                                  <a:ext cx="1590675" cy="285750"/>
                                </a:xfrm>
                                <a:prstGeom prst="rect">
                                  <a:avLst/>
                                </a:prstGeom>
                                <a:noFill/>
                                <a:ln w="9525" algn="ctr">
                                  <a:solidFill>
                                    <a:srgbClr val="000000"/>
                                  </a:solidFill>
                                  <a:miter lim="800000"/>
                                </a:ln>
                                <a:effectLst/>
                              </wps:spPr>
                              <wps:txbx>
                                <w:txbxContent>
                                  <w:p>
                                    <w:pPr>
                                      <w:jc w:val="left"/>
                                      <w:rPr>
                                        <w:rFonts w:hint="default" w:eastAsia="宋体"/>
                                        <w:lang w:val="en-US" w:eastAsia="zh-CN"/>
                                      </w:rPr>
                                    </w:pPr>
                                    <w:r>
                                      <w:rPr>
                                        <w:rFonts w:hint="eastAsia"/>
                                      </w:rPr>
                                      <w:t>可再生塑料颗粒</w:t>
                                    </w:r>
                                    <w:r>
                                      <w:rPr>
                                        <w:rFonts w:hint="eastAsia"/>
                                        <w:lang w:val="en-US" w:eastAsia="zh-CN"/>
                                      </w:rPr>
                                      <w:t>5000</w:t>
                                    </w:r>
                                  </w:p>
                                </w:txbxContent>
                              </wps:txbx>
                              <wps:bodyPr rot="0" vert="horz" wrap="square" lIns="91440" tIns="45720" rIns="91440" bIns="45720" anchor="t" anchorCtr="0" upright="1">
                                <a:noAutofit/>
                              </wps:bodyPr>
                            </wps:wsp>
                            <wps:wsp>
                              <wps:cNvPr id="88" name="AutoShape 16"/>
                              <wps:cNvCnPr>
                                <a:cxnSpLocks noChangeShapeType="1"/>
                              </wps:cNvCnPr>
                              <wps:spPr bwMode="auto">
                                <a:xfrm>
                                  <a:off x="3338830" y="1838325"/>
                                  <a:ext cx="419100" cy="635"/>
                                </a:xfrm>
                                <a:prstGeom prst="straightConnector1">
                                  <a:avLst/>
                                </a:prstGeom>
                                <a:noFill/>
                                <a:ln w="9525">
                                  <a:solidFill>
                                    <a:srgbClr val="000000"/>
                                  </a:solidFill>
                                  <a:round/>
                                  <a:tailEnd type="triangle" w="med" len="med"/>
                                </a:ln>
                                <a:effectLst/>
                              </wps:spPr>
                              <wps:bodyPr/>
                            </wps:wsp>
                            <wps:wsp>
                              <wps:cNvPr id="89" name="Rectangle 17"/>
                              <wps:cNvSpPr>
                                <a:spLocks noChangeArrowheads="1"/>
                              </wps:cNvSpPr>
                              <wps:spPr bwMode="auto">
                                <a:xfrm>
                                  <a:off x="3805555" y="1667510"/>
                                  <a:ext cx="1076325" cy="333375"/>
                                </a:xfrm>
                                <a:prstGeom prst="rect">
                                  <a:avLst/>
                                </a:prstGeom>
                                <a:noFill/>
                                <a:ln>
                                  <a:noFill/>
                                </a:ln>
                                <a:effectLst/>
                              </wps:spPr>
                              <wps:txbx>
                                <w:txbxContent>
                                  <w:p>
                                    <w:r>
                                      <w:rPr>
                                        <w:rFonts w:hint="eastAsia"/>
                                      </w:rPr>
                                      <w:t>产品装袋外售</w:t>
                                    </w:r>
                                  </w:p>
                                </w:txbxContent>
                              </wps:txbx>
                              <wps:bodyPr rot="0" vert="horz" wrap="square" lIns="91440" tIns="45720" rIns="91440" bIns="45720" anchor="t" anchorCtr="0" upright="1">
                                <a:noAutofit/>
                              </wps:bodyPr>
                            </wps:wsp>
                            <wps:wsp>
                              <wps:cNvPr id="92" name="Rectangle 18"/>
                              <wps:cNvSpPr>
                                <a:spLocks noChangeArrowheads="1"/>
                              </wps:cNvSpPr>
                              <wps:spPr bwMode="auto">
                                <a:xfrm>
                                  <a:off x="1729105" y="2105660"/>
                                  <a:ext cx="1134110" cy="285750"/>
                                </a:xfrm>
                                <a:prstGeom prst="rect">
                                  <a:avLst/>
                                </a:prstGeom>
                                <a:noFill/>
                                <a:ln w="9525" algn="ctr">
                                  <a:solidFill>
                                    <a:srgbClr val="000000"/>
                                  </a:solidFill>
                                  <a:miter lim="800000"/>
                                </a:ln>
                                <a:effectLst/>
                              </wps:spPr>
                              <wps:txbx>
                                <w:txbxContent>
                                  <w:p>
                                    <w:pPr>
                                      <w:jc w:val="center"/>
                                      <w:rPr>
                                        <w:rFonts w:hint="default" w:eastAsia="宋体"/>
                                        <w:color w:val="auto"/>
                                        <w:u w:val="none"/>
                                        <w:lang w:val="en-US" w:eastAsia="zh-CN"/>
                                      </w:rPr>
                                    </w:pPr>
                                    <w:r>
                                      <w:rPr>
                                        <w:rFonts w:hint="eastAsia"/>
                                        <w:color w:val="auto"/>
                                        <w:u w:val="none"/>
                                      </w:rPr>
                                      <w:t>有机废气</w:t>
                                    </w:r>
                                    <w:r>
                                      <w:rPr>
                                        <w:rFonts w:hint="eastAsia"/>
                                        <w:color w:val="auto"/>
                                        <w:u w:val="none"/>
                                        <w:lang w:val="en-US" w:eastAsia="zh-CN"/>
                                      </w:rPr>
                                      <w:t>1.75</w:t>
                                    </w:r>
                                  </w:p>
                                </w:txbxContent>
                              </wps:txbx>
                              <wps:bodyPr rot="0" vert="horz" wrap="square" lIns="91440" tIns="45720" rIns="91440" bIns="45720" anchor="t" anchorCtr="0" upright="1">
                                <a:noAutofit/>
                              </wps:bodyPr>
                            </wps:wsp>
                            <wps:wsp>
                              <wps:cNvPr id="303" name="AutoShape 36"/>
                              <wps:cNvCnPr>
                                <a:cxnSpLocks noChangeShapeType="1"/>
                              </wps:cNvCnPr>
                              <wps:spPr bwMode="auto">
                                <a:xfrm flipV="1">
                                  <a:off x="322580" y="1851660"/>
                                  <a:ext cx="636905" cy="3175"/>
                                </a:xfrm>
                                <a:prstGeom prst="straightConnector1">
                                  <a:avLst/>
                                </a:prstGeom>
                                <a:noFill/>
                                <a:ln w="9525">
                                  <a:solidFill>
                                    <a:srgbClr val="000000"/>
                                  </a:solidFill>
                                  <a:round/>
                                  <a:tailEnd type="triangle" w="med" len="med"/>
                                </a:ln>
                                <a:effectLst/>
                              </wps:spPr>
                              <wps:bodyPr/>
                            </wps:wsp>
                            <wps:wsp>
                              <wps:cNvPr id="304" name="Rectangle 37"/>
                              <wps:cNvSpPr>
                                <a:spLocks noChangeArrowheads="1"/>
                              </wps:cNvSpPr>
                              <wps:spPr bwMode="auto">
                                <a:xfrm>
                                  <a:off x="1727200" y="2548890"/>
                                  <a:ext cx="1452880" cy="285750"/>
                                </a:xfrm>
                                <a:prstGeom prst="rect">
                                  <a:avLst/>
                                </a:prstGeom>
                                <a:noFill/>
                                <a:ln w="9525" algn="ctr">
                                  <a:solidFill>
                                    <a:srgbClr val="000000"/>
                                  </a:solidFill>
                                  <a:miter lim="800000"/>
                                </a:ln>
                                <a:effectLst/>
                              </wps:spPr>
                              <wps:txbx>
                                <w:txbxContent>
                                  <w:p>
                                    <w:pPr>
                                      <w:jc w:val="center"/>
                                      <w:rPr>
                                        <w:rFonts w:hint="default" w:eastAsia="宋体"/>
                                        <w:color w:val="auto"/>
                                        <w:u w:val="none"/>
                                        <w:lang w:val="en-US" w:eastAsia="zh-CN"/>
                                      </w:rPr>
                                    </w:pPr>
                                    <w:r>
                                      <w:rPr>
                                        <w:rFonts w:hint="eastAsia"/>
                                        <w:color w:val="auto"/>
                                        <w:u w:val="none"/>
                                        <w:lang w:val="en-US" w:eastAsia="zh-CN"/>
                                      </w:rPr>
                                      <w:t>废滤网中废塑料3.36</w:t>
                                    </w:r>
                                  </w:p>
                                </w:txbxContent>
                              </wps:txbx>
                              <wps:bodyPr rot="0" vert="horz" wrap="square" lIns="91440" tIns="45720" rIns="91440" bIns="45720" anchor="t" anchorCtr="0" upright="1">
                                <a:noAutofit/>
                              </wps:bodyPr>
                            </wps:wsp>
                            <wps:wsp>
                              <wps:cNvPr id="307" name="AutoShape 40"/>
                              <wps:cNvCnPr>
                                <a:cxnSpLocks noChangeShapeType="1"/>
                              </wps:cNvCnPr>
                              <wps:spPr bwMode="auto">
                                <a:xfrm flipV="1">
                                  <a:off x="3206750" y="2738120"/>
                                  <a:ext cx="255905" cy="6350"/>
                                </a:xfrm>
                                <a:prstGeom prst="straightConnector1">
                                  <a:avLst/>
                                </a:prstGeom>
                                <a:noFill/>
                                <a:ln w="9525">
                                  <a:solidFill>
                                    <a:srgbClr val="000000"/>
                                  </a:solidFill>
                                  <a:round/>
                                  <a:tailEnd type="triangle" w="med" len="med"/>
                                </a:ln>
                                <a:effectLst/>
                              </wps:spPr>
                              <wps:bodyPr/>
                            </wps:wsp>
                            <wps:wsp>
                              <wps:cNvPr id="14" name="Rectangle 34"/>
                              <wps:cNvSpPr>
                                <a:spLocks noChangeArrowheads="1"/>
                              </wps:cNvSpPr>
                              <wps:spPr bwMode="auto">
                                <a:xfrm>
                                  <a:off x="123825" y="1610360"/>
                                  <a:ext cx="855980" cy="333375"/>
                                </a:xfrm>
                                <a:prstGeom prst="rect">
                                  <a:avLst/>
                                </a:prstGeom>
                                <a:noFill/>
                                <a:ln>
                                  <a:noFill/>
                                </a:ln>
                                <a:effectLst/>
                              </wps:spPr>
                              <wps:txbx>
                                <w:txbxContent>
                                  <w:p>
                                    <w:pPr>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5005.11</w:t>
                                    </w:r>
                                  </w:p>
                                </w:txbxContent>
                              </wps:txbx>
                              <wps:bodyPr rot="0" vert="horz" wrap="square" lIns="91440" tIns="45720" rIns="91440" bIns="45720" anchor="t" anchorCtr="0" upright="1">
                                <a:noAutofit/>
                              </wps:bodyPr>
                            </wps:wsp>
                            <wps:wsp>
                              <wps:cNvPr id="63" name="Rectangle 23"/>
                              <wps:cNvSpPr>
                                <a:spLocks noChangeArrowheads="1"/>
                              </wps:cNvSpPr>
                              <wps:spPr bwMode="auto">
                                <a:xfrm>
                                  <a:off x="3513455" y="2551430"/>
                                  <a:ext cx="1047750" cy="333375"/>
                                </a:xfrm>
                                <a:prstGeom prst="rect">
                                  <a:avLst/>
                                </a:prstGeom>
                                <a:noFill/>
                                <a:ln>
                                  <a:noFill/>
                                </a:ln>
                                <a:effectLst/>
                              </wps:spPr>
                              <wps:txbx>
                                <w:txbxContent>
                                  <w:p>
                                    <w:pPr>
                                      <w:jc w:val="left"/>
                                      <w:rPr>
                                        <w:rFonts w:hint="eastAsia" w:eastAsia="宋体"/>
                                        <w:color w:val="auto"/>
                                        <w:u w:val="none"/>
                                        <w:lang w:val="en-US" w:eastAsia="zh-CN"/>
                                      </w:rPr>
                                    </w:pPr>
                                    <w:r>
                                      <w:rPr>
                                        <w:rFonts w:hint="eastAsia"/>
                                        <w:color w:val="auto"/>
                                        <w:u w:val="none"/>
                                        <w:lang w:eastAsia="zh-CN"/>
                                      </w:rPr>
                                      <w:t>厂家回收处理</w:t>
                                    </w:r>
                                  </w:p>
                                </w:txbxContent>
                              </wps:txbx>
                              <wps:bodyPr rot="0" vert="horz" wrap="square" lIns="91440" tIns="45720" rIns="91440" bIns="45720" anchor="t" anchorCtr="0" upright="1">
                                <a:noAutofit/>
                              </wps:bodyPr>
                            </wps:wsp>
                            <wps:wsp>
                              <wps:cNvPr id="64" name="AutoShape 14"/>
                              <wps:cNvCnPr>
                                <a:cxnSpLocks noChangeShapeType="1"/>
                              </wps:cNvCnPr>
                              <wps:spPr bwMode="auto">
                                <a:xfrm>
                                  <a:off x="1303655" y="2694305"/>
                                  <a:ext cx="419100" cy="635"/>
                                </a:xfrm>
                                <a:prstGeom prst="straightConnector1">
                                  <a:avLst/>
                                </a:prstGeom>
                                <a:noFill/>
                                <a:ln w="9525">
                                  <a:solidFill>
                                    <a:srgbClr val="000000"/>
                                  </a:solidFill>
                                  <a:round/>
                                  <a:tailEnd type="triangle" w="med" len="med"/>
                                </a:ln>
                                <a:effectLst/>
                              </wps:spPr>
                              <wps:bodyPr/>
                            </wps:wsp>
                            <wps:wsp>
                              <wps:cNvPr id="65" name="AutoShape 13"/>
                              <wps:cNvCnPr>
                                <a:cxnSpLocks noChangeShapeType="1"/>
                              </wps:cNvCnPr>
                              <wps:spPr bwMode="auto">
                                <a:xfrm>
                                  <a:off x="1275080" y="1303655"/>
                                  <a:ext cx="419100" cy="635"/>
                                </a:xfrm>
                                <a:prstGeom prst="straightConnector1">
                                  <a:avLst/>
                                </a:prstGeom>
                                <a:noFill/>
                                <a:ln w="9525">
                                  <a:solidFill>
                                    <a:srgbClr val="000000"/>
                                  </a:solidFill>
                                  <a:round/>
                                  <a:tailEnd type="triangle" w="med" len="med"/>
                                </a:ln>
                                <a:effectLst/>
                              </wps:spPr>
                              <wps:bodyPr/>
                            </wps:wsp>
                            <wps:wsp>
                              <wps:cNvPr id="66" name="Rectangle 15"/>
                              <wps:cNvSpPr>
                                <a:spLocks noChangeArrowheads="1"/>
                              </wps:cNvSpPr>
                              <wps:spPr bwMode="auto">
                                <a:xfrm>
                                  <a:off x="1732280" y="1151255"/>
                                  <a:ext cx="923925" cy="285750"/>
                                </a:xfrm>
                                <a:prstGeom prst="rect">
                                  <a:avLst/>
                                </a:prstGeom>
                                <a:noFill/>
                                <a:ln w="9525" algn="ctr">
                                  <a:solidFill>
                                    <a:srgbClr val="000000"/>
                                  </a:solidFill>
                                  <a:miter lim="800000"/>
                                </a:ln>
                                <a:effectLst/>
                              </wps:spPr>
                              <wps:txbx>
                                <w:txbxContent>
                                  <w:p>
                                    <w:pPr>
                                      <w:jc w:val="left"/>
                                      <w:rPr>
                                        <w:rFonts w:hint="eastAsia" w:eastAsia="宋体"/>
                                        <w:lang w:val="en-US" w:eastAsia="zh-CN"/>
                                      </w:rPr>
                                    </w:pPr>
                                    <w:r>
                                      <w:rPr>
                                        <w:rFonts w:hint="eastAsia"/>
                                        <w:lang w:eastAsia="zh-CN"/>
                                      </w:rPr>
                                      <w:t>不合格成品</w:t>
                                    </w:r>
                                  </w:p>
                                </w:txbxContent>
                              </wps:txbx>
                              <wps:bodyPr rot="0" vert="horz" wrap="square" lIns="91440" tIns="45720" rIns="91440" bIns="45720" anchor="t" anchorCtr="0" upright="1">
                                <a:noAutofit/>
                              </wps:bodyPr>
                            </wps:wsp>
                            <wps:wsp>
                              <wps:cNvPr id="72" name="Rectangle 34"/>
                              <wps:cNvSpPr>
                                <a:spLocks noChangeArrowheads="1"/>
                              </wps:cNvSpPr>
                              <wps:spPr bwMode="auto">
                                <a:xfrm>
                                  <a:off x="998855" y="313055"/>
                                  <a:ext cx="855980" cy="333375"/>
                                </a:xfrm>
                                <a:prstGeom prst="rect">
                                  <a:avLst/>
                                </a:prstGeom>
                                <a:noFill/>
                                <a:ln>
                                  <a:noFill/>
                                </a:ln>
                                <a:effectLst/>
                              </wps:spPr>
                              <wps:txbx>
                                <w:txbxContent>
                                  <w:p>
                                    <w:pPr>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125</w:t>
                                    </w:r>
                                  </w:p>
                                </w:txbxContent>
                              </wps:txbx>
                              <wps:bodyPr rot="0" vert="horz" wrap="square" lIns="91440" tIns="45720" rIns="91440" bIns="45720" anchor="t" anchorCtr="0" upright="1">
                                <a:noAutofit/>
                              </wps:bodyPr>
                            </wps:wsp>
                            <wps:wsp>
                              <wps:cNvPr id="73" name="Rectangle 34"/>
                              <wps:cNvSpPr>
                                <a:spLocks noChangeArrowheads="1"/>
                              </wps:cNvSpPr>
                              <wps:spPr bwMode="auto">
                                <a:xfrm>
                                  <a:off x="1208405" y="1017905"/>
                                  <a:ext cx="494665" cy="333375"/>
                                </a:xfrm>
                                <a:prstGeom prst="rect">
                                  <a:avLst/>
                                </a:prstGeom>
                                <a:noFill/>
                                <a:ln>
                                  <a:noFill/>
                                </a:ln>
                                <a:effectLst/>
                              </wps:spPr>
                              <wps:txbx>
                                <w:txbxContent>
                                  <w:p>
                                    <w:pPr>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125</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28.6pt;width:396.2pt;" coordsize="5031740,2903220" editas="canvas" o:gfxdata="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">
                      <o:lock v:ext="edit" aspectratio="f"/>
                      <v:shape id="_x0000_s1026" o:spid="_x0000_s1026" style="position:absolute;left:0;top:0;height:2903220;width:5031740;" filled="f" stroked="f" coordsize="21600,21600" o:gfxdata="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">
                        <v:fill on="f" focussize="0,0"/>
                        <v:stroke on="f"/>
                        <v:imagedata o:title=""/>
                        <o:lock v:ext="edit" aspectratio="t"/>
                      </v:shape>
                      <v:rect id="Rectangle 4" o:spid="_x0000_s1026" o:spt="1" style="position:absolute;left:26670;top:1564640;height:689610;width:324485;" filled="f" stroked="f" coordsize="21600,21600" o:gfxdata="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hP2LHYAAAABQEAAA8AAAAAAAAAAQAgAAAAIgAAAGRycy9kb3ducmV2LnhtbFBL&#10;AQIUABQAAAAIAIdO4kANDTD29gEAANYDAAAOAAAAAAAAAAEAIAAAACcBAABkcnMvZTJvRG9jLnht&#10;bFBLBQYAAAAABgAGAFkBAACPBQAAAAA=&#10;">
                        <v:fill on="f" focussize="0,0"/>
                        <v:stroke on="f"/>
                        <v:imagedata o:title=""/>
                        <o:lock v:ext="edit" aspectratio="f"/>
                        <v:textbox>
                          <w:txbxContent>
                            <w:p>
                              <w:pPr>
                                <w:rPr>
                                  <w:rFonts w:hint="eastAsia" w:eastAsia="宋体"/>
                                  <w:lang w:val="en-US" w:eastAsia="zh-CN"/>
                                </w:rPr>
                              </w:pPr>
                              <w:r>
                                <w:rPr>
                                  <w:rFonts w:hint="eastAsia"/>
                                </w:rPr>
                                <w:t>废塑料</w:t>
                              </w:r>
                            </w:p>
                          </w:txbxContent>
                        </v:textbox>
                      </v:rect>
                      <v:rect id="Rectangle 12" o:spid="_x0000_s1026" o:spt="1" style="position:absolute;left:938530;top:1033145;height:1744345;width:333375;" filled="f" stroked="t" coordsize="21600,21600" o:gfxdata="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Q9S8LV&#10;AAAABQEAAA8AAAAAAAAAAQAgAAAAIgAAAGRycy9kb3ducmV2LnhtbFBLAQIUABQAAAAIAIdO4kAs&#10;kZuoIwIAACwEAAAOAAAAAAAAAAEAIAAAACQBAABkcnMvZTJvRG9jLnhtbFBLBQYAAAAABgAGAFkB&#10;AAC5BQAAAAA=&#10;">
                        <v:fill on="f" focussize="0,0"/>
                        <v:stroke color="#000000" miterlimit="8" joinstyle="miter"/>
                        <v:imagedata o:title=""/>
                        <o:lock v:ext="edit" aspectratio="f"/>
                        <v:textbox>
                          <w:txbxContent>
                            <w:p>
                              <w:pPr>
                                <w:jc w:val="left"/>
                              </w:pPr>
                            </w:p>
                            <w:p>
                              <w:pPr>
                                <w:jc w:val="left"/>
                              </w:pPr>
                            </w:p>
                            <w:p>
                              <w:pPr>
                                <w:jc w:val="left"/>
                              </w:pPr>
                              <w:r>
                                <w:rPr>
                                  <w:rFonts w:hint="eastAsia"/>
                                </w:rPr>
                                <w:t>熔融造粒</w:t>
                              </w:r>
                            </w:p>
                          </w:txbxContent>
                        </v:textbox>
                      </v:rect>
                      <v:shape id="AutoShape 13" o:spid="_x0000_s1026" o:spt="32" type="#_x0000_t32" style="position:absolute;left:1281430;top:1857375;height:635;width:419100;" filled="f" stroked="t" coordsize="21600,21600" o:gfxdata="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vUz/U&#10;1wAAAAUBAAAPAAAAAAAAAAEAIAAAACIAAABkcnMvZG93bnJldi54bWxQSwECFAAUAAAACACHTuJA&#10;0Q9xcukBAACvAwAADgAAAAAAAAABACAAAAAmAQAAZHJzL2Uyb0RvYy54bWxQSwUGAAAAAAYABgBZ&#10;AQAAgQUAAAAA&#10;">
                        <v:fill on="f" focussize="0,0"/>
                        <v:stroke color="#000000" joinstyle="round" endarrow="block"/>
                        <v:imagedata o:title=""/>
                        <o:lock v:ext="edit" aspectratio="f"/>
                      </v:shape>
                      <v:shape id="AutoShape 14" o:spid="_x0000_s1026" o:spt="32" type="#_x0000_t32" style="position:absolute;left:1281430;top:2266950;height:635;width:419100;" filled="f" stroked="t" coordsize="21600,21600" o:gfxdata="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9TP9TX&#10;AAAABQEAAA8AAAAAAAAAAQAgAAAAIgAAAGRycy9kb3ducmV2LnhtbFBLAQIUABQAAAAIAIdO4kAN&#10;I+9C6AEAAK8DAAAOAAAAAAAAAAEAIAAAACYBAABkcnMvZTJvRG9jLnhtbFBLBQYAAAAABgAGAFkB&#10;AACABQAAAAA=&#10;">
                        <v:fill on="f" focussize="0,0"/>
                        <v:stroke color="#000000" joinstyle="round" endarrow="block"/>
                        <v:imagedata o:title=""/>
                        <o:lock v:ext="edit" aspectratio="f"/>
                      </v:shape>
                      <v:rect id="Rectangle 15" o:spid="_x0000_s1026" o:spt="1" style="position:absolute;left:1738630;top:1677035;height:285750;width:1590675;" filled="f" stroked="t" coordsize="21600,21600" o:gfxdata="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E&#10;PUvC1QAAAAUBAAAPAAAAAAAAAAEAIAAAACIAAABkcnMvZG93bnJldi54bWxQSwECFAAUAAAACACH&#10;TuJAKBKTzycCAAAtBAAADgAAAAAAAAABACAAAAAkAQAAZHJzL2Uyb0RvYy54bWxQSwUGAAAAAAYA&#10;BgBZAQAAvQUAAAAA&#10;">
                        <v:fill on="f" focussize="0,0"/>
                        <v:stroke color="#000000" miterlimit="8" joinstyle="miter"/>
                        <v:imagedata o:title=""/>
                        <o:lock v:ext="edit" aspectratio="f"/>
                        <v:textbox>
                          <w:txbxContent>
                            <w:p>
                              <w:pPr>
                                <w:jc w:val="left"/>
                                <w:rPr>
                                  <w:rFonts w:hint="default" w:eastAsia="宋体"/>
                                  <w:lang w:val="en-US" w:eastAsia="zh-CN"/>
                                </w:rPr>
                              </w:pPr>
                              <w:r>
                                <w:rPr>
                                  <w:rFonts w:hint="eastAsia"/>
                                </w:rPr>
                                <w:t>可再生塑料颗粒</w:t>
                              </w:r>
                              <w:r>
                                <w:rPr>
                                  <w:rFonts w:hint="eastAsia"/>
                                  <w:lang w:val="en-US" w:eastAsia="zh-CN"/>
                                </w:rPr>
                                <w:t>5000</w:t>
                              </w:r>
                            </w:p>
                          </w:txbxContent>
                        </v:textbox>
                      </v:rect>
                      <v:shape id="AutoShape 16" o:spid="_x0000_s1026" o:spt="32" type="#_x0000_t32" style="position:absolute;left:3338830;top:1838325;height:635;width:419100;" filled="f" stroked="t" coordsize="21600,21600" o:gfxdata="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1M/1NcA&#10;AAAFAQAADwAAAAAAAAABACAAAAAiAAAAZHJzL2Rvd25yZXYueG1sUEsBAhQAFAAAAAgAh07iQIW2&#10;HyvnAQAArwMAAA4AAAAAAAAAAQAgAAAAJgEAAGRycy9lMm9Eb2MueG1sUEsFBgAAAAAGAAYAWQEA&#10;AH8FAAAAAA==&#10;">
                        <v:fill on="f" focussize="0,0"/>
                        <v:stroke color="#000000" joinstyle="round" endarrow="block"/>
                        <v:imagedata o:title=""/>
                        <o:lock v:ext="edit" aspectratio="f"/>
                      </v:shape>
                      <v:rect id="Rectangle 17" o:spid="_x0000_s1026" o:spt="1" style="position:absolute;left:3805555;top:1667510;height:333375;width:1076325;" filled="f" stroked="f" coordsize="21600,21600" o:gfxdata="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T9ix2AAAAAUBAAAPAAAAAAAAAAEAIAAAACIAAABkcnMvZG93bnJldi54bWxQ&#10;SwECFAAUAAAACACHTuJAUWhqZPcBAADZAwAADgAAAAAAAAABACAAAAAnAQAAZHJzL2Uyb0RvYy54&#10;bWxQSwUGAAAAAAYABgBZAQAAkAUAAAAA&#10;">
                        <v:fill on="f" focussize="0,0"/>
                        <v:stroke on="f"/>
                        <v:imagedata o:title=""/>
                        <o:lock v:ext="edit" aspectratio="f"/>
                        <v:textbox>
                          <w:txbxContent>
                            <w:p>
                              <w:r>
                                <w:rPr>
                                  <w:rFonts w:hint="eastAsia"/>
                                </w:rPr>
                                <w:t>产品装袋外售</w:t>
                              </w:r>
                            </w:p>
                          </w:txbxContent>
                        </v:textbox>
                      </v:rect>
                      <v:rect id="Rectangle 18" o:spid="_x0000_s1026" o:spt="1" style="position:absolute;left:1729105;top:2105660;height:285750;width:1134110;" filled="f" stroked="t" coordsize="21600,21600" o:gfxdata="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PUvC&#10;1QAAAAUBAAAPAAAAAAAAAAEAIAAAACIAAABkcnMvZG93bnJldi54bWxQSwECFAAUAAAACACHTuJA&#10;Vb388iQCAAAtBAAADgAAAAAAAAABACAAAAAkAQAAZHJzL2Uyb0RvYy54bWxQSwUGAAAAAAYABgBZ&#10;AQAAugUAAAAA&#10;">
                        <v:fill on="f" focussize="0,0"/>
                        <v:stroke color="#000000" miterlimit="8" joinstyle="miter"/>
                        <v:imagedata o:title=""/>
                        <o:lock v:ext="edit" aspectratio="f"/>
                        <v:textbox>
                          <w:txbxContent>
                            <w:p>
                              <w:pPr>
                                <w:jc w:val="center"/>
                                <w:rPr>
                                  <w:rFonts w:hint="default" w:eastAsia="宋体"/>
                                  <w:color w:val="auto"/>
                                  <w:u w:val="none"/>
                                  <w:lang w:val="en-US" w:eastAsia="zh-CN"/>
                                </w:rPr>
                              </w:pPr>
                              <w:r>
                                <w:rPr>
                                  <w:rFonts w:hint="eastAsia"/>
                                  <w:color w:val="auto"/>
                                  <w:u w:val="none"/>
                                </w:rPr>
                                <w:t>有机废气</w:t>
                              </w:r>
                              <w:r>
                                <w:rPr>
                                  <w:rFonts w:hint="eastAsia"/>
                                  <w:color w:val="auto"/>
                                  <w:u w:val="none"/>
                                  <w:lang w:val="en-US" w:eastAsia="zh-CN"/>
                                </w:rPr>
                                <w:t>1.75</w:t>
                              </w:r>
                            </w:p>
                          </w:txbxContent>
                        </v:textbox>
                      </v:rect>
                      <v:shape id="AutoShape 36" o:spid="_x0000_s1026" o:spt="32" type="#_x0000_t32" style="position:absolute;left:322580;top:1851660;flip:y;height:3175;width:636905;" filled="f" stroked="t" coordsize="21600,21600" o:gfxdata="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fzxeq1wAAAAUBAAAPAAAAAAAAAAEAIAAAACIAAABkcnMvZG93bnJldi54bWxQSwECFAAUAAAA&#10;CACHTuJAZTV4me8BAAC6AwAADgAAAAAAAAABACAAAAAmAQAAZHJzL2Uyb0RvYy54bWxQSwUGAAAA&#10;AAYABgBZAQAAhwUAAAAA&#10;">
                        <v:fill on="f" focussize="0,0"/>
                        <v:stroke color="#000000" joinstyle="round" endarrow="block"/>
                        <v:imagedata o:title=""/>
                        <o:lock v:ext="edit" aspectratio="f"/>
                      </v:shape>
                      <v:rect id="Rectangle 37" o:spid="_x0000_s1026" o:spt="1" style="position:absolute;left:1727200;top:2548890;height:285750;width:1452880;" filled="f" stroked="t" coordsize="21600,21600" o:gfxdata="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D1L&#10;wtUAAAAFAQAADwAAAAAAAAABACAAAAAiAAAAZHJzL2Rvd25yZXYueG1sUEsBAhQAFAAAAAgAh07i&#10;QAwvlJwlAgAALgQAAA4AAAAAAAAAAQAgAAAAJAEAAGRycy9lMm9Eb2MueG1sUEsFBgAAAAAGAAYA&#10;WQEAALsFAAAAAA==&#10;">
                        <v:fill on="f" focussize="0,0"/>
                        <v:stroke color="#000000" miterlimit="8" joinstyle="miter"/>
                        <v:imagedata o:title=""/>
                        <o:lock v:ext="edit" aspectratio="f"/>
                        <v:textbox>
                          <w:txbxContent>
                            <w:p>
                              <w:pPr>
                                <w:jc w:val="center"/>
                                <w:rPr>
                                  <w:rFonts w:hint="default" w:eastAsia="宋体"/>
                                  <w:color w:val="auto"/>
                                  <w:u w:val="none"/>
                                  <w:lang w:val="en-US" w:eastAsia="zh-CN"/>
                                </w:rPr>
                              </w:pPr>
                              <w:r>
                                <w:rPr>
                                  <w:rFonts w:hint="eastAsia"/>
                                  <w:color w:val="auto"/>
                                  <w:u w:val="none"/>
                                  <w:lang w:val="en-US" w:eastAsia="zh-CN"/>
                                </w:rPr>
                                <w:t>废滤网中废塑料3.36</w:t>
                              </w:r>
                            </w:p>
                          </w:txbxContent>
                        </v:textbox>
                      </v:rect>
                      <v:shape id="AutoShape 40" o:spid="_x0000_s1026" o:spt="32" type="#_x0000_t32" style="position:absolute;left:3206750;top:2738120;flip:y;height:6350;width:255905;" filled="f" stroked="t" coordsize="21600,21600" o:gfxdata="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PF6rXAAAABQEAAA8AAAAAAAAAAQAgAAAAIgAAAGRycy9kb3ducmV2LnhtbFBLAQIUABQA&#10;AAAIAIdO4kA2YjaU8QEAALsDAAAOAAAAAAAAAAEAIAAAACYBAABkcnMvZTJvRG9jLnhtbFBLBQYA&#10;AAAABgAGAFkBAACJBQAAAAA=&#10;">
                        <v:fill on="f" focussize="0,0"/>
                        <v:stroke color="#000000" joinstyle="round" endarrow="block"/>
                        <v:imagedata o:title=""/>
                        <o:lock v:ext="edit" aspectratio="f"/>
                      </v:shape>
                      <v:rect id="Rectangle 34" o:spid="_x0000_s1026" o:spt="1" style="position:absolute;left:123825;top:1610360;height:333375;width:855980;" filled="f" stroked="f" coordsize="21600,21600" o:gfxdata="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T9ix2AAAAAUBAAAPAAAAAAAAAAEAIAAAACIAAABkcnMvZG93bnJldi54bWxQ&#10;SwECFAAUAAAACACHTuJAa2AgQPcBAADXAwAADgAAAAAAAAABACAAAAAnAQAAZHJzL2Uyb0RvYy54&#10;bWxQSwUGAAAAAAYABgBZAQAAkAUAAAAA&#10;">
                        <v:fill on="f" focussize="0,0"/>
                        <v:stroke on="f"/>
                        <v:imagedata o:title=""/>
                        <o:lock v:ext="edit" aspectratio="f"/>
                        <v:textbox>
                          <w:txbxContent>
                            <w:p>
                              <w:pPr>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5005.11</w:t>
                              </w:r>
                            </w:p>
                          </w:txbxContent>
                        </v:textbox>
                      </v:rect>
                      <v:rect id="Rectangle 23" o:spid="_x0000_s1026" o:spt="1" style="position:absolute;left:3513455;top:2551430;height:333375;width:1047750;" filled="f" stroked="f" coordsize="21600,21600" o:gfxdata="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P2LHYAAAABQEAAA8AAAAAAAAAAQAgAAAAIgAAAGRycy9kb3ducmV2Lnht&#10;bFBLAQIUABQAAAAIAIdO4kBTF5x/+QEAANkDAAAOAAAAAAAAAAEAIAAAACcBAABkcnMvZTJvRG9j&#10;LnhtbFBLBQYAAAAABgAGAFkBAACSBQAAAAA=&#10;">
                        <v:fill on="f" focussize="0,0"/>
                        <v:stroke on="f"/>
                        <v:imagedata o:title=""/>
                        <o:lock v:ext="edit" aspectratio="f"/>
                        <v:textbox>
                          <w:txbxContent>
                            <w:p>
                              <w:pPr>
                                <w:jc w:val="left"/>
                                <w:rPr>
                                  <w:rFonts w:hint="eastAsia" w:eastAsia="宋体"/>
                                  <w:color w:val="auto"/>
                                  <w:u w:val="none"/>
                                  <w:lang w:val="en-US" w:eastAsia="zh-CN"/>
                                </w:rPr>
                              </w:pPr>
                              <w:r>
                                <w:rPr>
                                  <w:rFonts w:hint="eastAsia"/>
                                  <w:color w:val="auto"/>
                                  <w:u w:val="none"/>
                                  <w:lang w:eastAsia="zh-CN"/>
                                </w:rPr>
                                <w:t>厂家回收处理</w:t>
                              </w:r>
                            </w:p>
                          </w:txbxContent>
                        </v:textbox>
                      </v:rect>
                      <v:shape id="AutoShape 14" o:spid="_x0000_s1026" o:spt="32" type="#_x0000_t32" style="position:absolute;left:1303655;top:2694305;height:635;width:419100;" filled="f" stroked="t" coordsize="21600,21600" o:gfxdata="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9T&#10;P9TXAAAABQEAAA8AAAAAAAAAAQAgAAAAIgAAAGRycy9kb3ducmV2LnhtbFBLAQIUABQAAAAIAIdO&#10;4kBxCeGL6wEAAK8DAAAOAAAAAAAAAAEAIAAAACYBAABkcnMvZTJvRG9jLnhtbFBLBQYAAAAABgAG&#10;AFkBAACDBQAAAAA=&#10;">
                        <v:fill on="f" focussize="0,0"/>
                        <v:stroke color="#000000" joinstyle="round" endarrow="block"/>
                        <v:imagedata o:title=""/>
                        <o:lock v:ext="edit" aspectratio="f"/>
                      </v:shape>
                      <v:shape id="AutoShape 13" o:spid="_x0000_s1026" o:spt="32" type="#_x0000_t32" style="position:absolute;left:1275080;top:1303655;height:635;width:419100;" filled="f" stroked="t" coordsize="21600,21600" o:gfxdata="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vUz/U&#10;1wAAAAUBAAAPAAAAAAAAAAEAIAAAACIAAABkcnMvZG93bnJldi54bWxQSwECFAAUAAAACACHTuJA&#10;RzozPOkBAACvAwAADgAAAAAAAAABACAAAAAmAQAAZHJzL2Uyb0RvYy54bWxQSwUGAAAAAAYABgBZ&#10;AQAAgQUAAAAA&#10;">
                        <v:fill on="f" focussize="0,0"/>
                        <v:stroke color="#000000" joinstyle="round" endarrow="block"/>
                        <v:imagedata o:title=""/>
                        <o:lock v:ext="edit" aspectratio="f"/>
                      </v:shape>
                      <v:rect id="Rectangle 15" o:spid="_x0000_s1026" o:spt="1" style="position:absolute;left:1732280;top:1151255;height:285750;width:923925;" filled="f" stroked="t" coordsize="21600,21600" o:gfxdata="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Q9&#10;S8LVAAAABQEAAA8AAAAAAAAAAQAgAAAAIgAAAGRycy9kb3ducmV2LnhtbFBLAQIUABQAAAAIAIdO&#10;4kDjps7oJgIAACwEAAAOAAAAAAAAAAEAIAAAACQBAABkcnMvZTJvRG9jLnhtbFBLBQYAAAAABgAG&#10;AFkBAAC8BQAAAAA=&#10;">
                        <v:fill on="f" focussize="0,0"/>
                        <v:stroke color="#000000" miterlimit="8" joinstyle="miter"/>
                        <v:imagedata o:title=""/>
                        <o:lock v:ext="edit" aspectratio="f"/>
                        <v:textbox>
                          <w:txbxContent>
                            <w:p>
                              <w:pPr>
                                <w:jc w:val="left"/>
                                <w:rPr>
                                  <w:rFonts w:hint="eastAsia" w:eastAsia="宋体"/>
                                  <w:lang w:val="en-US" w:eastAsia="zh-CN"/>
                                </w:rPr>
                              </w:pPr>
                              <w:r>
                                <w:rPr>
                                  <w:rFonts w:hint="eastAsia"/>
                                  <w:lang w:eastAsia="zh-CN"/>
                                </w:rPr>
                                <w:t>不合格成品</w:t>
                              </w:r>
                            </w:p>
                          </w:txbxContent>
                        </v:textbox>
                      </v:rect>
                      <v:rect id="Rectangle 34" o:spid="_x0000_s1026" o:spt="1" style="position:absolute;left:998855;top:313055;height:333375;width:855980;" filled="f" stroked="f" coordsize="21600,21600" o:gfxdata="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E/YsdgAAAAFAQAADwAAAAAAAAABACAAAAAiAAAAZHJzL2Rvd25yZXYueG1sUEsB&#10;AhQAFAAAAAgAh07iQKSyLTn1AQAA1gMAAA4AAAAAAAAAAQAgAAAAJwEAAGRycy9lMm9Eb2MueG1s&#10;UEsFBgAAAAAGAAYAWQEAAI4FAAAAAA==&#10;">
                        <v:fill on="f" focussize="0,0"/>
                        <v:stroke on="f"/>
                        <v:imagedata o:title=""/>
                        <o:lock v:ext="edit" aspectratio="f"/>
                        <v:textbox>
                          <w:txbxContent>
                            <w:p>
                              <w:pPr>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125</w:t>
                              </w:r>
                            </w:p>
                          </w:txbxContent>
                        </v:textbox>
                      </v:rect>
                      <v:rect id="Rectangle 34" o:spid="_x0000_s1026" o:spt="1" style="position:absolute;left:1208405;top:1017905;height:333375;width:494665;" filled="f" stroked="f" coordsize="21600,21600" o:gfxdata="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hP2LHYAAAABQEAAA8AAAAAAAAAAQAgAAAAIgAAAGRycy9kb3ducmV2LnhtbFBL&#10;AQIUABQAAAAIAIdO4kCEw7LQ9gEAANgDAAAOAAAAAAAAAAEAIAAAACcBAABkcnMvZTJvRG9jLnht&#10;bFBLBQYAAAAABgAGAFkBAACPBQAAAAA=&#10;">
                        <v:fill on="f" focussize="0,0"/>
                        <v:stroke on="f"/>
                        <v:imagedata o:title=""/>
                        <o:lock v:ext="edit" aspectratio="f"/>
                        <v:textbox>
                          <w:txbxContent>
                            <w:p>
                              <w:pPr>
                                <w:jc w:val="center"/>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125</w:t>
                              </w:r>
                            </w:p>
                          </w:txbxContent>
                        </v:textbox>
                      </v:rect>
                      <w10:wrap type="none"/>
                      <w10:anchorlock/>
                    </v:group>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2" w:hRule="atLeast"/>
          <w:jc w:val="center"/>
        </w:trPr>
        <w:tc>
          <w:tcPr>
            <w:tcW w:w="998"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b/>
                <w:bCs/>
                <w:sz w:val="24"/>
                <w:szCs w:val="24"/>
              </w:rPr>
              <w:t>工艺流程和产排污环节</w:t>
            </w:r>
          </w:p>
        </w:tc>
        <w:tc>
          <w:tcPr>
            <w:tcW w:w="8958" w:type="dxa"/>
            <w:vAlign w:val="top"/>
          </w:tcPr>
          <w:p>
            <w:pPr>
              <w:pStyle w:val="16"/>
              <w:adjustRightInd/>
              <w:spacing w:line="360" w:lineRule="auto"/>
              <w:ind w:left="0" w:right="0" w:firstLine="0"/>
              <w:jc w:val="both"/>
              <w:rPr>
                <w:rFonts w:hint="default" w:ascii="Times New Roman" w:hAnsi="Times New Roman" w:cs="Times New Roman"/>
                <w:b/>
                <w:bCs/>
                <w:sz w:val="24"/>
                <w:szCs w:val="24"/>
              </w:rPr>
            </w:pPr>
            <w:r>
              <w:rPr>
                <w:rFonts w:hint="default" w:ascii="Times New Roman" w:hAnsi="Times New Roman" w:cs="Times New Roman"/>
                <w:b/>
                <w:bCs/>
                <w:sz w:val="24"/>
                <w:szCs w:val="24"/>
              </w:rPr>
              <w:t>一、施工期</w:t>
            </w:r>
          </w:p>
          <w:p>
            <w:pPr>
              <w:spacing w:line="360" w:lineRule="auto"/>
              <w:ind w:firstLine="500" w:firstLineChars="200"/>
              <w:rPr>
                <w:rFonts w:hint="default" w:ascii="Times New Roman" w:hAnsi="Times New Roman" w:cs="Times New Roman"/>
                <w:sz w:val="24"/>
                <w:szCs w:val="24"/>
              </w:rPr>
            </w:pPr>
            <w:r>
              <w:rPr>
                <w:rFonts w:hint="default" w:ascii="Times New Roman" w:hAnsi="Times New Roman" w:cs="Times New Roman"/>
                <w:sz w:val="24"/>
                <w:szCs w:val="24"/>
              </w:rPr>
              <w:t>项目工程量较小，施工期较短；施工过程对环境的影响主要为施工产生的少量扬尘和粉尘，施工人员生活污水和施工废水，施工机械运转、物料装卸运输产生的噪声以及施工人员产生的生活垃圾。</w:t>
            </w:r>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二、运营期</w:t>
            </w:r>
          </w:p>
          <w:p>
            <w:pPr>
              <w:keepNext w:val="0"/>
              <w:keepLines w:val="0"/>
              <w:pageBreakBefore w:val="0"/>
              <w:kinsoku/>
              <w:wordWrap/>
              <w:overflowPunct/>
              <w:topLinePunct w:val="0"/>
              <w:autoSpaceDE/>
              <w:autoSpaceDN/>
              <w:bidi w:val="0"/>
              <w:adjustRightInd/>
              <w:spacing w:line="360" w:lineRule="auto"/>
              <w:ind w:firstLine="491" w:firstLineChars="19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工艺流程及产污环节见下图：</w:t>
            </w:r>
          </w:p>
          <w:p>
            <w:pPr>
              <w:pStyle w:val="8"/>
              <w:ind w:left="0" w:leftChars="0" w:firstLine="0" w:firstLineChars="0"/>
              <w:jc w:val="center"/>
              <w:rPr>
                <w:rFonts w:hint="default" w:ascii="Times New Roman" w:hAnsi="Times New Roman" w:cs="Times New Roman"/>
                <w:color w:val="auto"/>
                <w:u w:val="none"/>
                <w:lang w:val="en-US" w:eastAsia="zh-CN"/>
              </w:rPr>
            </w:pPr>
            <w:r>
              <w:rPr>
                <w:color w:val="000000"/>
                <w:szCs w:val="24"/>
              </w:rPr>
              <mc:AlternateContent>
                <mc:Choice Requires="wpc">
                  <w:drawing>
                    <wp:inline distT="0" distB="0" distL="0" distR="0">
                      <wp:extent cx="5181600" cy="5134610"/>
                      <wp:effectExtent l="0" t="0" r="0" b="0"/>
                      <wp:docPr id="90" name="画布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 name="Rectangle 4"/>
                              <wps:cNvSpPr>
                                <a:spLocks noChangeArrowheads="1"/>
                              </wps:cNvSpPr>
                              <wps:spPr bwMode="auto">
                                <a:xfrm>
                                  <a:off x="1524000" y="533400"/>
                                  <a:ext cx="2057400" cy="295275"/>
                                </a:xfrm>
                                <a:prstGeom prst="rect">
                                  <a:avLst/>
                                </a:prstGeom>
                                <a:noFill/>
                                <a:ln w="9525" algn="ctr">
                                  <a:noFill/>
                                  <a:miter lim="800000"/>
                                </a:ln>
                                <a:effectLst/>
                              </wps:spPr>
                              <wps:txbx>
                                <w:txbxContent>
                                  <w:p>
                                    <w:pPr>
                                      <w:jc w:val="center"/>
                                      <w:rPr>
                                        <w:rFonts w:hint="eastAsia" w:eastAsia="宋体"/>
                                        <w:lang w:val="en-US" w:eastAsia="zh-CN"/>
                                      </w:rPr>
                                    </w:pPr>
                                    <w:r>
                                      <w:rPr>
                                        <w:rFonts w:hint="eastAsia"/>
                                        <w:lang w:eastAsia="zh-CN"/>
                                      </w:rPr>
                                      <w:t>外购干净的废塑料碎片</w:t>
                                    </w:r>
                                  </w:p>
                                </w:txbxContent>
                              </wps:txbx>
                              <wps:bodyPr rot="0" vert="horz" wrap="square" lIns="91440" tIns="45720" rIns="91440" bIns="45720" anchor="t" anchorCtr="0" upright="1">
                                <a:noAutofit/>
                              </wps:bodyPr>
                            </wps:wsp>
                            <wps:wsp>
                              <wps:cNvPr id="17" name="AutoShape 5"/>
                              <wps:cNvCnPr>
                                <a:cxnSpLocks noChangeShapeType="1"/>
                              </wps:cNvCnPr>
                              <wps:spPr bwMode="auto">
                                <a:xfrm>
                                  <a:off x="2550795" y="847725"/>
                                  <a:ext cx="1270" cy="248285"/>
                                </a:xfrm>
                                <a:prstGeom prst="straightConnector1">
                                  <a:avLst/>
                                </a:prstGeom>
                                <a:noFill/>
                                <a:ln w="9525">
                                  <a:solidFill>
                                    <a:srgbClr val="000000"/>
                                  </a:solidFill>
                                  <a:round/>
                                  <a:tailEnd type="triangle" w="med" len="med"/>
                                </a:ln>
                                <a:effectLst/>
                              </wps:spPr>
                              <wps:bodyPr/>
                            </wps:wsp>
                            <wps:wsp>
                              <wps:cNvPr id="19" name="Rectangle 7"/>
                              <wps:cNvSpPr>
                                <a:spLocks noChangeArrowheads="1"/>
                              </wps:cNvSpPr>
                              <wps:spPr bwMode="auto">
                                <a:xfrm>
                                  <a:off x="2097405" y="1085850"/>
                                  <a:ext cx="923925" cy="295275"/>
                                </a:xfrm>
                                <a:prstGeom prst="rect">
                                  <a:avLst/>
                                </a:prstGeom>
                                <a:noFill/>
                                <a:ln w="9525" algn="ctr">
                                  <a:solidFill>
                                    <a:srgbClr val="000000"/>
                                  </a:solidFill>
                                  <a:miter lim="800000"/>
                                </a:ln>
                                <a:effectLst/>
                              </wps:spPr>
                              <wps:txbx>
                                <w:txbxContent>
                                  <w:p>
                                    <w:pPr>
                                      <w:jc w:val="center"/>
                                      <w:rPr>
                                        <w:rFonts w:hint="eastAsia" w:eastAsia="宋体"/>
                                        <w:lang w:eastAsia="zh-CN"/>
                                      </w:rPr>
                                    </w:pPr>
                                    <w:r>
                                      <w:rPr>
                                        <w:rFonts w:hint="eastAsia"/>
                                        <w:lang w:eastAsia="zh-CN"/>
                                      </w:rPr>
                                      <w:t>原料均化仓</w:t>
                                    </w:r>
                                  </w:p>
                                </w:txbxContent>
                              </wps:txbx>
                              <wps:bodyPr rot="0" vert="horz" wrap="square" lIns="91440" tIns="45720" rIns="91440" bIns="45720" anchor="t" anchorCtr="0" upright="1">
                                <a:noAutofit/>
                              </wps:bodyPr>
                            </wps:wsp>
                            <wps:wsp>
                              <wps:cNvPr id="30" name="AutoShape 9"/>
                              <wps:cNvCnPr>
                                <a:cxnSpLocks noChangeShapeType="1"/>
                              </wps:cNvCnPr>
                              <wps:spPr bwMode="auto">
                                <a:xfrm>
                                  <a:off x="2560320" y="1381125"/>
                                  <a:ext cx="1270" cy="247650"/>
                                </a:xfrm>
                                <a:prstGeom prst="straightConnector1">
                                  <a:avLst/>
                                </a:prstGeom>
                                <a:noFill/>
                                <a:ln w="9525">
                                  <a:solidFill>
                                    <a:srgbClr val="000000"/>
                                  </a:solidFill>
                                  <a:round/>
                                  <a:tailEnd type="triangle" w="med" len="med"/>
                                </a:ln>
                                <a:effectLst/>
                              </wps:spPr>
                              <wps:bodyPr/>
                            </wps:wsp>
                            <wps:wsp>
                              <wps:cNvPr id="31" name="Rectangle 12"/>
                              <wps:cNvSpPr>
                                <a:spLocks noChangeArrowheads="1"/>
                              </wps:cNvSpPr>
                              <wps:spPr bwMode="auto">
                                <a:xfrm>
                                  <a:off x="2097405" y="1620520"/>
                                  <a:ext cx="923925" cy="294640"/>
                                </a:xfrm>
                                <a:prstGeom prst="rect">
                                  <a:avLst/>
                                </a:prstGeom>
                                <a:noFill/>
                                <a:ln w="9525" algn="ctr">
                                  <a:solidFill>
                                    <a:srgbClr val="000000"/>
                                  </a:solidFill>
                                  <a:miter lim="800000"/>
                                </a:ln>
                                <a:effectLst/>
                              </wps:spPr>
                              <wps:txbx>
                                <w:txbxContent>
                                  <w:p>
                                    <w:pPr>
                                      <w:jc w:val="center"/>
                                    </w:pPr>
                                    <w:r>
                                      <w:rPr>
                                        <w:rFonts w:hint="eastAsia"/>
                                      </w:rPr>
                                      <w:t>熔融挤出</w:t>
                                    </w:r>
                                  </w:p>
                                </w:txbxContent>
                              </wps:txbx>
                              <wps:bodyPr rot="0" vert="horz" wrap="square" lIns="91440" tIns="45720" rIns="91440" bIns="45720" anchor="t" anchorCtr="0" upright="1">
                                <a:noAutofit/>
                              </wps:bodyPr>
                            </wps:wsp>
                            <wps:wsp>
                              <wps:cNvPr id="32" name="AutoShape 14"/>
                              <wps:cNvCnPr>
                                <a:cxnSpLocks noChangeShapeType="1"/>
                              </wps:cNvCnPr>
                              <wps:spPr bwMode="auto">
                                <a:xfrm>
                                  <a:off x="2550795" y="1934210"/>
                                  <a:ext cx="1270" cy="247015"/>
                                </a:xfrm>
                                <a:prstGeom prst="straightConnector1">
                                  <a:avLst/>
                                </a:prstGeom>
                                <a:noFill/>
                                <a:ln w="9525">
                                  <a:solidFill>
                                    <a:srgbClr val="000000"/>
                                  </a:solidFill>
                                  <a:round/>
                                  <a:tailEnd type="triangle" w="med" len="med"/>
                                </a:ln>
                                <a:effectLst/>
                              </wps:spPr>
                              <wps:bodyPr/>
                            </wps:wsp>
                            <wps:wsp>
                              <wps:cNvPr id="33" name="Rectangle 15"/>
                              <wps:cNvSpPr>
                                <a:spLocks noChangeArrowheads="1"/>
                              </wps:cNvSpPr>
                              <wps:spPr bwMode="auto">
                                <a:xfrm>
                                  <a:off x="2116455" y="2190750"/>
                                  <a:ext cx="923925" cy="296545"/>
                                </a:xfrm>
                                <a:prstGeom prst="rect">
                                  <a:avLst/>
                                </a:prstGeom>
                                <a:noFill/>
                                <a:ln w="9525" algn="ctr">
                                  <a:solidFill>
                                    <a:srgbClr val="000000"/>
                                  </a:solidFill>
                                  <a:miter lim="800000"/>
                                </a:ln>
                                <a:effectLst/>
                              </wps:spPr>
                              <wps:txbx>
                                <w:txbxContent>
                                  <w:p>
                                    <w:pPr>
                                      <w:jc w:val="center"/>
                                    </w:pPr>
                                    <w:r>
                                      <w:rPr>
                                        <w:rFonts w:hint="eastAsia"/>
                                      </w:rPr>
                                      <w:t>冷却</w:t>
                                    </w:r>
                                  </w:p>
                                </w:txbxContent>
                              </wps:txbx>
                              <wps:bodyPr rot="0" vert="horz" wrap="square" lIns="91440" tIns="45720" rIns="91440" bIns="45720" anchor="t" anchorCtr="0" upright="1">
                                <a:noAutofit/>
                              </wps:bodyPr>
                            </wps:wsp>
                            <wps:wsp>
                              <wps:cNvPr id="34" name="Rectangle 16"/>
                              <wps:cNvSpPr>
                                <a:spLocks noChangeArrowheads="1"/>
                              </wps:cNvSpPr>
                              <wps:spPr bwMode="auto">
                                <a:xfrm>
                                  <a:off x="2097405" y="2724785"/>
                                  <a:ext cx="923925" cy="294640"/>
                                </a:xfrm>
                                <a:prstGeom prst="rect">
                                  <a:avLst/>
                                </a:prstGeom>
                                <a:noFill/>
                                <a:ln w="9525" algn="ctr">
                                  <a:solidFill>
                                    <a:srgbClr val="000000"/>
                                  </a:solidFill>
                                  <a:miter lim="800000"/>
                                </a:ln>
                                <a:effectLst/>
                              </wps:spPr>
                              <wps:txbx>
                                <w:txbxContent>
                                  <w:p>
                                    <w:pPr>
                                      <w:jc w:val="center"/>
                                    </w:pPr>
                                    <w:r>
                                      <w:rPr>
                                        <w:rFonts w:hint="eastAsia"/>
                                      </w:rPr>
                                      <w:t>切粒</w:t>
                                    </w:r>
                                  </w:p>
                                </w:txbxContent>
                              </wps:txbx>
                              <wps:bodyPr rot="0" vert="horz" wrap="square" lIns="91440" tIns="45720" rIns="91440" bIns="45720" anchor="t" anchorCtr="0" upright="1">
                                <a:noAutofit/>
                              </wps:bodyPr>
                            </wps:wsp>
                            <wps:wsp>
                              <wps:cNvPr id="35" name="AutoShape 17"/>
                              <wps:cNvCnPr>
                                <a:cxnSpLocks noChangeShapeType="1"/>
                              </wps:cNvCnPr>
                              <wps:spPr bwMode="auto">
                                <a:xfrm>
                                  <a:off x="2559050" y="2506345"/>
                                  <a:ext cx="1270" cy="247015"/>
                                </a:xfrm>
                                <a:prstGeom prst="straightConnector1">
                                  <a:avLst/>
                                </a:prstGeom>
                                <a:noFill/>
                                <a:ln w="9525">
                                  <a:solidFill>
                                    <a:srgbClr val="000000"/>
                                  </a:solidFill>
                                  <a:round/>
                                  <a:tailEnd type="triangle" w="med" len="med"/>
                                </a:ln>
                                <a:effectLst/>
                              </wps:spPr>
                              <wps:bodyPr/>
                            </wps:wsp>
                            <wps:wsp>
                              <wps:cNvPr id="39" name="Rectangle 18"/>
                              <wps:cNvSpPr>
                                <a:spLocks noChangeArrowheads="1"/>
                              </wps:cNvSpPr>
                              <wps:spPr bwMode="auto">
                                <a:xfrm>
                                  <a:off x="2097405" y="4323715"/>
                                  <a:ext cx="923925" cy="294640"/>
                                </a:xfrm>
                                <a:prstGeom prst="rect">
                                  <a:avLst/>
                                </a:prstGeom>
                                <a:noFill/>
                                <a:ln w="9525" algn="ctr">
                                  <a:solidFill>
                                    <a:srgbClr val="000000"/>
                                  </a:solidFill>
                                  <a:miter lim="800000"/>
                                </a:ln>
                                <a:effectLst/>
                              </wps:spPr>
                              <wps:txbx>
                                <w:txbxContent>
                                  <w:p>
                                    <w:pPr>
                                      <w:jc w:val="center"/>
                                    </w:pPr>
                                    <w:r>
                                      <w:rPr>
                                        <w:rFonts w:hint="eastAsia"/>
                                      </w:rPr>
                                      <w:t>包装</w:t>
                                    </w:r>
                                  </w:p>
                                </w:txbxContent>
                              </wps:txbx>
                              <wps:bodyPr rot="0" vert="horz" wrap="square" lIns="91440" tIns="45720" rIns="91440" bIns="45720" anchor="t" anchorCtr="0" upright="1">
                                <a:noAutofit/>
                              </wps:bodyPr>
                            </wps:wsp>
                            <wps:wsp>
                              <wps:cNvPr id="41" name="AutoShape 19"/>
                              <wps:cNvCnPr>
                                <a:cxnSpLocks noChangeShapeType="1"/>
                              </wps:cNvCnPr>
                              <wps:spPr bwMode="auto">
                                <a:xfrm>
                                  <a:off x="1717675" y="1826260"/>
                                  <a:ext cx="363220" cy="635"/>
                                </a:xfrm>
                                <a:prstGeom prst="straightConnector1">
                                  <a:avLst/>
                                </a:prstGeom>
                                <a:noFill/>
                                <a:ln w="9525">
                                  <a:solidFill>
                                    <a:srgbClr val="000000"/>
                                  </a:solidFill>
                                  <a:round/>
                                  <a:tailEnd type="triangle" w="med" len="med"/>
                                </a:ln>
                                <a:effectLst/>
                              </wps:spPr>
                              <wps:bodyPr/>
                            </wps:wsp>
                            <wps:wsp>
                              <wps:cNvPr id="47" name="AutoShape 22"/>
                              <wps:cNvCnPr>
                                <a:cxnSpLocks noChangeShapeType="1"/>
                              </wps:cNvCnPr>
                              <wps:spPr bwMode="auto">
                                <a:xfrm>
                                  <a:off x="3021330" y="1233805"/>
                                  <a:ext cx="333375" cy="1270"/>
                                </a:xfrm>
                                <a:prstGeom prst="straightConnector1">
                                  <a:avLst/>
                                </a:prstGeom>
                                <a:noFill/>
                                <a:ln w="9525">
                                  <a:solidFill>
                                    <a:srgbClr val="000000"/>
                                  </a:solidFill>
                                  <a:prstDash val="dashDot"/>
                                  <a:round/>
                                  <a:tailEnd type="triangle" w="med" len="med"/>
                                </a:ln>
                                <a:effectLst/>
                              </wps:spPr>
                              <wps:bodyPr/>
                            </wps:wsp>
                            <wps:wsp>
                              <wps:cNvPr id="48" name="Rectangle 23"/>
                              <wps:cNvSpPr>
                                <a:spLocks noChangeArrowheads="1"/>
                              </wps:cNvSpPr>
                              <wps:spPr bwMode="auto">
                                <a:xfrm>
                                  <a:off x="3307080" y="1086485"/>
                                  <a:ext cx="1275080" cy="294640"/>
                                </a:xfrm>
                                <a:prstGeom prst="rect">
                                  <a:avLst/>
                                </a:prstGeom>
                                <a:noFill/>
                                <a:ln>
                                  <a:noFill/>
                                </a:ln>
                                <a:effectLst/>
                              </wps:spPr>
                              <wps:txbx>
                                <w:txbxContent>
                                  <w:p>
                                    <w:pPr>
                                      <w:jc w:val="center"/>
                                      <w:rPr>
                                        <w:rFonts w:hint="eastAsia" w:eastAsia="宋体"/>
                                        <w:lang w:eastAsia="zh-CN"/>
                                      </w:rPr>
                                    </w:pPr>
                                    <w:r>
                                      <w:rPr>
                                        <w:rFonts w:hint="eastAsia"/>
                                      </w:rPr>
                                      <w:t>噪声</w:t>
                                    </w:r>
                                    <w:r>
                                      <w:rPr>
                                        <w:rFonts w:hint="eastAsia"/>
                                        <w:lang w:eastAsia="zh-CN"/>
                                      </w:rPr>
                                      <w:t>、固废</w:t>
                                    </w:r>
                                  </w:p>
                                </w:txbxContent>
                              </wps:txbx>
                              <wps:bodyPr rot="0" vert="horz" wrap="square" lIns="91440" tIns="45720" rIns="91440" bIns="45720" anchor="t" anchorCtr="0" upright="1">
                                <a:noAutofit/>
                              </wps:bodyPr>
                            </wps:wsp>
                            <wps:wsp>
                              <wps:cNvPr id="51" name="AutoShape 28"/>
                              <wps:cNvCnPr>
                                <a:cxnSpLocks noChangeShapeType="1"/>
                              </wps:cNvCnPr>
                              <wps:spPr bwMode="auto">
                                <a:xfrm>
                                  <a:off x="3059430" y="2367915"/>
                                  <a:ext cx="333375" cy="1270"/>
                                </a:xfrm>
                                <a:prstGeom prst="straightConnector1">
                                  <a:avLst/>
                                </a:prstGeom>
                                <a:noFill/>
                                <a:ln w="9525">
                                  <a:solidFill>
                                    <a:srgbClr val="000000"/>
                                  </a:solidFill>
                                  <a:prstDash val="dashDot"/>
                                  <a:round/>
                                  <a:tailEnd type="triangle" w="med" len="med"/>
                                </a:ln>
                                <a:effectLst/>
                              </wps:spPr>
                              <wps:bodyPr/>
                            </wps:wsp>
                            <wps:wsp>
                              <wps:cNvPr id="52" name="Rectangle 29"/>
                              <wps:cNvSpPr>
                                <a:spLocks noChangeArrowheads="1"/>
                              </wps:cNvSpPr>
                              <wps:spPr bwMode="auto">
                                <a:xfrm>
                                  <a:off x="3263265" y="1624965"/>
                                  <a:ext cx="1466850" cy="294640"/>
                                </a:xfrm>
                                <a:prstGeom prst="rect">
                                  <a:avLst/>
                                </a:prstGeom>
                                <a:noFill/>
                                <a:ln>
                                  <a:noFill/>
                                </a:ln>
                                <a:effectLst/>
                              </wps:spPr>
                              <wps:txbx>
                                <w:txbxContent>
                                  <w:p>
                                    <w:pPr>
                                      <w:jc w:val="center"/>
                                    </w:pPr>
                                    <w:r>
                                      <w:rPr>
                                        <w:rFonts w:hint="eastAsia"/>
                                      </w:rPr>
                                      <w:t>废气、噪声、固废</w:t>
                                    </w:r>
                                  </w:p>
                                </w:txbxContent>
                              </wps:txbx>
                              <wps:bodyPr rot="0" vert="horz" wrap="square" lIns="91440" tIns="45720" rIns="91440" bIns="45720" anchor="t" anchorCtr="0" upright="1">
                                <a:noAutofit/>
                              </wps:bodyPr>
                            </wps:wsp>
                            <wps:wsp>
                              <wps:cNvPr id="53" name="AutoShape 30"/>
                              <wps:cNvCnPr>
                                <a:cxnSpLocks noChangeShapeType="1"/>
                              </wps:cNvCnPr>
                              <wps:spPr bwMode="auto">
                                <a:xfrm>
                                  <a:off x="3021330" y="1778000"/>
                                  <a:ext cx="333375" cy="1270"/>
                                </a:xfrm>
                                <a:prstGeom prst="straightConnector1">
                                  <a:avLst/>
                                </a:prstGeom>
                                <a:noFill/>
                                <a:ln w="9525">
                                  <a:solidFill>
                                    <a:srgbClr val="000000"/>
                                  </a:solidFill>
                                  <a:prstDash val="dashDot"/>
                                  <a:round/>
                                  <a:tailEnd type="triangle" w="med" len="med"/>
                                </a:ln>
                                <a:effectLst/>
                              </wps:spPr>
                              <wps:bodyPr/>
                            </wps:wsp>
                            <wps:wsp>
                              <wps:cNvPr id="54" name="Rectangle 31"/>
                              <wps:cNvSpPr>
                                <a:spLocks noChangeArrowheads="1"/>
                              </wps:cNvSpPr>
                              <wps:spPr bwMode="auto">
                                <a:xfrm>
                                  <a:off x="3373755" y="2221230"/>
                                  <a:ext cx="675640" cy="294640"/>
                                </a:xfrm>
                                <a:prstGeom prst="rect">
                                  <a:avLst/>
                                </a:prstGeom>
                                <a:noFill/>
                                <a:ln>
                                  <a:noFill/>
                                </a:ln>
                                <a:effectLst/>
                              </wps:spPr>
                              <wps:txbx>
                                <w:txbxContent>
                                  <w:p>
                                    <w:pPr>
                                      <w:jc w:val="center"/>
                                    </w:pPr>
                                    <w:r>
                                      <w:rPr>
                                        <w:rFonts w:hint="eastAsia"/>
                                      </w:rPr>
                                      <w:t>冷却水</w:t>
                                    </w:r>
                                  </w:p>
                                </w:txbxContent>
                              </wps:txbx>
                              <wps:bodyPr rot="0" vert="horz" wrap="square" lIns="91440" tIns="45720" rIns="91440" bIns="45720" anchor="t" anchorCtr="0" upright="1">
                                <a:noAutofit/>
                              </wps:bodyPr>
                            </wps:wsp>
                            <wps:wsp>
                              <wps:cNvPr id="55" name="AutoShape 32"/>
                              <wps:cNvCnPr>
                                <a:cxnSpLocks noChangeShapeType="1"/>
                              </wps:cNvCnPr>
                              <wps:spPr bwMode="auto">
                                <a:xfrm>
                                  <a:off x="3011805" y="2881630"/>
                                  <a:ext cx="333375" cy="1270"/>
                                </a:xfrm>
                                <a:prstGeom prst="straightConnector1">
                                  <a:avLst/>
                                </a:prstGeom>
                                <a:noFill/>
                                <a:ln w="9525">
                                  <a:solidFill>
                                    <a:srgbClr val="000000"/>
                                  </a:solidFill>
                                  <a:prstDash val="dashDot"/>
                                  <a:round/>
                                  <a:tailEnd type="triangle" w="med" len="med"/>
                                </a:ln>
                                <a:effectLst/>
                              </wps:spPr>
                              <wps:bodyPr/>
                            </wps:wsp>
                            <wps:wsp>
                              <wps:cNvPr id="56" name="Rectangle 33"/>
                              <wps:cNvSpPr>
                                <a:spLocks noChangeArrowheads="1"/>
                              </wps:cNvSpPr>
                              <wps:spPr bwMode="auto">
                                <a:xfrm>
                                  <a:off x="3402330" y="2781935"/>
                                  <a:ext cx="494665" cy="294640"/>
                                </a:xfrm>
                                <a:prstGeom prst="rect">
                                  <a:avLst/>
                                </a:prstGeom>
                                <a:noFill/>
                                <a:ln>
                                  <a:noFill/>
                                </a:ln>
                                <a:effectLst/>
                              </wps:spPr>
                              <wps:txbx>
                                <w:txbxContent>
                                  <w:p>
                                    <w:pPr>
                                      <w:jc w:val="center"/>
                                    </w:pPr>
                                    <w:r>
                                      <w:rPr>
                                        <w:rFonts w:hint="eastAsia"/>
                                      </w:rPr>
                                      <w:t>噪声</w:t>
                                    </w:r>
                                  </w:p>
                                </w:txbxContent>
                              </wps:txbx>
                              <wps:bodyPr rot="0" vert="horz" wrap="square" lIns="91440" tIns="45720" rIns="91440" bIns="45720" anchor="t" anchorCtr="0" upright="1">
                                <a:noAutofit/>
                              </wps:bodyPr>
                            </wps:wsp>
                            <wps:wsp>
                              <wps:cNvPr id="57" name="AutoShape 34"/>
                              <wps:cNvCnPr>
                                <a:cxnSpLocks noChangeShapeType="1"/>
                              </wps:cNvCnPr>
                              <wps:spPr bwMode="auto">
                                <a:xfrm>
                                  <a:off x="3021330" y="4461510"/>
                                  <a:ext cx="333375" cy="1270"/>
                                </a:xfrm>
                                <a:prstGeom prst="straightConnector1">
                                  <a:avLst/>
                                </a:prstGeom>
                                <a:noFill/>
                                <a:ln w="9525">
                                  <a:solidFill>
                                    <a:srgbClr val="000000"/>
                                  </a:solidFill>
                                  <a:prstDash val="dashDot"/>
                                  <a:round/>
                                  <a:tailEnd type="triangle" w="med" len="med"/>
                                </a:ln>
                                <a:effectLst/>
                              </wps:spPr>
                              <wps:bodyPr/>
                            </wps:wsp>
                            <wps:wsp>
                              <wps:cNvPr id="58" name="Rectangle 35"/>
                              <wps:cNvSpPr>
                                <a:spLocks noChangeArrowheads="1"/>
                              </wps:cNvSpPr>
                              <wps:spPr bwMode="auto">
                                <a:xfrm>
                                  <a:off x="3307080" y="4314190"/>
                                  <a:ext cx="875665" cy="294640"/>
                                </a:xfrm>
                                <a:prstGeom prst="rect">
                                  <a:avLst/>
                                </a:prstGeom>
                                <a:noFill/>
                                <a:ln>
                                  <a:noFill/>
                                </a:ln>
                                <a:effectLst/>
                              </wps:spPr>
                              <wps:txbx>
                                <w:txbxContent>
                                  <w:p>
                                    <w:pPr>
                                      <w:jc w:val="center"/>
                                    </w:pPr>
                                    <w:r>
                                      <w:rPr>
                                        <w:rFonts w:hint="eastAsia"/>
                                      </w:rPr>
                                      <w:t>噪声、固废</w:t>
                                    </w:r>
                                  </w:p>
                                </w:txbxContent>
                              </wps:txbx>
                              <wps:bodyPr rot="0" vert="horz" wrap="square" lIns="91440" tIns="45720" rIns="91440" bIns="45720" anchor="t" anchorCtr="0" upright="1">
                                <a:noAutofit/>
                              </wps:bodyPr>
                            </wps:wsp>
                            <wps:wsp>
                              <wps:cNvPr id="59" name="Rectangle 36"/>
                              <wps:cNvSpPr>
                                <a:spLocks noChangeArrowheads="1"/>
                              </wps:cNvSpPr>
                              <wps:spPr bwMode="auto">
                                <a:xfrm>
                                  <a:off x="2099945" y="4836795"/>
                                  <a:ext cx="923925" cy="294640"/>
                                </a:xfrm>
                                <a:prstGeom prst="rect">
                                  <a:avLst/>
                                </a:prstGeom>
                                <a:noFill/>
                                <a:ln w="9525" algn="ctr">
                                  <a:noFill/>
                                  <a:miter lim="800000"/>
                                </a:ln>
                                <a:effectLst/>
                              </wps:spPr>
                              <wps:txbx>
                                <w:txbxContent>
                                  <w:p>
                                    <w:pPr>
                                      <w:jc w:val="center"/>
                                      <w:rPr>
                                        <w:rFonts w:hint="eastAsia"/>
                                      </w:rPr>
                                    </w:pPr>
                                    <w:r>
                                      <w:rPr>
                                        <w:rFonts w:hint="eastAsia"/>
                                      </w:rPr>
                                      <w:t>成品</w:t>
                                    </w:r>
                                  </w:p>
                                </w:txbxContent>
                              </wps:txbx>
                              <wps:bodyPr rot="0" vert="horz" wrap="square" lIns="91440" tIns="45720" rIns="91440" bIns="45720" anchor="t" anchorCtr="0" upright="1">
                                <a:noAutofit/>
                              </wps:bodyPr>
                            </wps:wsp>
                            <wps:wsp>
                              <wps:cNvPr id="60" name="AutoShape 37"/>
                              <wps:cNvCnPr>
                                <a:cxnSpLocks noChangeShapeType="1"/>
                              </wps:cNvCnPr>
                              <wps:spPr bwMode="auto">
                                <a:xfrm>
                                  <a:off x="2561590" y="4627880"/>
                                  <a:ext cx="1270" cy="247015"/>
                                </a:xfrm>
                                <a:prstGeom prst="straightConnector1">
                                  <a:avLst/>
                                </a:prstGeom>
                                <a:noFill/>
                                <a:ln w="9525">
                                  <a:solidFill>
                                    <a:srgbClr val="000000"/>
                                  </a:solidFill>
                                  <a:round/>
                                  <a:tailEnd type="triangle" w="med" len="med"/>
                                </a:ln>
                                <a:effectLst/>
                              </wps:spPr>
                              <wps:bodyPr/>
                            </wps:wsp>
                            <wps:wsp>
                              <wps:cNvPr id="61" name="Rectangle 39"/>
                              <wps:cNvSpPr>
                                <a:spLocks noChangeArrowheads="1"/>
                              </wps:cNvSpPr>
                              <wps:spPr bwMode="auto">
                                <a:xfrm>
                                  <a:off x="1333500" y="1711960"/>
                                  <a:ext cx="404495" cy="294640"/>
                                </a:xfrm>
                                <a:prstGeom prst="rect">
                                  <a:avLst/>
                                </a:prstGeom>
                                <a:noFill/>
                                <a:ln>
                                  <a:noFill/>
                                </a:ln>
                                <a:effectLst/>
                              </wps:spPr>
                              <wps:txbx>
                                <w:txbxContent>
                                  <w:p>
                                    <w:pPr>
                                      <w:jc w:val="center"/>
                                    </w:pPr>
                                    <w:r>
                                      <w:rPr>
                                        <w:rFonts w:hint="eastAsia"/>
                                      </w:rPr>
                                      <w:t>电</w:t>
                                    </w:r>
                                  </w:p>
                                </w:txbxContent>
                              </wps:txbx>
                              <wps:bodyPr rot="0" vert="horz" wrap="square" lIns="91440" tIns="45720" rIns="91440" bIns="45720" anchor="t" anchorCtr="0" upright="1">
                                <a:noAutofit/>
                              </wps:bodyPr>
                            </wps:wsp>
                            <wps:wsp>
                              <wps:cNvPr id="62" name="AutoShape 40"/>
                              <wps:cNvCnPr>
                                <a:cxnSpLocks noChangeShapeType="1"/>
                              </wps:cNvCnPr>
                              <wps:spPr bwMode="auto">
                                <a:xfrm>
                                  <a:off x="2572385" y="3028950"/>
                                  <a:ext cx="1270" cy="247015"/>
                                </a:xfrm>
                                <a:prstGeom prst="straightConnector1">
                                  <a:avLst/>
                                </a:prstGeom>
                                <a:noFill/>
                                <a:ln w="9525">
                                  <a:solidFill>
                                    <a:srgbClr val="000000"/>
                                  </a:solidFill>
                                  <a:round/>
                                  <a:tailEnd type="triangle" w="med" len="med"/>
                                </a:ln>
                                <a:effectLst/>
                              </wps:spPr>
                              <wps:bodyPr/>
                            </wps:wsp>
                            <wps:wsp>
                              <wps:cNvPr id="4" name="Rectangle 18"/>
                              <wps:cNvSpPr>
                                <a:spLocks noChangeArrowheads="1"/>
                              </wps:cNvSpPr>
                              <wps:spPr bwMode="auto">
                                <a:xfrm>
                                  <a:off x="2094230" y="3818255"/>
                                  <a:ext cx="923925" cy="294640"/>
                                </a:xfrm>
                                <a:prstGeom prst="rect">
                                  <a:avLst/>
                                </a:prstGeom>
                                <a:noFill/>
                                <a:ln w="9525" algn="ctr">
                                  <a:solidFill>
                                    <a:srgbClr val="000000"/>
                                  </a:solidFill>
                                  <a:miter lim="800000"/>
                                </a:ln>
                                <a:effectLst/>
                              </wps:spPr>
                              <wps:txbx>
                                <w:txbxContent>
                                  <w:p>
                                    <w:pPr>
                                      <w:jc w:val="center"/>
                                      <w:rPr>
                                        <w:rFonts w:hint="eastAsia" w:eastAsia="宋体"/>
                                        <w:lang w:eastAsia="zh-CN"/>
                                      </w:rPr>
                                    </w:pPr>
                                    <w:r>
                                      <w:rPr>
                                        <w:rFonts w:hint="eastAsia"/>
                                        <w:lang w:eastAsia="zh-CN"/>
                                      </w:rPr>
                                      <w:t>成品均化仓</w:t>
                                    </w:r>
                                  </w:p>
                                </w:txbxContent>
                              </wps:txbx>
                              <wps:bodyPr rot="0" vert="horz" wrap="square" lIns="91440" tIns="45720" rIns="91440" bIns="45720" anchor="t" anchorCtr="0" upright="1">
                                <a:noAutofit/>
                              </wps:bodyPr>
                            </wps:wsp>
                            <wps:wsp>
                              <wps:cNvPr id="5" name="AutoShape 40"/>
                              <wps:cNvCnPr>
                                <a:cxnSpLocks noChangeShapeType="1"/>
                              </wps:cNvCnPr>
                              <wps:spPr bwMode="auto">
                                <a:xfrm>
                                  <a:off x="2570480" y="4113530"/>
                                  <a:ext cx="1270" cy="247015"/>
                                </a:xfrm>
                                <a:prstGeom prst="straightConnector1">
                                  <a:avLst/>
                                </a:prstGeom>
                                <a:noFill/>
                                <a:ln w="9525">
                                  <a:solidFill>
                                    <a:srgbClr val="000000"/>
                                  </a:solidFill>
                                  <a:round/>
                                  <a:tailEnd type="triangle" w="med" len="med"/>
                                </a:ln>
                                <a:effectLst/>
                              </wps:spPr>
                              <wps:bodyPr/>
                            </wps:wsp>
                            <wps:wsp>
                              <wps:cNvPr id="8" name="Rectangle 23"/>
                              <wps:cNvSpPr>
                                <a:spLocks noChangeArrowheads="1"/>
                              </wps:cNvSpPr>
                              <wps:spPr bwMode="auto">
                                <a:xfrm>
                                  <a:off x="3456305" y="3789680"/>
                                  <a:ext cx="590550" cy="294640"/>
                                </a:xfrm>
                                <a:prstGeom prst="rect">
                                  <a:avLst/>
                                </a:prstGeom>
                                <a:noFill/>
                                <a:ln>
                                  <a:noFill/>
                                </a:ln>
                                <a:effectLst/>
                              </wps:spPr>
                              <wps:txbx>
                                <w:txbxContent>
                                  <w:p>
                                    <w:pPr>
                                      <w:jc w:val="center"/>
                                    </w:pPr>
                                    <w:r>
                                      <w:rPr>
                                        <w:rFonts w:hint="eastAsia"/>
                                      </w:rPr>
                                      <w:t>噪声</w:t>
                                    </w:r>
                                  </w:p>
                                </w:txbxContent>
                              </wps:txbx>
                              <wps:bodyPr rot="0" vert="horz" wrap="square" lIns="91440" tIns="45720" rIns="91440" bIns="45720" anchor="t" anchorCtr="0" upright="1">
                                <a:noAutofit/>
                              </wps:bodyPr>
                            </wps:wsp>
                            <wps:wsp>
                              <wps:cNvPr id="18" name="AutoShape 22"/>
                              <wps:cNvCnPr>
                                <a:cxnSpLocks noChangeShapeType="1"/>
                              </wps:cNvCnPr>
                              <wps:spPr bwMode="auto">
                                <a:xfrm>
                                  <a:off x="3046730" y="3970655"/>
                                  <a:ext cx="333375" cy="1270"/>
                                </a:xfrm>
                                <a:prstGeom prst="straightConnector1">
                                  <a:avLst/>
                                </a:prstGeom>
                                <a:noFill/>
                                <a:ln w="9525">
                                  <a:solidFill>
                                    <a:srgbClr val="000000"/>
                                  </a:solidFill>
                                  <a:prstDash val="dashDot"/>
                                  <a:round/>
                                  <a:tailEnd type="triangle" w="med" len="med"/>
                                </a:ln>
                                <a:effectLst/>
                              </wps:spPr>
                              <wps:bodyPr/>
                            </wps:wsp>
                            <wps:wsp>
                              <wps:cNvPr id="26" name="Rectangle 16"/>
                              <wps:cNvSpPr>
                                <a:spLocks noChangeArrowheads="1"/>
                              </wps:cNvSpPr>
                              <wps:spPr bwMode="auto">
                                <a:xfrm>
                                  <a:off x="2084705" y="3275330"/>
                                  <a:ext cx="923925" cy="294640"/>
                                </a:xfrm>
                                <a:prstGeom prst="rect">
                                  <a:avLst/>
                                </a:prstGeom>
                                <a:noFill/>
                                <a:ln w="9525" algn="ctr">
                                  <a:solidFill>
                                    <a:srgbClr val="000000"/>
                                  </a:solidFill>
                                  <a:miter lim="800000"/>
                                </a:ln>
                                <a:effectLst/>
                              </wps:spPr>
                              <wps:txbx>
                                <w:txbxContent>
                                  <w:p>
                                    <w:pPr>
                                      <w:jc w:val="center"/>
                                      <w:rPr>
                                        <w:rFonts w:hint="eastAsia" w:eastAsia="宋体"/>
                                        <w:lang w:eastAsia="zh-CN"/>
                                      </w:rPr>
                                    </w:pPr>
                                    <w:r>
                                      <w:rPr>
                                        <w:rFonts w:hint="eastAsia"/>
                                        <w:lang w:eastAsia="zh-CN"/>
                                      </w:rPr>
                                      <w:t>筛分</w:t>
                                    </w:r>
                                  </w:p>
                                </w:txbxContent>
                              </wps:txbx>
                              <wps:bodyPr rot="0" vert="horz" wrap="square" lIns="91440" tIns="45720" rIns="91440" bIns="45720" anchor="t" anchorCtr="0" upright="1">
                                <a:noAutofit/>
                              </wps:bodyPr>
                            </wps:wsp>
                            <wps:wsp>
                              <wps:cNvPr id="42" name="AutoShape 40"/>
                              <wps:cNvCnPr>
                                <a:cxnSpLocks noChangeShapeType="1"/>
                              </wps:cNvCnPr>
                              <wps:spPr bwMode="auto">
                                <a:xfrm>
                                  <a:off x="2560955" y="3561080"/>
                                  <a:ext cx="1270" cy="247015"/>
                                </a:xfrm>
                                <a:prstGeom prst="straightConnector1">
                                  <a:avLst/>
                                </a:prstGeom>
                                <a:noFill/>
                                <a:ln w="9525">
                                  <a:solidFill>
                                    <a:srgbClr val="000000"/>
                                  </a:solidFill>
                                  <a:round/>
                                  <a:tailEnd type="triangle" w="med" len="med"/>
                                </a:ln>
                                <a:effectLst/>
                              </wps:spPr>
                              <wps:bodyPr/>
                            </wps:wsp>
                            <wps:wsp>
                              <wps:cNvPr id="44" name="AutoShape 32"/>
                              <wps:cNvCnPr>
                                <a:cxnSpLocks noChangeShapeType="1"/>
                              </wps:cNvCnPr>
                              <wps:spPr bwMode="auto">
                                <a:xfrm>
                                  <a:off x="3037205" y="3408680"/>
                                  <a:ext cx="333375" cy="1270"/>
                                </a:xfrm>
                                <a:prstGeom prst="straightConnector1">
                                  <a:avLst/>
                                </a:prstGeom>
                                <a:noFill/>
                                <a:ln w="9525">
                                  <a:solidFill>
                                    <a:srgbClr val="000000"/>
                                  </a:solidFill>
                                  <a:prstDash val="dashDot"/>
                                  <a:round/>
                                  <a:tailEnd type="triangle" w="med" len="med"/>
                                </a:ln>
                                <a:effectLst/>
                              </wps:spPr>
                              <wps:bodyPr/>
                            </wps:wsp>
                            <wps:wsp>
                              <wps:cNvPr id="49" name="Rectangle 33"/>
                              <wps:cNvSpPr>
                                <a:spLocks noChangeArrowheads="1"/>
                              </wps:cNvSpPr>
                              <wps:spPr bwMode="auto">
                                <a:xfrm>
                                  <a:off x="3408680" y="3284855"/>
                                  <a:ext cx="494665" cy="294640"/>
                                </a:xfrm>
                                <a:prstGeom prst="rect">
                                  <a:avLst/>
                                </a:prstGeom>
                                <a:noFill/>
                                <a:ln>
                                  <a:noFill/>
                                </a:ln>
                                <a:effectLst/>
                              </wps:spPr>
                              <wps:txbx>
                                <w:txbxContent>
                                  <w:p>
                                    <w:pPr>
                                      <w:jc w:val="center"/>
                                    </w:pPr>
                                    <w:r>
                                      <w:rPr>
                                        <w:rFonts w:hint="eastAsia"/>
                                      </w:rPr>
                                      <w:t>噪声</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404.3pt;width:408pt;" coordsize="5181600,5134610" editas="canvas" o:gfxdata="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">
                      <o:lock v:ext="edit" aspectratio="f"/>
                      <v:shape id="_x0000_s1026" o:spid="_x0000_s1026" style="position:absolute;left:0;top:0;height:5134610;width:5181600;" filled="f" stroked="f" coordsize="21600,21600" o:gfxdata="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">
                        <v:fill on="f" focussize="0,0"/>
                        <v:stroke on="f"/>
                        <v:imagedata o:title=""/>
                        <o:lock v:ext="edit" aspectratio="t"/>
                      </v:shape>
                      <v:rect id="Rectangle 4" o:spid="_x0000_s1026" o:spt="1" style="position:absolute;left:1524000;top:533400;height:295275;width:2057400;" filled="f" stroked="f" coordsize="21600,21600" o:gfxdata="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VSpetUAAAAFAQAADwAAAAAAAAABACAA&#10;AAAiAAAAZHJzL2Rvd25yZXYueG1sUEsBAhQAFAAAAAgAh07iQMOczbIQAgAAAgQAAA4AAAAAAAAA&#10;AQAgAAAAJAEAAGRycy9lMm9Eb2MueG1sUEsFBgAAAAAGAAYAWQEAAKYFAAAAAA==&#10;">
                        <v:fill on="f" focussize="0,0"/>
                        <v:stroke on="f" miterlimit="8" joinstyle="miter"/>
                        <v:imagedata o:title=""/>
                        <o:lock v:ext="edit" aspectratio="f"/>
                        <v:textbox>
                          <w:txbxContent>
                            <w:p>
                              <w:pPr>
                                <w:jc w:val="center"/>
                                <w:rPr>
                                  <w:rFonts w:hint="eastAsia" w:eastAsia="宋体"/>
                                  <w:lang w:val="en-US" w:eastAsia="zh-CN"/>
                                </w:rPr>
                              </w:pPr>
                              <w:r>
                                <w:rPr>
                                  <w:rFonts w:hint="eastAsia"/>
                                  <w:lang w:eastAsia="zh-CN"/>
                                </w:rPr>
                                <w:t>外购干净的废塑料碎片</w:t>
                              </w:r>
                            </w:p>
                          </w:txbxContent>
                        </v:textbox>
                      </v:rect>
                      <v:shape id="AutoShape 5" o:spid="_x0000_s1026" o:spt="32" type="#_x0000_t32" style="position:absolute;left:2550795;top:847725;height:248285;width:1270;" filled="f" stroked="t" coordsize="21600,21600" o:gfxdata="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JITh/UAAAA&#10;BQEAAA8AAAAAAAAAAQAgAAAAIgAAAGRycy9kb3ducmV2LnhtbFBLAQIUABQAAAAIAIdO4kB0C82O&#10;6AEAAK4DAAAOAAAAAAAAAAEAIAAAACMBAABkcnMvZTJvRG9jLnhtbFBLBQYAAAAABgAGAFkBAAB9&#10;BQAAAAA=&#10;">
                        <v:fill on="f" focussize="0,0"/>
                        <v:stroke color="#000000" joinstyle="round" endarrow="block"/>
                        <v:imagedata o:title=""/>
                        <o:lock v:ext="edit" aspectratio="f"/>
                      </v:shape>
                      <v:rect id="Rectangle 7" o:spid="_x0000_s1026" o:spt="1" style="position:absolute;left:2097405;top:1085850;height:295275;width:923925;" filled="f" stroked="t" coordsize="21600,21600" o:gfxdata="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kmOgnTAAAA&#10;BQEAAA8AAAAAAAAAAQAgAAAAIgAAAGRycy9kb3ducmV2LnhtbFBLAQIUABQAAAAIAIdO4kDr547B&#10;IgIAACsEAAAOAAAAAAAAAAEAIAAAACIBAABkcnMvZTJvRG9jLnhtbFBLBQYAAAAABgAGAFkBAAC2&#10;BQAAAAA=&#10;">
                        <v:fill on="f" focussize="0,0"/>
                        <v:stroke color="#000000" miterlimit="8" joinstyle="miter"/>
                        <v:imagedata o:title=""/>
                        <o:lock v:ext="edit" aspectratio="f"/>
                        <v:textbox>
                          <w:txbxContent>
                            <w:p>
                              <w:pPr>
                                <w:jc w:val="center"/>
                                <w:rPr>
                                  <w:rFonts w:hint="eastAsia" w:eastAsia="宋体"/>
                                  <w:lang w:eastAsia="zh-CN"/>
                                </w:rPr>
                              </w:pPr>
                              <w:r>
                                <w:rPr>
                                  <w:rFonts w:hint="eastAsia"/>
                                  <w:lang w:eastAsia="zh-CN"/>
                                </w:rPr>
                                <w:t>原料均化仓</w:t>
                              </w:r>
                            </w:p>
                          </w:txbxContent>
                        </v:textbox>
                      </v:rect>
                      <v:shape id="AutoShape 9" o:spid="_x0000_s1026" o:spt="32" type="#_x0000_t32" style="position:absolute;left:2560320;top:1381125;height:247650;width:1270;" filled="f" stroked="t" coordsize="21600,21600" o:gfxdata="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JITh/UAAAA&#10;BQEAAA8AAAAAAAAAAQAgAAAAIgAAAGRycy9kb3ducmV2LnhtbFBLAQIUABQAAAAIAIdO4kCEO+84&#10;6AEAAK8DAAAOAAAAAAAAAAEAIAAAACMBAABkcnMvZTJvRG9jLnhtbFBLBQYAAAAABgAGAFkBAAB9&#10;BQAAAAA=&#10;">
                        <v:fill on="f" focussize="0,0"/>
                        <v:stroke color="#000000" joinstyle="round" endarrow="block"/>
                        <v:imagedata o:title=""/>
                        <o:lock v:ext="edit" aspectratio="f"/>
                      </v:shape>
                      <v:rect id="Rectangle 12" o:spid="_x0000_s1026" o:spt="1" style="position:absolute;left:2097405;top:1620520;height:294640;width:923925;" filled="f" stroked="t" coordsize="21600,21600" o:gfxdata="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kmOgnT&#10;AAAABQEAAA8AAAAAAAAAAQAgAAAAIgAAAGRycy9kb3ducmV2LnhtbFBLAQIUABQAAAAIAIdO4kBl&#10;Et1hJQIAACwEAAAOAAAAAAAAAAEAIAAAACIBAABkcnMvZTJvRG9jLnhtbFBLBQYAAAAABgAGAFkB&#10;AAC5BQAAAAA=&#10;">
                        <v:fill on="f" focussize="0,0"/>
                        <v:stroke color="#000000" miterlimit="8" joinstyle="miter"/>
                        <v:imagedata o:title=""/>
                        <o:lock v:ext="edit" aspectratio="f"/>
                        <v:textbox>
                          <w:txbxContent>
                            <w:p>
                              <w:pPr>
                                <w:jc w:val="center"/>
                              </w:pPr>
                              <w:r>
                                <w:rPr>
                                  <w:rFonts w:hint="eastAsia"/>
                                </w:rPr>
                                <w:t>熔融挤出</w:t>
                              </w:r>
                            </w:p>
                          </w:txbxContent>
                        </v:textbox>
                      </v:rect>
                      <v:shape id="AutoShape 14" o:spid="_x0000_s1026" o:spt="32" type="#_x0000_t32" style="position:absolute;left:2550795;top:1934210;height:247015;width:1270;" filled="f" stroked="t" coordsize="21600,21600" o:gfxdata="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khOH9QA&#10;AAAFAQAADwAAAAAAAAABACAAAAAiAAAAZHJzL2Rvd25yZXYueG1sUEsBAhQAFAAAAAgAh07iQL1t&#10;Dz/qAQAAsAMAAA4AAAAAAAAAAQAgAAAAIwEAAGRycy9lMm9Eb2MueG1sUEsFBgAAAAAGAAYAWQEA&#10;AH8FAAAAAA==&#10;">
                        <v:fill on="f" focussize="0,0"/>
                        <v:stroke color="#000000" joinstyle="round" endarrow="block"/>
                        <v:imagedata o:title=""/>
                        <o:lock v:ext="edit" aspectratio="f"/>
                      </v:shape>
                      <v:rect id="Rectangle 15" o:spid="_x0000_s1026" o:spt="1" style="position:absolute;left:2116455;top:2190750;height:296545;width:923925;" filled="f" stroked="t" coordsize="21600,21600" o:gfxdata="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SY6CdMA&#10;AAAFAQAADwAAAAAAAAABACAAAAAiAAAAZHJzL2Rvd25yZXYueG1sUEsBAhQAFAAAAAgAh07iQAdj&#10;C/4kAgAALAQAAA4AAAAAAAAAAQAgAAAAIgEAAGRycy9lMm9Eb2MueG1sUEsFBgAAAAAGAAYAWQEA&#10;ALgFAAAAAA==&#10;">
                        <v:fill on="f" focussize="0,0"/>
                        <v:stroke color="#000000" miterlimit="8" joinstyle="miter"/>
                        <v:imagedata o:title=""/>
                        <o:lock v:ext="edit" aspectratio="f"/>
                        <v:textbox>
                          <w:txbxContent>
                            <w:p>
                              <w:pPr>
                                <w:jc w:val="center"/>
                              </w:pPr>
                              <w:r>
                                <w:rPr>
                                  <w:rFonts w:hint="eastAsia"/>
                                </w:rPr>
                                <w:t>冷却</w:t>
                              </w:r>
                            </w:p>
                          </w:txbxContent>
                        </v:textbox>
                      </v:rect>
                      <v:rect id="Rectangle 16" o:spid="_x0000_s1026" o:spt="1" style="position:absolute;left:2097405;top:2724785;height:294640;width:923925;" filled="f" stroked="t" coordsize="21600,21600" o:gfxdata="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kmOgnT&#10;AAAABQEAAA8AAAAAAAAAAQAgAAAAIgAAAGRycy9kb3ducmV2LnhtbFBLAQIUABQAAAAIAIdO4kCr&#10;A/gfJQIAACwEAAAOAAAAAAAAAAEAIAAAACIBAABkcnMvZTJvRG9jLnhtbFBLBQYAAAAABgAGAFkB&#10;AAC5BQAAAAA=&#10;">
                        <v:fill on="f" focussize="0,0"/>
                        <v:stroke color="#000000" miterlimit="8" joinstyle="miter"/>
                        <v:imagedata o:title=""/>
                        <o:lock v:ext="edit" aspectratio="f"/>
                        <v:textbox>
                          <w:txbxContent>
                            <w:p>
                              <w:pPr>
                                <w:jc w:val="center"/>
                              </w:pPr>
                              <w:r>
                                <w:rPr>
                                  <w:rFonts w:hint="eastAsia"/>
                                </w:rPr>
                                <w:t>切粒</w:t>
                              </w:r>
                            </w:p>
                          </w:txbxContent>
                        </v:textbox>
                      </v:rect>
                      <v:shape id="AutoShape 17" o:spid="_x0000_s1026" o:spt="32" type="#_x0000_t32" style="position:absolute;left:2559050;top:2506345;height:247015;width:1270;" filled="f" stroked="t" coordsize="21600,21600" o:gfxdata="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SSE4f1AAA&#10;AAUBAAAPAAAAAAAAAAEAIAAAACIAAABkcnMvZG93bnJldi54bWxQSwECFAAUAAAACACHTuJA6Ee0&#10;wukBAACwAwAADgAAAAAAAAABACAAAAAjAQAAZHJzL2Uyb0RvYy54bWxQSwUGAAAAAAYABgBZAQAA&#10;fgUAAAAA&#10;">
                        <v:fill on="f" focussize="0,0"/>
                        <v:stroke color="#000000" joinstyle="round" endarrow="block"/>
                        <v:imagedata o:title=""/>
                        <o:lock v:ext="edit" aspectratio="f"/>
                      </v:shape>
                      <v:rect id="Rectangle 18" o:spid="_x0000_s1026" o:spt="1" style="position:absolute;left:2097405;top:4323715;height:294640;width:923925;" filled="f" stroked="t" coordsize="21600,21600" o:gfxdata="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SY6&#10;CdMAAAAFAQAADwAAAAAAAAABACAAAAAiAAAAZHJzL2Rvd25yZXYueG1sUEsBAhQAFAAAAAgAh07i&#10;QKsHnuAnAgAALAQAAA4AAAAAAAAAAQAgAAAAIgEAAGRycy9lMm9Eb2MueG1sUEsFBgAAAAAGAAYA&#10;WQEAALsFAAAAAA==&#10;">
                        <v:fill on="f" focussize="0,0"/>
                        <v:stroke color="#000000" miterlimit="8" joinstyle="miter"/>
                        <v:imagedata o:title=""/>
                        <o:lock v:ext="edit" aspectratio="f"/>
                        <v:textbox>
                          <w:txbxContent>
                            <w:p>
                              <w:pPr>
                                <w:jc w:val="center"/>
                              </w:pPr>
                              <w:r>
                                <w:rPr>
                                  <w:rFonts w:hint="eastAsia"/>
                                </w:rPr>
                                <w:t>包装</w:t>
                              </w:r>
                            </w:p>
                          </w:txbxContent>
                        </v:textbox>
                      </v:rect>
                      <v:shape id="AutoShape 19" o:spid="_x0000_s1026" o:spt="32" type="#_x0000_t32" style="position:absolute;left:1717675;top:1826260;height:635;width:363220;" filled="f" stroked="t" coordsize="21600,21600" o:gfxdata="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JITh/UAAAA&#10;BQEAAA8AAAAAAAAAAQAgAAAAIgAAAGRycy9kb3ducmV2LnhtbFBLAQIUABQAAAAIAIdO4kDPClt2&#10;6AEAAK8DAAAOAAAAAAAAAAEAIAAAACMBAABkcnMvZTJvRG9jLnhtbFBLBQYAAAAABgAGAFkBAAB9&#10;BQAAAAA=&#10;">
                        <v:fill on="f" focussize="0,0"/>
                        <v:stroke color="#000000" joinstyle="round" endarrow="block"/>
                        <v:imagedata o:title=""/>
                        <o:lock v:ext="edit" aspectratio="f"/>
                      </v:shape>
                      <v:shape id="AutoShape 22" o:spid="_x0000_s1026" o:spt="32" type="#_x0000_t32" style="position:absolute;left:3021330;top:1233805;height:1270;width:333375;" filled="f" stroked="t" coordsize="21600,21600" o:gfxdata="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MeyD9IAAAAFAQAADwAAAAAAAAABACAAAAAiAAAAZHJzL2Rvd25yZXYueG1sUEsBAhQAFAAA&#10;AAgAh07iQE/1Z+z1AQAAywMAAA4AAAAAAAAAAQAgAAAAIQEAAGRycy9lMm9Eb2MueG1sUEsFBgAA&#10;AAAGAAYAWQEAAIgFAAAAAA==&#10;">
                        <v:fill on="f" focussize="0,0"/>
                        <v:stroke color="#000000" joinstyle="round" dashstyle="dashDot" endarrow="block"/>
                        <v:imagedata o:title=""/>
                        <o:lock v:ext="edit" aspectratio="f"/>
                      </v:shape>
                      <v:rect id="Rectangle 23" o:spid="_x0000_s1026" o:spt="1" style="position:absolute;left:3307080;top:1086485;height:294640;width:1275080;" filled="f" stroked="f" coordsize="21600,21600" o:gfxdata="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VUqXrVAAAABQEAAA8AAAAAAAAAAQAgAAAAIgAAAGRycy9kb3ducmV2LnhtbFBL&#10;AQIUABQAAAAIAIdO4kDZa/Sz+QEAANkDAAAOAAAAAAAAAAEAIAAAACQBAABkcnMvZTJvRG9jLnht&#10;bFBLBQYAAAAABgAGAFkBAACPBQAAAAA=&#10;">
                        <v:fill on="f" focussize="0,0"/>
                        <v:stroke on="f"/>
                        <v:imagedata o:title=""/>
                        <o:lock v:ext="edit" aspectratio="f"/>
                        <v:textbox>
                          <w:txbxContent>
                            <w:p>
                              <w:pPr>
                                <w:jc w:val="center"/>
                                <w:rPr>
                                  <w:rFonts w:hint="eastAsia" w:eastAsia="宋体"/>
                                  <w:lang w:eastAsia="zh-CN"/>
                                </w:rPr>
                              </w:pPr>
                              <w:r>
                                <w:rPr>
                                  <w:rFonts w:hint="eastAsia"/>
                                </w:rPr>
                                <w:t>噪声</w:t>
                              </w:r>
                              <w:r>
                                <w:rPr>
                                  <w:rFonts w:hint="eastAsia"/>
                                  <w:lang w:eastAsia="zh-CN"/>
                                </w:rPr>
                                <w:t>、固废</w:t>
                              </w:r>
                            </w:p>
                          </w:txbxContent>
                        </v:textbox>
                      </v:rect>
                      <v:shape id="AutoShape 28" o:spid="_x0000_s1026" o:spt="32" type="#_x0000_t32" style="position:absolute;left:3059430;top:2367915;height:1270;width:333375;" filled="f" stroked="t" coordsize="21600,21600" o:gfxdata="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MeyD9IAAAAFAQAADwAAAAAAAAABACAAAAAiAAAAZHJzL2Rvd25yZXYueG1sUEsBAhQA&#10;FAAAAAgAh07iQKZWRxb4AQAAywMAAA4AAAAAAAAAAQAgAAAAIQEAAGRycy9lMm9Eb2MueG1sUEsF&#10;BgAAAAAGAAYAWQEAAIsFAAAAAA==&#10;">
                        <v:fill on="f" focussize="0,0"/>
                        <v:stroke color="#000000" joinstyle="round" dashstyle="dashDot" endarrow="block"/>
                        <v:imagedata o:title=""/>
                        <o:lock v:ext="edit" aspectratio="f"/>
                      </v:shape>
                      <v:rect id="Rectangle 29" o:spid="_x0000_s1026" o:spt="1" style="position:absolute;left:3263265;top:1624965;height:294640;width:1466850;" filled="f" stroked="f" coordsize="21600,21600" o:gfxdata="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VUqXrVAAAABQEAAA8AAAAAAAAAAQAgAAAAIgAAAGRycy9kb3ducmV2LnhtbFBL&#10;AQIUABQAAAAIAIdO4kC4NT8i+QEAANkDAAAOAAAAAAAAAAEAIAAAACQBAABkcnMvZTJvRG9jLnht&#10;bFBLBQYAAAAABgAGAFkBAACPBQAAAAA=&#10;">
                        <v:fill on="f" focussize="0,0"/>
                        <v:stroke on="f"/>
                        <v:imagedata o:title=""/>
                        <o:lock v:ext="edit" aspectratio="f"/>
                        <v:textbox>
                          <w:txbxContent>
                            <w:p>
                              <w:pPr>
                                <w:jc w:val="center"/>
                              </w:pPr>
                              <w:r>
                                <w:rPr>
                                  <w:rFonts w:hint="eastAsia"/>
                                </w:rPr>
                                <w:t>废气、噪声、固废</w:t>
                              </w:r>
                            </w:p>
                          </w:txbxContent>
                        </v:textbox>
                      </v:rect>
                      <v:shape id="AutoShape 30" o:spid="_x0000_s1026" o:spt="32" type="#_x0000_t32" style="position:absolute;left:3021330;top:1778000;height:1270;width:333375;" filled="f" stroked="t" coordsize="21600,21600" o:gfxdata="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0x7IP0gAAAAUBAAAPAAAAAAAAAAEAIAAAACIAAABkcnMvZG93bnJldi54bWxQSwECFAAUAAAA&#10;CACHTuJA+17EWfQBAADLAwAADgAAAAAAAAABACAAAAAhAQAAZHJzL2Uyb0RvYy54bWxQSwUGAAAA&#10;AAYABgBZAQAAhwUAAAAA&#10;">
                        <v:fill on="f" focussize="0,0"/>
                        <v:stroke color="#000000" joinstyle="round" dashstyle="dashDot" endarrow="block"/>
                        <v:imagedata o:title=""/>
                        <o:lock v:ext="edit" aspectratio="f"/>
                      </v:shape>
                      <v:rect id="Rectangle 31" o:spid="_x0000_s1026" o:spt="1" style="position:absolute;left:3373755;top:2221230;height:294640;width:675640;" filled="f" stroked="f" coordsize="21600,21600" o:gfxdata="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lVKl61QAAAAUBAAAPAAAAAAAAAAEAIAAAACIAAABkcnMvZG93bnJldi54bWxQSwEC&#10;FAAUAAAACACHTuJAM+XXE/cBAADYAwAADgAAAAAAAAABACAAAAAkAQAAZHJzL2Uyb0RvYy54bWxQ&#10;SwUGAAAAAAYABgBZAQAAjQUAAAAA&#10;">
                        <v:fill on="f" focussize="0,0"/>
                        <v:stroke on="f"/>
                        <v:imagedata o:title=""/>
                        <o:lock v:ext="edit" aspectratio="f"/>
                        <v:textbox>
                          <w:txbxContent>
                            <w:p>
                              <w:pPr>
                                <w:jc w:val="center"/>
                              </w:pPr>
                              <w:r>
                                <w:rPr>
                                  <w:rFonts w:hint="eastAsia"/>
                                </w:rPr>
                                <w:t>冷却水</w:t>
                              </w:r>
                            </w:p>
                          </w:txbxContent>
                        </v:textbox>
                      </v:rect>
                      <v:shape id="AutoShape 32" o:spid="_x0000_s1026" o:spt="32" type="#_x0000_t32" style="position:absolute;left:3011805;top:2881630;height:1270;width:333375;" filled="f" stroked="t" coordsize="21600,21600" o:gfxdata="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MeyD9IAAAAFAQAADwAAAAAAAAABACAAAAAiAAAAZHJzL2Rvd25yZXYueG1sUEsBAhQAFAAA&#10;AAgAh07iQDZkeMH1AQAAywMAAA4AAAAAAAAAAQAgAAAAIQEAAGRycy9lMm9Eb2MueG1sUEsFBgAA&#10;AAAGAAYAWQEAAIgFAAAAAA==&#10;">
                        <v:fill on="f" focussize="0,0"/>
                        <v:stroke color="#000000" joinstyle="round" dashstyle="dashDot" endarrow="block"/>
                        <v:imagedata o:title=""/>
                        <o:lock v:ext="edit" aspectratio="f"/>
                      </v:shape>
                      <v:rect id="Rectangle 33" o:spid="_x0000_s1026" o:spt="1" style="position:absolute;left:3402330;top:2781935;height:294640;width:494665;" filled="f" stroked="f" coordsize="21600,21600" o:gfxdata="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VUqXrVAAAABQEAAA8AAAAAAAAAAQAgAAAAIgAAAGRycy9kb3ducmV2LnhtbFBL&#10;AQIUABQAAAAIAIdO4kBYQ5SJ+QEAANgDAAAOAAAAAAAAAAEAIAAAACQBAABkcnMvZTJvRG9jLnht&#10;bFBLBQYAAAAABgAGAFkBAACPBQAAAAA=&#10;">
                        <v:fill on="f" focussize="0,0"/>
                        <v:stroke on="f"/>
                        <v:imagedata o:title=""/>
                        <o:lock v:ext="edit" aspectratio="f"/>
                        <v:textbox>
                          <w:txbxContent>
                            <w:p>
                              <w:pPr>
                                <w:jc w:val="center"/>
                              </w:pPr>
                              <w:r>
                                <w:rPr>
                                  <w:rFonts w:hint="eastAsia"/>
                                </w:rPr>
                                <w:t>噪声</w:t>
                              </w:r>
                            </w:p>
                          </w:txbxContent>
                        </v:textbox>
                      </v:rect>
                      <v:shape id="AutoShape 34" o:spid="_x0000_s1026" o:spt="32" type="#_x0000_t32" style="position:absolute;left:3021330;top:4461510;height:1270;width:333375;" filled="f" stroked="t" coordsize="21600,21600" o:gfxdata="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0x7IP0gAAAAUBAAAPAAAAAAAAAAEAIAAAACIAAABkcnMvZG93bnJldi54bWxQSwECFAAU&#10;AAAACACHTuJAXwcl3vcBAADLAwAADgAAAAAAAAABACAAAAAhAQAAZHJzL2Uyb0RvYy54bWxQSwUG&#10;AAAAAAYABgBZAQAAigUAAAAA&#10;">
                        <v:fill on="f" focussize="0,0"/>
                        <v:stroke color="#000000" joinstyle="round" dashstyle="dashDot" endarrow="block"/>
                        <v:imagedata o:title=""/>
                        <o:lock v:ext="edit" aspectratio="f"/>
                      </v:shape>
                      <v:rect id="Rectangle 35" o:spid="_x0000_s1026" o:spt="1" style="position:absolute;left:3307080;top:4314190;height:294640;width:875665;" filled="f" stroked="f" coordsize="21600,21600" o:gfxdata="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lVKl61QAAAAUBAAAPAAAAAAAAAAEAIAAAACIAAABkcnMvZG93bnJldi54bWxQ&#10;SwECFAAUAAAACACHTuJAZqfIWfoBAADYAwAADgAAAAAAAAABACAAAAAkAQAAZHJzL2Uyb0RvYy54&#10;bWxQSwUGAAAAAAYABgBZAQAAkAUAAAAA&#10;">
                        <v:fill on="f" focussize="0,0"/>
                        <v:stroke on="f"/>
                        <v:imagedata o:title=""/>
                        <o:lock v:ext="edit" aspectratio="f"/>
                        <v:textbox>
                          <w:txbxContent>
                            <w:p>
                              <w:pPr>
                                <w:jc w:val="center"/>
                              </w:pPr>
                              <w:r>
                                <w:rPr>
                                  <w:rFonts w:hint="eastAsia"/>
                                </w:rPr>
                                <w:t>噪声、固废</w:t>
                              </w:r>
                            </w:p>
                          </w:txbxContent>
                        </v:textbox>
                      </v:rect>
                      <v:rect id="Rectangle 36" o:spid="_x0000_s1026" o:spt="1" style="position:absolute;left:2099945;top:4836795;height:294640;width:923925;" filled="f" stroked="f" coordsize="21600,21600" o:gfxdata="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VKl61QAAAAUBAAAPAAAAAAAA&#10;AAEAIAAAACIAAABkcnMvZG93bnJldi54bWxQSwECFAAUAAAACACHTuJAD/QJuRUCAAADBAAADgAA&#10;AAAAAAABACAAAAAkAQAAZHJzL2Uyb0RvYy54bWxQSwUGAAAAAAYABgBZAQAAqwUAAAAA&#10;">
                        <v:fill on="f" focussize="0,0"/>
                        <v:stroke on="f" miterlimit="8" joinstyle="miter"/>
                        <v:imagedata o:title=""/>
                        <o:lock v:ext="edit" aspectratio="f"/>
                        <v:textbox>
                          <w:txbxContent>
                            <w:p>
                              <w:pPr>
                                <w:jc w:val="center"/>
                                <w:rPr>
                                  <w:rFonts w:hint="eastAsia"/>
                                </w:rPr>
                              </w:pPr>
                              <w:r>
                                <w:rPr>
                                  <w:rFonts w:hint="eastAsia"/>
                                </w:rPr>
                                <w:t>成品</w:t>
                              </w:r>
                            </w:p>
                          </w:txbxContent>
                        </v:textbox>
                      </v:rect>
                      <v:shape id="AutoShape 37" o:spid="_x0000_s1026" o:spt="32" type="#_x0000_t32" style="position:absolute;left:2561590;top:4627880;height:247015;width:1270;" filled="f" stroked="t" coordsize="21600,21600" o:gfxdata="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khOH9QA&#10;AAAFAQAADwAAAAAAAAABACAAAAAiAAAAZHJzL2Rvd25yZXYueG1sUEsBAhQAFAAAAAgAh07iQEFY&#10;3p/qAQAAsAMAAA4AAAAAAAAAAQAgAAAAIwEAAGRycy9lMm9Eb2MueG1sUEsFBgAAAAAGAAYAWQEA&#10;AH8FAAAAAA==&#10;">
                        <v:fill on="f" focussize="0,0"/>
                        <v:stroke color="#000000" joinstyle="round" endarrow="block"/>
                        <v:imagedata o:title=""/>
                        <o:lock v:ext="edit" aspectratio="f"/>
                      </v:shape>
                      <v:rect id="Rectangle 39" o:spid="_x0000_s1026" o:spt="1" style="position:absolute;left:1333500;top:1711960;height:294640;width:404495;" filled="f" stroked="f" coordsize="21600,21600" o:gfxdata="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VSpetUAAAAFAQAADwAAAAAAAAABACAAAAAiAAAAZHJzL2Rvd25yZXYueG1sUEsB&#10;AhQAFAAAAAgAh07iQB9MVTP4AQAA2AMAAA4AAAAAAAAAAQAgAAAAJAEAAGRycy9lMm9Eb2MueG1s&#10;UEsFBgAAAAAGAAYAWQEAAI4FAAAAAA==&#10;">
                        <v:fill on="f" focussize="0,0"/>
                        <v:stroke on="f"/>
                        <v:imagedata o:title=""/>
                        <o:lock v:ext="edit" aspectratio="f"/>
                        <v:textbox>
                          <w:txbxContent>
                            <w:p>
                              <w:pPr>
                                <w:jc w:val="center"/>
                              </w:pPr>
                              <w:r>
                                <w:rPr>
                                  <w:rFonts w:hint="eastAsia"/>
                                </w:rPr>
                                <w:t>电</w:t>
                              </w:r>
                            </w:p>
                          </w:txbxContent>
                        </v:textbox>
                      </v:rect>
                      <v:shape id="AutoShape 40" o:spid="_x0000_s1026" o:spt="32" type="#_x0000_t32" style="position:absolute;left:2572385;top:3028950;height:247015;width:1270;" filled="f" stroked="t" coordsize="21600,21600" o:gfxdata="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JITh/U&#10;AAAABQEAAA8AAAAAAAAAAQAgAAAAIgAAAGRycy9kb3ducmV2LnhtbFBLAQIUABQAAAAIAIdO4kAd&#10;Ldtg6wEAALADAAAOAAAAAAAAAAEAIAAAACMBAABkcnMvZTJvRG9jLnhtbFBLBQYAAAAABgAGAFkB&#10;AACABQAAAAA=&#10;">
                        <v:fill on="f" focussize="0,0"/>
                        <v:stroke color="#000000" joinstyle="round" endarrow="block"/>
                        <v:imagedata o:title=""/>
                        <o:lock v:ext="edit" aspectratio="f"/>
                      </v:shape>
                      <v:rect id="Rectangle 18" o:spid="_x0000_s1026" o:spt="1" style="position:absolute;left:2094230;top:3818255;height:294640;width:923925;" filled="f" stroked="t" coordsize="21600,21600" o:gfxdata="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5JjoJ&#10;0wAAAAUBAAAPAAAAAAAAAAEAIAAAACIAAABkcnMvZG93bnJldi54bWxQSwECFAAUAAAACACHTuJA&#10;eHhwLCYCAAArBAAADgAAAAAAAAABACAAAAAiAQAAZHJzL2Uyb0RvYy54bWxQSwUGAAAAAAYABgBZ&#10;AQAAugUAAAAA&#10;">
                        <v:fill on="f" focussize="0,0"/>
                        <v:stroke color="#000000" miterlimit="8" joinstyle="miter"/>
                        <v:imagedata o:title=""/>
                        <o:lock v:ext="edit" aspectratio="f"/>
                        <v:textbox>
                          <w:txbxContent>
                            <w:p>
                              <w:pPr>
                                <w:jc w:val="center"/>
                                <w:rPr>
                                  <w:rFonts w:hint="eastAsia" w:eastAsia="宋体"/>
                                  <w:lang w:eastAsia="zh-CN"/>
                                </w:rPr>
                              </w:pPr>
                              <w:r>
                                <w:rPr>
                                  <w:rFonts w:hint="eastAsia"/>
                                  <w:lang w:eastAsia="zh-CN"/>
                                </w:rPr>
                                <w:t>成品均化仓</w:t>
                              </w:r>
                            </w:p>
                          </w:txbxContent>
                        </v:textbox>
                      </v:rect>
                      <v:shape id="AutoShape 40" o:spid="_x0000_s1026" o:spt="32" type="#_x0000_t32" style="position:absolute;left:2570480;top:4113530;height:247015;width:1270;" filled="f" stroked="t" coordsize="21600,21600" o:gfxdata="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khOH9QA&#10;AAAFAQAADwAAAAAAAAABACAAAAAiAAAAZHJzL2Rvd25yZXYueG1sUEsBAhQAFAAAAAgAh07iQNgL&#10;YjnqAQAArwMAAA4AAAAAAAAAAQAgAAAAIwEAAGRycy9lMm9Eb2MueG1sUEsFBgAAAAAGAAYAWQEA&#10;AH8FAAAAAA==&#10;">
                        <v:fill on="f" focussize="0,0"/>
                        <v:stroke color="#000000" joinstyle="round" endarrow="block"/>
                        <v:imagedata o:title=""/>
                        <o:lock v:ext="edit" aspectratio="f"/>
                      </v:shape>
                      <v:rect id="Rectangle 23" o:spid="_x0000_s1026" o:spt="1" style="position:absolute;left:3456305;top:3789680;height:294640;width:590550;" filled="f" stroked="f" coordsize="21600,21600" o:gfxdata="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VSpetUAAAAFAQAADwAAAAAAAAABACAAAAAiAAAAZHJzL2Rvd25yZXYueG1sUEsB&#10;AhQAFAAAAAgAh07iQGyigQr4AQAA1wMAAA4AAAAAAAAAAQAgAAAAJAEAAGRycy9lMm9Eb2MueG1s&#10;UEsFBgAAAAAGAAYAWQEAAI4FAAAAAA==&#10;">
                        <v:fill on="f" focussize="0,0"/>
                        <v:stroke on="f"/>
                        <v:imagedata o:title=""/>
                        <o:lock v:ext="edit" aspectratio="f"/>
                        <v:textbox>
                          <w:txbxContent>
                            <w:p>
                              <w:pPr>
                                <w:jc w:val="center"/>
                              </w:pPr>
                              <w:r>
                                <w:rPr>
                                  <w:rFonts w:hint="eastAsia"/>
                                </w:rPr>
                                <w:t>噪声</w:t>
                              </w:r>
                            </w:p>
                          </w:txbxContent>
                        </v:textbox>
                      </v:rect>
                      <v:shape id="AutoShape 22" o:spid="_x0000_s1026" o:spt="32" type="#_x0000_t32" style="position:absolute;left:3046730;top:3970655;height:1270;width:333375;" filled="f" stroked="t" coordsize="21600,21600" o:gfxdata="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THsg/SAAAABQEAAA8AAAAAAAAAAQAgAAAAIgAAAGRycy9kb3ducmV2LnhtbFBLAQIUABQA&#10;AAAIAIdO4kAAEeGE9gEAAMsDAAAOAAAAAAAAAAEAIAAAACEBAABkcnMvZTJvRG9jLnhtbFBLBQYA&#10;AAAABgAGAFkBAACJBQAAAAA=&#10;">
                        <v:fill on="f" focussize="0,0"/>
                        <v:stroke color="#000000" joinstyle="round" dashstyle="dashDot" endarrow="block"/>
                        <v:imagedata o:title=""/>
                        <o:lock v:ext="edit" aspectratio="f"/>
                      </v:shape>
                      <v:rect id="Rectangle 16" o:spid="_x0000_s1026" o:spt="1" style="position:absolute;left:2084705;top:3275330;height:294640;width:923925;" filled="f" stroked="t" coordsize="21600,21600" o:gfxdata="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5JjoJ&#10;0wAAAAUBAAAPAAAAAAAAAAEAIAAAACIAAABkcnMvZG93bnJldi54bWxQSwECFAAUAAAACACHTuJA&#10;YWGieCYCAAAsBAAADgAAAAAAAAABACAAAAAiAQAAZHJzL2Uyb0RvYy54bWxQSwUGAAAAAAYABgBZ&#10;AQAAugUAAAAA&#10;">
                        <v:fill on="f" focussize="0,0"/>
                        <v:stroke color="#000000" miterlimit="8" joinstyle="miter"/>
                        <v:imagedata o:title=""/>
                        <o:lock v:ext="edit" aspectratio="f"/>
                        <v:textbox>
                          <w:txbxContent>
                            <w:p>
                              <w:pPr>
                                <w:jc w:val="center"/>
                                <w:rPr>
                                  <w:rFonts w:hint="eastAsia" w:eastAsia="宋体"/>
                                  <w:lang w:eastAsia="zh-CN"/>
                                </w:rPr>
                              </w:pPr>
                              <w:r>
                                <w:rPr>
                                  <w:rFonts w:hint="eastAsia"/>
                                  <w:lang w:eastAsia="zh-CN"/>
                                </w:rPr>
                                <w:t>筛分</w:t>
                              </w:r>
                            </w:p>
                          </w:txbxContent>
                        </v:textbox>
                      </v:rect>
                      <v:shape id="AutoShape 40" o:spid="_x0000_s1026" o:spt="32" type="#_x0000_t32" style="position:absolute;left:2560955;top:3561080;height:247015;width:1270;" filled="f" stroked="t" coordsize="21600,21600" o:gfxdata="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JITh/U&#10;AAAABQEAAA8AAAAAAAAAAQAgAAAAIgAAAGRycy9kb3ducmV2LnhtbFBLAQIUABQAAAAIAIdO4kDP&#10;dVU36wEAALADAAAOAAAAAAAAAAEAIAAAACMBAABkcnMvZTJvRG9jLnhtbFBLBQYAAAAABgAGAFkB&#10;AACABQAAAAA=&#10;">
                        <v:fill on="f" focussize="0,0"/>
                        <v:stroke color="#000000" joinstyle="round" endarrow="block"/>
                        <v:imagedata o:title=""/>
                        <o:lock v:ext="edit" aspectratio="f"/>
                      </v:shape>
                      <v:shape id="AutoShape 32" o:spid="_x0000_s1026" o:spt="32" type="#_x0000_t32" style="position:absolute;left:3037205;top:3408680;height:1270;width:333375;" filled="f" stroked="t" coordsize="21600,21600" o:gfxdata="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MeyD9IAAAAFAQAADwAAAAAAAAABACAAAAAiAAAAZHJzL2Rvd25yZXYueG1sUEsBAhQAFAAA&#10;AAgAh07iQMYBZeb1AQAAywMAAA4AAAAAAAAAAQAgAAAAIQEAAGRycy9lMm9Eb2MueG1sUEsFBgAA&#10;AAAGAAYAWQEAAIgFAAAAAA==&#10;">
                        <v:fill on="f" focussize="0,0"/>
                        <v:stroke color="#000000" joinstyle="round" dashstyle="dashDot" endarrow="block"/>
                        <v:imagedata o:title=""/>
                        <o:lock v:ext="edit" aspectratio="f"/>
                      </v:shape>
                      <v:rect id="Rectangle 33" o:spid="_x0000_s1026" o:spt="1" style="position:absolute;left:3408680;top:3284855;height:294640;width:494665;" filled="f" stroked="f" coordsize="21600,21600" o:gfxdata="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VUqXrVAAAABQEAAA8AAAAAAAAAAQAgAAAAIgAAAGRycy9kb3ducmV2LnhtbFBL&#10;AQIUABQAAAAIAIdO4kCJ4K3D+QEAANgDAAAOAAAAAAAAAAEAIAAAACQBAABkcnMvZTJvRG9jLnht&#10;bFBLBQYAAAAABgAGAFkBAACPBQAAAAA=&#10;">
                        <v:fill on="f" focussize="0,0"/>
                        <v:stroke on="f"/>
                        <v:imagedata o:title=""/>
                        <o:lock v:ext="edit" aspectratio="f"/>
                        <v:textbox>
                          <w:txbxContent>
                            <w:p>
                              <w:pPr>
                                <w:jc w:val="center"/>
                              </w:pPr>
                              <w:r>
                                <w:rPr>
                                  <w:rFonts w:hint="eastAsia"/>
                                </w:rPr>
                                <w:t>噪声</w:t>
                              </w:r>
                            </w:p>
                          </w:txbxContent>
                        </v:textbox>
                      </v:rect>
                      <w10:wrap type="none"/>
                      <w10:anchorlock/>
                    </v:group>
                  </w:pict>
                </mc:Fallback>
              </mc:AlternateContent>
            </w:r>
          </w:p>
          <w:p>
            <w:pPr>
              <w:pStyle w:val="8"/>
              <w:ind w:left="0" w:leftChars="0" w:firstLine="0" w:firstLineChars="0"/>
              <w:jc w:val="center"/>
              <w:rPr>
                <w:rFonts w:hint="default" w:ascii="Times New Roman" w:hAnsi="Times New Roman" w:cs="Times New Roman"/>
                <w:b/>
                <w:bCs/>
                <w:color w:val="auto"/>
                <w:sz w:val="24"/>
                <w:szCs w:val="24"/>
                <w:u w:val="none"/>
                <w:lang w:val="en-US" w:eastAsia="zh-CN"/>
              </w:rPr>
            </w:pPr>
            <w:r>
              <w:rPr>
                <w:rFonts w:hint="default" w:ascii="Times New Roman" w:hAnsi="Times New Roman" w:cs="Times New Roman"/>
                <w:b/>
                <w:bCs/>
                <w:color w:val="auto"/>
                <w:sz w:val="24"/>
                <w:szCs w:val="24"/>
                <w:u w:val="none"/>
                <w:lang w:val="en-US" w:eastAsia="zh-CN"/>
              </w:rPr>
              <w:t>图</w:t>
            </w:r>
            <w:r>
              <w:rPr>
                <w:rFonts w:hint="eastAsia" w:ascii="Times New Roman" w:hAnsi="Times New Roman" w:cs="Times New Roman"/>
                <w:b/>
                <w:bCs/>
                <w:color w:val="auto"/>
                <w:sz w:val="24"/>
                <w:szCs w:val="24"/>
                <w:u w:val="none"/>
                <w:lang w:val="en-US" w:eastAsia="zh-CN"/>
              </w:rPr>
              <w:t>2</w:t>
            </w:r>
            <w:r>
              <w:rPr>
                <w:rFonts w:hint="eastAsia" w:cs="Times New Roman"/>
                <w:b/>
                <w:bCs/>
                <w:color w:val="auto"/>
                <w:sz w:val="24"/>
                <w:szCs w:val="24"/>
                <w:u w:val="none"/>
                <w:lang w:val="en-US" w:eastAsia="zh-CN"/>
              </w:rPr>
              <w:t>-3</w:t>
            </w:r>
            <w:r>
              <w:rPr>
                <w:rFonts w:hint="default" w:ascii="Times New Roman" w:hAnsi="Times New Roman" w:cs="Times New Roman"/>
                <w:b/>
                <w:bCs/>
                <w:color w:val="auto"/>
                <w:sz w:val="24"/>
                <w:szCs w:val="24"/>
                <w:u w:val="none"/>
                <w:lang w:val="en-US" w:eastAsia="zh-CN"/>
              </w:rPr>
              <w:t xml:space="preserve">  项目工艺流程图</w:t>
            </w:r>
          </w:p>
          <w:p>
            <w:pPr>
              <w:keepNext w:val="0"/>
              <w:keepLines w:val="0"/>
              <w:pageBreakBefore w:val="0"/>
              <w:widowControl/>
              <w:kinsoku/>
              <w:wordWrap/>
              <w:overflowPunct/>
              <w:topLinePunct w:val="0"/>
              <w:autoSpaceDE/>
              <w:autoSpaceDN/>
              <w:bidi w:val="0"/>
              <w:adjustRightInd/>
              <w:snapToGrid w:val="0"/>
              <w:spacing w:line="360" w:lineRule="auto"/>
              <w:ind w:firstLine="500" w:firstLineChars="200"/>
              <w:textAlignment w:val="auto"/>
              <w:rPr>
                <w:rFonts w:hint="default" w:ascii="Times New Roman" w:hAnsi="Times New Roman" w:eastAsia="宋体" w:cs="Times New Roman"/>
                <w:b/>
                <w:bCs w:val="0"/>
                <w:color w:val="auto"/>
                <w:sz w:val="24"/>
                <w:szCs w:val="24"/>
                <w:u w:val="none"/>
              </w:rPr>
            </w:pPr>
            <w:r>
              <w:rPr>
                <w:rFonts w:hint="default" w:ascii="Times New Roman" w:hAnsi="Times New Roman" w:eastAsia="宋体" w:cs="Times New Roman"/>
                <w:b/>
                <w:bCs w:val="0"/>
                <w:color w:val="auto"/>
                <w:sz w:val="24"/>
                <w:szCs w:val="24"/>
                <w:u w:val="none"/>
              </w:rPr>
              <w:t>生产工艺流程简述：</w:t>
            </w:r>
          </w:p>
          <w:p>
            <w:pPr>
              <w:keepNext w:val="0"/>
              <w:keepLines w:val="0"/>
              <w:pageBreakBefore w:val="0"/>
              <w:widowControl/>
              <w:kinsoku/>
              <w:wordWrap/>
              <w:overflowPunct/>
              <w:topLinePunct w:val="0"/>
              <w:autoSpaceDE/>
              <w:autoSpaceDN/>
              <w:bidi w:val="0"/>
              <w:adjustRightInd/>
              <w:snapToGrid w:val="0"/>
              <w:spacing w:line="360" w:lineRule="auto"/>
              <w:ind w:firstLine="50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本项目原材料（含废PP料</w:t>
            </w:r>
            <w:r>
              <w:rPr>
                <w:rFonts w:hint="eastAsia" w:ascii="Times New Roman" w:hAnsi="Times New Roman" w:eastAsia="宋体" w:cs="Times New Roman"/>
                <w:color w:val="auto"/>
                <w:sz w:val="24"/>
                <w:szCs w:val="24"/>
                <w:u w:val="none"/>
                <w:lang w:val="en-US" w:eastAsia="zh-CN"/>
              </w:rPr>
              <w:t>和</w:t>
            </w:r>
            <w:r>
              <w:rPr>
                <w:rFonts w:hint="default" w:ascii="Times New Roman" w:hAnsi="Times New Roman" w:eastAsia="宋体" w:cs="Times New Roman"/>
                <w:color w:val="auto"/>
                <w:sz w:val="24"/>
                <w:szCs w:val="24"/>
                <w:u w:val="none"/>
                <w:lang w:val="en-US" w:eastAsia="zh-CN"/>
              </w:rPr>
              <w:t>废PE料）主要为购自相关企业清洗、破碎处理过的1~3cm废洗衣机和冰箱外壳破碎后的废料，原料已经清洗破碎，无进口原材料，原料中</w:t>
            </w:r>
            <w:r>
              <w:rPr>
                <w:rFonts w:hint="default" w:ascii="Times New Roman" w:hAnsi="Times New Roman" w:eastAsia="宋体" w:cs="Times New Roman"/>
                <w:b w:val="0"/>
                <w:bCs w:val="0"/>
                <w:color w:val="auto"/>
                <w:sz w:val="24"/>
                <w:szCs w:val="24"/>
                <w:u w:val="none"/>
                <w:lang w:val="en-US" w:eastAsia="zh-CN"/>
              </w:rPr>
              <w:t>禁止回收</w:t>
            </w:r>
            <w:r>
              <w:rPr>
                <w:rFonts w:hint="default" w:ascii="Times New Roman" w:hAnsi="Times New Roman" w:eastAsia="宋体" w:cs="Times New Roman"/>
                <w:color w:val="auto"/>
                <w:sz w:val="24"/>
                <w:szCs w:val="24"/>
                <w:u w:val="none"/>
                <w:lang w:val="en-US" w:eastAsia="zh-CN"/>
              </w:rPr>
              <w:t>受到危险化学品、农药等污染的废弃塑料包装物、废弃一次性医疗用塑料制品等塑料类危险废物、含卤素以及氟塑料等特种工程塑料。各种原料处理工艺大体相同，仅工艺参数设置不同，采用的设备自动化程度较高，通过螺旋输送、气送等方式进行物料的转运，并且各加热装置均采用电加热方式。项目原料进厂前已完成除杂和清洗，因此本次不涉及前期除杂和清洗工序。</w:t>
            </w:r>
          </w:p>
          <w:p>
            <w:pPr>
              <w:keepNext w:val="0"/>
              <w:keepLines w:val="0"/>
              <w:pageBreakBefore w:val="0"/>
              <w:widowControl/>
              <w:kinsoku/>
              <w:wordWrap/>
              <w:overflowPunct/>
              <w:topLinePunct w:val="0"/>
              <w:autoSpaceDE/>
              <w:autoSpaceDN/>
              <w:bidi w:val="0"/>
              <w:adjustRightInd/>
              <w:snapToGrid w:val="0"/>
              <w:spacing w:line="360" w:lineRule="auto"/>
              <w:ind w:firstLine="500" w:firstLineChars="200"/>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1、原料均化</w:t>
            </w:r>
          </w:p>
          <w:p>
            <w:pPr>
              <w:keepNext w:val="0"/>
              <w:keepLines w:val="0"/>
              <w:pageBreakBefore w:val="0"/>
              <w:widowControl/>
              <w:kinsoku/>
              <w:wordWrap/>
              <w:overflowPunct/>
              <w:topLinePunct w:val="0"/>
              <w:autoSpaceDE/>
              <w:autoSpaceDN/>
              <w:bidi w:val="0"/>
              <w:adjustRightInd/>
              <w:snapToGrid w:val="0"/>
              <w:spacing w:line="360" w:lineRule="auto"/>
              <w:ind w:firstLine="500" w:firstLineChars="200"/>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外购袋装的原料通过上料斗，经原料均化仓（10t）自带的绞龙上料机上料至原料均化仓，再通过原料均化仓下料至造粒机（熔融）。由于原料为清洗过的1-3cm片状物料，因此上料不产生粉尘，仅产生废包装袋和噪声。</w:t>
            </w:r>
          </w:p>
          <w:p>
            <w:pPr>
              <w:keepNext w:val="0"/>
              <w:keepLines w:val="0"/>
              <w:pageBreakBefore w:val="0"/>
              <w:widowControl/>
              <w:kinsoku/>
              <w:wordWrap/>
              <w:overflowPunct/>
              <w:topLinePunct w:val="0"/>
              <w:autoSpaceDE/>
              <w:autoSpaceDN/>
              <w:bidi w:val="0"/>
              <w:adjustRightInd/>
              <w:snapToGrid w:val="0"/>
              <w:spacing w:line="360" w:lineRule="auto"/>
              <w:ind w:firstLine="500" w:firstLineChars="200"/>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2、熔融挤出</w:t>
            </w:r>
          </w:p>
          <w:p>
            <w:pPr>
              <w:keepNext w:val="0"/>
              <w:keepLines w:val="0"/>
              <w:pageBreakBefore w:val="0"/>
              <w:widowControl/>
              <w:kinsoku/>
              <w:wordWrap/>
              <w:overflowPunct/>
              <w:topLinePunct w:val="0"/>
              <w:autoSpaceDE/>
              <w:autoSpaceDN/>
              <w:bidi w:val="0"/>
              <w:adjustRightInd/>
              <w:snapToGrid w:val="0"/>
              <w:spacing w:line="360" w:lineRule="auto"/>
              <w:ind w:firstLine="500" w:firstLineChars="200"/>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原料均化仓的物料通过输送管道均匀输送至</w:t>
            </w:r>
            <w:r>
              <w:rPr>
                <w:rFonts w:hint="default" w:ascii="Times New Roman" w:hAnsi="Times New Roman" w:eastAsia="宋体" w:cs="Times New Roman"/>
                <w:color w:val="auto"/>
                <w:sz w:val="24"/>
                <w:szCs w:val="24"/>
                <w:u w:val="none"/>
                <w:lang w:val="en-US" w:eastAsia="zh-CN"/>
              </w:rPr>
              <w:t>造粒机进行熔融，整个过程采用电加热；首先进入的是预热段，预热段温度为80-100℃，经过预热段后原料中的水分基本上通过预热段通风孔蒸发，之后进入熔融段，控制熔融温度在180℃，该温度条件下，原料呈熔融状态，并充分融合，但不会分解；然后挤出成型机加压装置将熔融状态的物料挤压并经滤网挤出，即可形成长条状再生塑料（本项目熔融挤出过程不外加助剂）。挤出料呈条状，挤出机头前安装有过滤网，粘流体经滤网过滤，将未熔物料过滤出来，滤网</w:t>
            </w:r>
            <w:r>
              <w:rPr>
                <w:rFonts w:hint="eastAsia" w:ascii="Times New Roman" w:hAnsi="Times New Roman" w:eastAsia="宋体" w:cs="Times New Roman"/>
                <w:color w:val="auto"/>
                <w:sz w:val="24"/>
                <w:szCs w:val="24"/>
                <w:u w:val="none"/>
                <w:lang w:val="en-US" w:eastAsia="zh-CN"/>
              </w:rPr>
              <w:t>定期</w:t>
            </w:r>
            <w:r>
              <w:rPr>
                <w:rFonts w:hint="default" w:ascii="Times New Roman" w:hAnsi="Times New Roman" w:eastAsia="宋体" w:cs="Times New Roman"/>
                <w:color w:val="auto"/>
                <w:sz w:val="24"/>
                <w:szCs w:val="24"/>
                <w:u w:val="none"/>
                <w:lang w:val="en-US" w:eastAsia="zh-CN"/>
              </w:rPr>
              <w:t>更换</w:t>
            </w:r>
            <w:r>
              <w:rPr>
                <w:rFonts w:hint="eastAsia" w:ascii="Times New Roman" w:hAnsi="Times New Roman" w:eastAsia="宋体" w:cs="Times New Roman"/>
                <w:color w:val="auto"/>
                <w:sz w:val="24"/>
                <w:szCs w:val="24"/>
                <w:u w:val="none"/>
                <w:lang w:val="en-US" w:eastAsia="zh-CN"/>
              </w:rPr>
              <w:t>，由厂家回收</w:t>
            </w:r>
            <w:r>
              <w:rPr>
                <w:rFonts w:hint="default" w:ascii="Times New Roman" w:hAnsi="Times New Roman" w:eastAsia="宋体" w:cs="Times New Roman"/>
                <w:color w:val="auto"/>
                <w:sz w:val="24"/>
                <w:szCs w:val="24"/>
                <w:u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ind w:firstLine="500" w:firstLineChars="200"/>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3、冷却</w:t>
            </w:r>
          </w:p>
          <w:p>
            <w:pPr>
              <w:keepNext w:val="0"/>
              <w:keepLines w:val="0"/>
              <w:pageBreakBefore w:val="0"/>
              <w:widowControl/>
              <w:kinsoku/>
              <w:wordWrap/>
              <w:overflowPunct/>
              <w:topLinePunct w:val="0"/>
              <w:autoSpaceDE/>
              <w:autoSpaceDN/>
              <w:bidi w:val="0"/>
              <w:adjustRightInd/>
              <w:snapToGrid w:val="0"/>
              <w:spacing w:line="360" w:lineRule="auto"/>
              <w:ind w:firstLine="500" w:firstLineChars="200"/>
              <w:textAlignment w:val="auto"/>
              <w:rPr>
                <w:rFonts w:hint="eastAsia"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经挤出机挤出的塑料条，通过牵引经水槽</w:t>
            </w:r>
            <w:r>
              <w:rPr>
                <w:rFonts w:hint="default" w:ascii="Times New Roman" w:hAnsi="Times New Roman" w:cs="Times New Roman"/>
                <w:color w:val="auto"/>
                <w:sz w:val="24"/>
                <w:szCs w:val="24"/>
                <w:lang w:val="en-US" w:eastAsia="zh-CN"/>
              </w:rPr>
              <w:t>（长4m*宽0.55m*深0.35m）</w:t>
            </w:r>
            <w:r>
              <w:rPr>
                <w:rFonts w:hint="default" w:ascii="Times New Roman" w:hAnsi="Times New Roman" w:eastAsia="宋体" w:cs="Times New Roman"/>
                <w:color w:val="auto"/>
                <w:sz w:val="24"/>
                <w:szCs w:val="24"/>
                <w:u w:val="none"/>
                <w:lang w:val="en-US" w:eastAsia="zh-CN"/>
              </w:rPr>
              <w:t>冷却降温，水槽内的水通过</w:t>
            </w:r>
            <w:r>
              <w:rPr>
                <w:rFonts w:hint="eastAsia" w:ascii="Times New Roman" w:hAnsi="Times New Roman" w:eastAsia="宋体" w:cs="Times New Roman"/>
                <w:color w:val="auto"/>
                <w:sz w:val="24"/>
                <w:szCs w:val="24"/>
                <w:u w:val="none"/>
                <w:lang w:val="en-US" w:eastAsia="zh-CN"/>
              </w:rPr>
              <w:t>冷却水池</w:t>
            </w:r>
            <w:r>
              <w:rPr>
                <w:rFonts w:hint="default" w:ascii="Times New Roman" w:hAnsi="Times New Roman" w:eastAsia="宋体" w:cs="Times New Roman"/>
                <w:color w:val="auto"/>
                <w:sz w:val="24"/>
                <w:szCs w:val="24"/>
                <w:u w:val="none"/>
                <w:lang w:val="en-US" w:eastAsia="zh-CN"/>
              </w:rPr>
              <w:t>降温后返回水槽，循环使用，不外排，定期补充新鲜水</w:t>
            </w:r>
            <w:r>
              <w:rPr>
                <w:rFonts w:hint="eastAsia" w:ascii="Times New Roman" w:hAnsi="Times New Roman" w:eastAsia="宋体" w:cs="Times New Roman"/>
                <w:color w:val="auto"/>
                <w:sz w:val="24"/>
                <w:szCs w:val="24"/>
                <w:u w:val="none"/>
                <w:lang w:val="en-US" w:eastAsia="zh-CN"/>
              </w:rPr>
              <w:t>。</w:t>
            </w:r>
          </w:p>
          <w:p>
            <w:pPr>
              <w:keepNext w:val="0"/>
              <w:keepLines w:val="0"/>
              <w:pageBreakBefore w:val="0"/>
              <w:widowControl/>
              <w:kinsoku/>
              <w:wordWrap/>
              <w:overflowPunct/>
              <w:topLinePunct w:val="0"/>
              <w:autoSpaceDE/>
              <w:autoSpaceDN/>
              <w:bidi w:val="0"/>
              <w:adjustRightInd/>
              <w:snapToGrid w:val="0"/>
              <w:spacing w:line="360" w:lineRule="auto"/>
              <w:ind w:firstLine="500" w:firstLineChars="200"/>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4、切粒</w:t>
            </w:r>
          </w:p>
          <w:p>
            <w:pPr>
              <w:keepNext w:val="0"/>
              <w:keepLines w:val="0"/>
              <w:pageBreakBefore w:val="0"/>
              <w:widowControl/>
              <w:kinsoku/>
              <w:wordWrap/>
              <w:overflowPunct/>
              <w:topLinePunct w:val="0"/>
              <w:autoSpaceDE/>
              <w:autoSpaceDN/>
              <w:bidi w:val="0"/>
              <w:adjustRightInd/>
              <w:snapToGrid w:val="0"/>
              <w:spacing w:line="360" w:lineRule="auto"/>
              <w:ind w:firstLine="50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经冷却后的成型塑料条，通过</w:t>
            </w:r>
            <w:r>
              <w:rPr>
                <w:rFonts w:hint="eastAsia" w:ascii="Times New Roman" w:hAnsi="Times New Roman" w:eastAsia="宋体" w:cs="Times New Roman"/>
                <w:color w:val="auto"/>
                <w:sz w:val="24"/>
                <w:szCs w:val="24"/>
                <w:u w:val="none"/>
                <w:lang w:val="en-US" w:eastAsia="zh-CN"/>
              </w:rPr>
              <w:t>牵引</w:t>
            </w:r>
            <w:r>
              <w:rPr>
                <w:rFonts w:hint="default" w:ascii="Times New Roman" w:hAnsi="Times New Roman" w:eastAsia="宋体" w:cs="Times New Roman"/>
                <w:color w:val="auto"/>
                <w:sz w:val="24"/>
                <w:szCs w:val="24"/>
                <w:u w:val="none"/>
                <w:lang w:val="en-US" w:eastAsia="zh-CN"/>
              </w:rPr>
              <w:t>送至切粒系统切口处，根据设定好的切粒长度而进行精确的切粒。切粒过程，塑料保留一定温度（约30-50℃），未完全塑化，呈胶软状态，切粒时不产生粉尘。</w:t>
            </w: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500"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5、筛分</w:t>
            </w: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500" w:firstLineChars="200"/>
              <w:textAlignment w:val="auto"/>
              <w:rPr>
                <w:rFonts w:hint="eastAsia" w:ascii="Times New Roman"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经切粒后成品颗粒，粒径≤4mm</w:t>
            </w:r>
            <w:r>
              <w:rPr>
                <w:rFonts w:hint="eastAsia" w:ascii="Times New Roman"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为保持颗粒的均匀性，通过振动筛筛分，粒径﹥4mm</w:t>
            </w:r>
            <w:r>
              <w:rPr>
                <w:rFonts w:hint="eastAsia" w:ascii="Times New Roman" w:cs="Times New Roman"/>
                <w:b w:val="0"/>
                <w:bCs w:val="0"/>
                <w:color w:val="auto"/>
                <w:kern w:val="2"/>
                <w:sz w:val="24"/>
                <w:szCs w:val="24"/>
                <w:lang w:val="en-US" w:eastAsia="zh-CN" w:bidi="ar-SA"/>
              </w:rPr>
              <w:t>的经收集后返回生产工序再使用，合格的成品颗粒通过风力输送至成品均化仓。</w:t>
            </w: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500" w:firstLineChars="200"/>
              <w:textAlignment w:val="auto"/>
              <w:rPr>
                <w:rFonts w:hint="default" w:ascii="Times New Roman" w:cs="Times New Roman"/>
                <w:b/>
                <w:bCs/>
                <w:color w:val="auto"/>
                <w:kern w:val="2"/>
                <w:sz w:val="24"/>
                <w:szCs w:val="24"/>
                <w:lang w:val="en-US" w:eastAsia="zh-CN" w:bidi="ar-SA"/>
              </w:rPr>
            </w:pPr>
            <w:r>
              <w:rPr>
                <w:rFonts w:hint="eastAsia" w:ascii="Times New Roman" w:cs="Times New Roman"/>
                <w:b/>
                <w:bCs/>
                <w:color w:val="auto"/>
                <w:kern w:val="2"/>
                <w:sz w:val="24"/>
                <w:szCs w:val="24"/>
                <w:lang w:val="en-US" w:eastAsia="zh-CN" w:bidi="ar-SA"/>
              </w:rPr>
              <w:t>6、成品均化仓和包装</w:t>
            </w: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500" w:firstLineChars="200"/>
              <w:textAlignment w:val="auto"/>
              <w:rPr>
                <w:rFonts w:hint="default" w:ascii="Times New Roman" w:cs="Times New Roman"/>
                <w:b w:val="0"/>
                <w:bCs w:val="0"/>
                <w:color w:val="auto"/>
                <w:kern w:val="2"/>
                <w:sz w:val="24"/>
                <w:szCs w:val="24"/>
                <w:lang w:val="en-US" w:eastAsia="zh-CN" w:bidi="ar-SA"/>
              </w:rPr>
            </w:pPr>
            <w:r>
              <w:rPr>
                <w:rFonts w:hint="eastAsia" w:ascii="Times New Roman" w:cs="Times New Roman"/>
                <w:b w:val="0"/>
                <w:bCs w:val="0"/>
                <w:color w:val="auto"/>
                <w:kern w:val="2"/>
                <w:sz w:val="24"/>
                <w:szCs w:val="24"/>
                <w:lang w:val="en-US" w:eastAsia="zh-CN" w:bidi="ar-SA"/>
              </w:rPr>
              <w:t>通过风力输送至成品均化仓的颗粒，经成品均化仓下料斗进入自动包装机进行包装，40kg每袋，存放在成品区待售。</w:t>
            </w: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50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根据《典型塑料热解规律的研究》（哈尔滨工业大学学报，第38卷，第11期）废塑料在不同升温速率下，发生热解的温度在300~500℃，本项目挤出机采用电加热，熔融挤出温度根据进入塑料不同，控制温度不同在1</w:t>
            </w:r>
            <w:r>
              <w:rPr>
                <w:rFonts w:hint="eastAsia" w:ascii="Times New Roman" w:hAnsi="Times New Roman" w:eastAsia="宋体" w:cs="Times New Roman"/>
                <w:b w:val="0"/>
                <w:bCs w:val="0"/>
                <w:color w:val="auto"/>
                <w:kern w:val="2"/>
                <w:sz w:val="24"/>
                <w:szCs w:val="24"/>
                <w:lang w:val="en-US" w:eastAsia="zh-CN" w:bidi="ar-SA"/>
              </w:rPr>
              <w:t>8</w:t>
            </w:r>
            <w:r>
              <w:rPr>
                <w:rFonts w:hint="default" w:ascii="Times New Roman" w:hAnsi="Times New Roman" w:eastAsia="宋体" w:cs="Times New Roman"/>
                <w:b w:val="0"/>
                <w:bCs w:val="0"/>
                <w:color w:val="auto"/>
                <w:kern w:val="2"/>
                <w:sz w:val="24"/>
                <w:szCs w:val="24"/>
                <w:lang w:val="en-US" w:eastAsia="zh-CN" w:bidi="ar-SA"/>
              </w:rPr>
              <w:t>0℃左右，因此本项目加热温度低于原料裂解温度，故无裂解废气产生，不会产生多环芳香烃类有机物。但在高温融化的过程中仍会有少量挥发性较强的有机气体释放出来，本项目所用废旧塑料不含卤素，无HCl等废气产生，故有机废气主要为烷烃和烯烃（以非甲烷总烃计）。</w:t>
            </w:r>
          </w:p>
          <w:p>
            <w:pPr>
              <w:spacing w:line="420" w:lineRule="atLeast"/>
              <w:ind w:firstLine="500" w:firstLineChars="200"/>
              <w:rPr>
                <w:rFonts w:hint="default" w:ascii="Times New Roman" w:hAnsi="Times New Roman" w:cs="Times New Roman"/>
                <w:b/>
                <w:bCs/>
                <w:sz w:val="24"/>
                <w:szCs w:val="24"/>
              </w:rPr>
            </w:pPr>
            <w:r>
              <w:rPr>
                <w:rFonts w:hint="eastAsia" w:ascii="Times New Roman" w:hAnsi="Times New Roman" w:cs="Times New Roman"/>
                <w:b/>
                <w:bCs/>
                <w:sz w:val="24"/>
                <w:szCs w:val="24"/>
                <w:lang w:eastAsia="zh-CN"/>
              </w:rPr>
              <w:t>三</w:t>
            </w:r>
            <w:r>
              <w:rPr>
                <w:rFonts w:hint="default" w:ascii="Times New Roman" w:hAnsi="Times New Roman" w:cs="Times New Roman"/>
                <w:b/>
                <w:bCs/>
                <w:sz w:val="24"/>
                <w:szCs w:val="24"/>
              </w:rPr>
              <w:t>、产污环节分析</w:t>
            </w:r>
          </w:p>
          <w:p>
            <w:pPr>
              <w:spacing w:line="420" w:lineRule="atLeast"/>
              <w:ind w:firstLine="500" w:firstLineChars="200"/>
              <w:rPr>
                <w:rFonts w:hint="default" w:ascii="Times New Roman" w:hAnsi="Times New Roman" w:cs="Times New Roman"/>
                <w:sz w:val="24"/>
                <w:szCs w:val="24"/>
              </w:rPr>
            </w:pPr>
            <w:r>
              <w:rPr>
                <w:rFonts w:hint="default" w:ascii="Times New Roman" w:hAnsi="Times New Roman" w:cs="Times New Roman"/>
                <w:sz w:val="24"/>
                <w:szCs w:val="24"/>
              </w:rPr>
              <w:t>根据工艺流程分析和并结合有关生产设计资料，本项目生产过程中的污染物主要为以下几个方面：</w:t>
            </w:r>
          </w:p>
          <w:p>
            <w:pPr>
              <w:spacing w:line="420" w:lineRule="atLeast"/>
              <w:ind w:firstLine="500" w:firstLineChars="200"/>
              <w:rPr>
                <w:rFonts w:hint="default" w:ascii="Times New Roman" w:hAnsi="Times New Roman" w:cs="Times New Roman"/>
                <w:sz w:val="24"/>
                <w:szCs w:val="24"/>
              </w:rPr>
            </w:pPr>
            <w:r>
              <w:rPr>
                <w:rFonts w:hint="default" w:ascii="Times New Roman" w:hAnsi="Times New Roman" w:cs="Times New Roman"/>
                <w:sz w:val="24"/>
                <w:szCs w:val="24"/>
              </w:rPr>
              <w:t>（1）废水</w:t>
            </w:r>
          </w:p>
          <w:p>
            <w:pPr>
              <w:spacing w:line="420" w:lineRule="atLeast"/>
              <w:ind w:firstLine="500" w:firstLineChars="200"/>
              <w:rPr>
                <w:rFonts w:hint="default" w:ascii="Times New Roman" w:hAnsi="Times New Roman" w:cs="Times New Roman"/>
                <w:sz w:val="24"/>
                <w:szCs w:val="24"/>
              </w:rPr>
            </w:pPr>
            <w:r>
              <w:rPr>
                <w:rFonts w:hint="default" w:ascii="Times New Roman" w:hAnsi="Times New Roman" w:cs="Times New Roman"/>
                <w:sz w:val="24"/>
                <w:szCs w:val="24"/>
              </w:rPr>
              <w:t>项目营运期废水主要为职工生活污水</w:t>
            </w:r>
            <w:r>
              <w:rPr>
                <w:rFonts w:hint="eastAsia" w:ascii="Times New Roman" w:hAnsi="Times New Roman" w:cs="Times New Roman"/>
                <w:sz w:val="24"/>
                <w:szCs w:val="24"/>
                <w:lang w:eastAsia="zh-CN"/>
              </w:rPr>
              <w:t>、冷却废水和喷淋塔废水</w:t>
            </w:r>
            <w:r>
              <w:rPr>
                <w:rFonts w:hint="default" w:ascii="Times New Roman" w:hAnsi="Times New Roman" w:cs="Times New Roman"/>
                <w:sz w:val="24"/>
                <w:szCs w:val="24"/>
              </w:rPr>
              <w:t>。</w:t>
            </w:r>
          </w:p>
          <w:p>
            <w:pPr>
              <w:spacing w:line="420" w:lineRule="atLeast"/>
              <w:ind w:firstLine="500" w:firstLineChars="200"/>
              <w:rPr>
                <w:rFonts w:hint="default" w:ascii="Times New Roman" w:hAnsi="Times New Roman" w:cs="Times New Roman"/>
                <w:sz w:val="24"/>
                <w:szCs w:val="24"/>
              </w:rPr>
            </w:pPr>
            <w:r>
              <w:rPr>
                <w:rFonts w:hint="default" w:ascii="Times New Roman" w:hAnsi="Times New Roman" w:cs="Times New Roman"/>
                <w:sz w:val="24"/>
                <w:szCs w:val="24"/>
              </w:rPr>
              <w:t>（2）废气</w:t>
            </w:r>
          </w:p>
          <w:p>
            <w:pPr>
              <w:spacing w:line="420" w:lineRule="atLeast"/>
              <w:ind w:firstLine="500" w:firstLineChars="200"/>
              <w:rPr>
                <w:rFonts w:hint="default" w:ascii="Times New Roman" w:hAnsi="Times New Roman" w:cs="Times New Roman"/>
                <w:sz w:val="24"/>
                <w:szCs w:val="24"/>
              </w:rPr>
            </w:pPr>
            <w:r>
              <w:rPr>
                <w:rFonts w:hint="default" w:ascii="Times New Roman" w:hAnsi="Times New Roman" w:cs="Times New Roman"/>
                <w:sz w:val="24"/>
                <w:szCs w:val="24"/>
              </w:rPr>
              <w:t>项目废气主要为</w:t>
            </w:r>
            <w:r>
              <w:rPr>
                <w:rFonts w:hint="default" w:ascii="Times New Roman" w:hAnsi="Times New Roman" w:cs="Times New Roman"/>
                <w:sz w:val="24"/>
                <w:szCs w:val="24"/>
                <w:lang w:val="en-US" w:eastAsia="zh-CN"/>
              </w:rPr>
              <w:t>熔融挤出过程产生的非甲烷总烃废气</w:t>
            </w:r>
            <w:r>
              <w:rPr>
                <w:rFonts w:hint="default" w:ascii="Times New Roman" w:hAnsi="Times New Roman" w:cs="Times New Roman"/>
                <w:sz w:val="24"/>
                <w:szCs w:val="24"/>
              </w:rPr>
              <w:t>。</w:t>
            </w:r>
          </w:p>
          <w:p>
            <w:pPr>
              <w:spacing w:line="420" w:lineRule="atLeast"/>
              <w:ind w:firstLine="500" w:firstLineChars="200"/>
              <w:rPr>
                <w:rFonts w:hint="default" w:ascii="Times New Roman" w:hAnsi="Times New Roman" w:cs="Times New Roman"/>
                <w:sz w:val="24"/>
                <w:szCs w:val="24"/>
              </w:rPr>
            </w:pPr>
            <w:r>
              <w:rPr>
                <w:rFonts w:hint="default" w:ascii="Times New Roman" w:hAnsi="Times New Roman" w:cs="Times New Roman"/>
                <w:sz w:val="24"/>
                <w:szCs w:val="24"/>
              </w:rPr>
              <w:t>（3）噪声</w:t>
            </w:r>
          </w:p>
          <w:p>
            <w:pPr>
              <w:spacing w:line="420" w:lineRule="atLeast"/>
              <w:ind w:firstLine="500" w:firstLineChars="200"/>
              <w:rPr>
                <w:rFonts w:hint="default" w:ascii="Times New Roman" w:hAnsi="Times New Roman" w:cs="Times New Roman"/>
                <w:sz w:val="24"/>
                <w:szCs w:val="24"/>
              </w:rPr>
            </w:pPr>
            <w:r>
              <w:rPr>
                <w:rFonts w:hint="default" w:ascii="Times New Roman" w:hAnsi="Times New Roman" w:cs="Times New Roman"/>
                <w:sz w:val="24"/>
                <w:szCs w:val="24"/>
              </w:rPr>
              <w:t>项目营运期产生的噪声主要为设备运行过程产生的噪声。</w:t>
            </w:r>
          </w:p>
          <w:p>
            <w:pPr>
              <w:spacing w:line="420" w:lineRule="atLeast"/>
              <w:ind w:firstLine="500" w:firstLineChars="200"/>
              <w:rPr>
                <w:rFonts w:hint="default" w:ascii="Times New Roman" w:hAnsi="Times New Roman" w:cs="Times New Roman"/>
                <w:sz w:val="24"/>
                <w:szCs w:val="24"/>
              </w:rPr>
            </w:pPr>
            <w:r>
              <w:rPr>
                <w:rFonts w:hint="default" w:ascii="Times New Roman" w:hAnsi="Times New Roman" w:cs="Times New Roman"/>
                <w:sz w:val="24"/>
                <w:szCs w:val="24"/>
              </w:rPr>
              <w:t>（4）固废</w:t>
            </w:r>
          </w:p>
          <w:p>
            <w:pPr>
              <w:spacing w:line="420" w:lineRule="atLeast"/>
              <w:ind w:firstLine="500" w:firstLineChars="200"/>
              <w:rPr>
                <w:rFonts w:hint="default" w:ascii="Times New Roman" w:hAnsi="Times New Roman" w:cs="Times New Roman"/>
              </w:rPr>
            </w:pPr>
            <w:r>
              <w:rPr>
                <w:rFonts w:hint="default" w:ascii="Times New Roman" w:hAnsi="Times New Roman" w:cs="Times New Roman"/>
                <w:sz w:val="24"/>
                <w:szCs w:val="24"/>
              </w:rPr>
              <w:t>本项目固体废物主要有</w:t>
            </w:r>
            <w:r>
              <w:rPr>
                <w:rFonts w:hint="eastAsia" w:ascii="Times New Roman" w:hAnsi="Times New Roman" w:cs="Times New Roman"/>
                <w:sz w:val="24"/>
                <w:szCs w:val="24"/>
                <w:lang w:val="en-US" w:eastAsia="zh-CN"/>
              </w:rPr>
              <w:t>不合格品</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废包装袋、</w:t>
            </w:r>
            <w:r>
              <w:rPr>
                <w:rFonts w:hint="default" w:ascii="Times New Roman" w:hAnsi="Times New Roman" w:cs="Times New Roman"/>
                <w:sz w:val="24"/>
                <w:szCs w:val="24"/>
                <w:lang w:val="en-US" w:eastAsia="zh-CN"/>
              </w:rPr>
              <w:t>废滤网（含滤渣）、</w:t>
            </w:r>
            <w:r>
              <w:rPr>
                <w:rFonts w:hint="default" w:ascii="Times New Roman" w:hAnsi="Times New Roman" w:cs="Times New Roman"/>
                <w:sz w:val="24"/>
                <w:szCs w:val="24"/>
              </w:rPr>
              <w:t>职工生活垃圾、化粪池污泥、废活性炭和</w:t>
            </w:r>
            <w:r>
              <w:rPr>
                <w:rFonts w:hint="default" w:ascii="Times New Roman" w:hAnsi="Times New Roman" w:cs="Times New Roman"/>
                <w:sz w:val="24"/>
                <w:szCs w:val="24"/>
                <w:lang w:val="en-US" w:eastAsia="zh-CN"/>
              </w:rPr>
              <w:t>废灯管等</w:t>
            </w:r>
            <w:r>
              <w:rPr>
                <w:rFonts w:hint="default" w:ascii="Times New Roman" w:hAnsi="Times New Roman" w:cs="Times New Roman"/>
                <w:sz w:val="24"/>
                <w:szCs w:val="24"/>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998" w:type="dxa"/>
            <w:vAlign w:val="top"/>
          </w:tcPr>
          <w:p>
            <w:pPr>
              <w:spacing w:line="36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与项目有关的原有环境污染问题</w:t>
            </w:r>
          </w:p>
        </w:tc>
        <w:tc>
          <w:tcPr>
            <w:tcW w:w="8958" w:type="dxa"/>
            <w:vAlign w:val="center"/>
          </w:tcPr>
          <w:p>
            <w:pPr>
              <w:pStyle w:val="17"/>
              <w:spacing w:line="360" w:lineRule="auto"/>
              <w:ind w:left="0" w:firstLine="500" w:firstLineChars="200"/>
              <w:jc w:val="both"/>
              <w:rPr>
                <w:rFonts w:hint="default" w:ascii="Times New Roman" w:hAnsi="Times New Roman" w:cs="Times New Roman"/>
                <w:color w:val="auto"/>
                <w:sz w:val="24"/>
                <w:szCs w:val="24"/>
                <w:lang w:val="en-GB"/>
              </w:rPr>
            </w:pPr>
            <w:r>
              <w:rPr>
                <w:rFonts w:hint="default" w:ascii="Times New Roman" w:hAnsi="Times New Roman" w:cs="Times New Roman"/>
                <w:b w:val="0"/>
                <w:bCs w:val="0"/>
                <w:sz w:val="24"/>
                <w:szCs w:val="24"/>
                <w:u w:val="none"/>
              </w:rPr>
              <w:t>本项目</w:t>
            </w:r>
            <w:r>
              <w:rPr>
                <w:rFonts w:hint="eastAsia" w:ascii="Times New Roman" w:cs="Times New Roman"/>
                <w:b w:val="0"/>
                <w:bCs w:val="0"/>
                <w:sz w:val="24"/>
                <w:szCs w:val="24"/>
                <w:u w:val="none"/>
                <w:lang w:eastAsia="zh-CN"/>
              </w:rPr>
              <w:t>位于南阳市方城县广阳镇后寨村168号，</w:t>
            </w:r>
            <w:r>
              <w:rPr>
                <w:rFonts w:hint="default" w:ascii="Times New Roman" w:hAnsi="Times New Roman" w:cs="Times New Roman"/>
                <w:b w:val="0"/>
                <w:bCs w:val="0"/>
                <w:sz w:val="24"/>
                <w:szCs w:val="24"/>
                <w:u w:val="none"/>
              </w:rPr>
              <w:t>经现场调查，</w:t>
            </w:r>
            <w:r>
              <w:rPr>
                <w:rFonts w:hint="eastAsia" w:ascii="Times New Roman" w:cs="Times New Roman"/>
                <w:b w:val="0"/>
                <w:bCs w:val="0"/>
                <w:sz w:val="24"/>
                <w:szCs w:val="24"/>
                <w:u w:val="none"/>
                <w:lang w:eastAsia="zh-CN"/>
              </w:rPr>
              <w:t>利用现有生产车间</w:t>
            </w:r>
            <w:r>
              <w:rPr>
                <w:rFonts w:hint="eastAsia" w:ascii="Times New Roman" w:cs="Times New Roman"/>
                <w:b w:val="0"/>
                <w:bCs w:val="0"/>
                <w:sz w:val="24"/>
                <w:szCs w:val="24"/>
                <w:u w:val="none"/>
                <w:lang w:val="en-US" w:eastAsia="zh-CN"/>
              </w:rPr>
              <w:t>1座，办公用房</w:t>
            </w:r>
            <w:r>
              <w:rPr>
                <w:rFonts w:hint="default" w:ascii="Times New Roman" w:hAnsi="Times New Roman" w:cs="Times New Roman"/>
                <w:b w:val="0"/>
                <w:bCs w:val="0"/>
                <w:sz w:val="24"/>
                <w:szCs w:val="24"/>
                <w:u w:val="none"/>
              </w:rPr>
              <w:t>尚未动工建设，</w:t>
            </w:r>
            <w:r>
              <w:rPr>
                <w:rFonts w:hint="eastAsia" w:ascii="Times New Roman" w:cs="Times New Roman"/>
                <w:b w:val="0"/>
                <w:bCs w:val="0"/>
                <w:sz w:val="24"/>
                <w:szCs w:val="24"/>
                <w:u w:val="none"/>
                <w:lang w:eastAsia="zh-CN"/>
              </w:rPr>
              <w:t>尚未开工生产，</w:t>
            </w:r>
            <w:r>
              <w:rPr>
                <w:rFonts w:hint="default" w:ascii="Times New Roman" w:hAnsi="Times New Roman" w:cs="Times New Roman"/>
                <w:b w:val="0"/>
                <w:bCs w:val="0"/>
                <w:sz w:val="24"/>
                <w:szCs w:val="24"/>
                <w:u w:val="none"/>
              </w:rPr>
              <w:t>因此不存在与本项目有关的原有污染环境问题。</w:t>
            </w:r>
          </w:p>
        </w:tc>
      </w:tr>
    </w:tbl>
    <w:p>
      <w:pPr>
        <w:spacing w:line="360" w:lineRule="auto"/>
        <w:jc w:val="center"/>
        <w:outlineLvl w:val="0"/>
        <w:rPr>
          <w:rFonts w:hint="default" w:ascii="Times New Roman" w:hAnsi="Times New Roman" w:cs="Times New Roman"/>
          <w:b/>
          <w:bCs/>
          <w:sz w:val="28"/>
          <w:szCs w:val="28"/>
        </w:rPr>
      </w:pPr>
      <w:r>
        <w:rPr>
          <w:rFonts w:hint="default" w:ascii="Times New Roman" w:hAnsi="Times New Roman" w:cs="Times New Roman"/>
          <w:b/>
          <w:bCs/>
          <w:sz w:val="28"/>
          <w:szCs w:val="28"/>
        </w:rPr>
        <w:br w:type="page"/>
      </w:r>
      <w:r>
        <w:rPr>
          <w:rFonts w:hint="default" w:ascii="Times New Roman" w:hAnsi="Times New Roman" w:cs="Times New Roman"/>
          <w:b/>
          <w:bCs/>
          <w:sz w:val="28"/>
          <w:szCs w:val="28"/>
        </w:rPr>
        <w:t>三、区域环境质量现状、环境保护目标及评价标准</w:t>
      </w:r>
    </w:p>
    <w:tbl>
      <w:tblPr>
        <w:tblStyle w:val="11"/>
        <w:tblW w:w="9617"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42"/>
        <w:gridCol w:w="877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930" w:hRule="atLeast"/>
          <w:jc w:val="center"/>
        </w:trPr>
        <w:tc>
          <w:tcPr>
            <w:tcW w:w="842"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b/>
                <w:bCs/>
                <w:sz w:val="24"/>
                <w:szCs w:val="24"/>
              </w:rPr>
              <w:t>区域环境质量现状</w:t>
            </w:r>
          </w:p>
        </w:tc>
        <w:tc>
          <w:tcPr>
            <w:tcW w:w="8775" w:type="dxa"/>
            <w:vAlign w:val="top"/>
          </w:tcPr>
          <w:p>
            <w:pPr>
              <w:spacing w:line="360" w:lineRule="auto"/>
              <w:jc w:val="left"/>
              <w:rPr>
                <w:rFonts w:hint="default" w:ascii="Times New Roman" w:hAnsi="Times New Roman" w:cs="Times New Roman"/>
                <w:b/>
                <w:bCs/>
                <w:sz w:val="24"/>
                <w:szCs w:val="24"/>
              </w:rPr>
            </w:pPr>
            <w:r>
              <w:rPr>
                <w:rFonts w:hint="default" w:ascii="Times New Roman" w:hAnsi="Times New Roman" w:cs="Times New Roman"/>
                <w:b/>
                <w:bCs/>
                <w:sz w:val="24"/>
                <w:szCs w:val="24"/>
              </w:rPr>
              <w:t>一、区域环境质量现状</w:t>
            </w:r>
          </w:p>
          <w:p>
            <w:pPr>
              <w:spacing w:line="360" w:lineRule="auto"/>
              <w:ind w:firstLine="50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1、环境空气质量现状</w:t>
            </w:r>
          </w:p>
          <w:p>
            <w:pPr>
              <w:widowControl/>
              <w:spacing w:line="360" w:lineRule="auto"/>
              <w:ind w:firstLine="500" w:firstLineChars="200"/>
              <w:contextualSpacing/>
              <w:rPr>
                <w:rFonts w:hint="default" w:ascii="Times New Roman" w:hAnsi="Times New Roman" w:cs="Times New Roman"/>
                <w:i/>
                <w:sz w:val="24"/>
                <w:szCs w:val="24"/>
                <w:u w:val="single"/>
              </w:rPr>
            </w:pPr>
            <w:r>
              <w:rPr>
                <w:rFonts w:hint="default" w:ascii="Times New Roman" w:hAnsi="Times New Roman" w:cs="Times New Roman"/>
                <w:sz w:val="24"/>
                <w:szCs w:val="24"/>
              </w:rPr>
              <w:t>本项目位于南阳市方城县广阳镇后寨村168号，根据环境空气质量功能区划分，根据环境空气质量功能区划分，项目所在地为二类功能区，环境空气质量执行《环境空气质量标准》（GB3095-2012）二级标准，</w:t>
            </w:r>
            <w:r>
              <w:rPr>
                <w:rFonts w:hint="default" w:ascii="Times New Roman" w:hAnsi="Times New Roman" w:cs="Times New Roman"/>
                <w:sz w:val="24"/>
                <w:szCs w:val="24"/>
                <w:u w:val="none"/>
              </w:rPr>
              <w:t>本次评价引用根据南阳市生态环境局发布的</w:t>
            </w:r>
            <w:r>
              <w:rPr>
                <w:rFonts w:hint="default" w:ascii="Times New Roman" w:hAnsi="Times New Roman" w:cs="Times New Roman"/>
                <w:color w:val="000000"/>
                <w:sz w:val="24"/>
              </w:rPr>
              <w:t>《2022年河南省南阳市生态环境质量报告书》（南阳市生态环境监测中心2023年6月发布）</w:t>
            </w:r>
            <w:r>
              <w:rPr>
                <w:rFonts w:hint="default" w:ascii="Times New Roman" w:hAnsi="Times New Roman" w:cs="Times New Roman"/>
                <w:sz w:val="24"/>
                <w:szCs w:val="24"/>
                <w:u w:val="none"/>
              </w:rPr>
              <w:t>中的年度监测数据进行统计分析，监测因子为 SO</w:t>
            </w:r>
            <w:r>
              <w:rPr>
                <w:rFonts w:hint="default" w:ascii="Times New Roman" w:hAnsi="Times New Roman" w:cs="Times New Roman"/>
                <w:sz w:val="24"/>
                <w:szCs w:val="24"/>
                <w:u w:val="none"/>
                <w:vertAlign w:val="subscript"/>
              </w:rPr>
              <w:t>2</w:t>
            </w:r>
            <w:r>
              <w:rPr>
                <w:rFonts w:hint="default" w:ascii="Times New Roman" w:hAnsi="Times New Roman" w:cs="Times New Roman"/>
                <w:sz w:val="24"/>
                <w:szCs w:val="24"/>
                <w:u w:val="none"/>
              </w:rPr>
              <w:t>、NO</w:t>
            </w:r>
            <w:r>
              <w:rPr>
                <w:rFonts w:hint="default" w:ascii="Times New Roman" w:hAnsi="Times New Roman" w:cs="Times New Roman"/>
                <w:sz w:val="24"/>
                <w:szCs w:val="24"/>
                <w:u w:val="none"/>
                <w:vertAlign w:val="subscript"/>
              </w:rPr>
              <w:t>2</w:t>
            </w:r>
            <w:r>
              <w:rPr>
                <w:rFonts w:hint="default" w:ascii="Times New Roman" w:hAnsi="Times New Roman" w:cs="Times New Roman"/>
                <w:sz w:val="24"/>
                <w:szCs w:val="24"/>
                <w:u w:val="none"/>
              </w:rPr>
              <w:t>、PM</w:t>
            </w:r>
            <w:r>
              <w:rPr>
                <w:rFonts w:hint="default" w:ascii="Times New Roman" w:hAnsi="Times New Roman" w:cs="Times New Roman"/>
                <w:sz w:val="24"/>
                <w:szCs w:val="24"/>
                <w:u w:val="none"/>
                <w:vertAlign w:val="subscript"/>
              </w:rPr>
              <w:t>10</w:t>
            </w:r>
            <w:r>
              <w:rPr>
                <w:rFonts w:hint="default" w:ascii="Times New Roman" w:hAnsi="Times New Roman" w:cs="Times New Roman"/>
                <w:sz w:val="24"/>
                <w:szCs w:val="24"/>
                <w:u w:val="none"/>
              </w:rPr>
              <w:t>、PM</w:t>
            </w:r>
            <w:r>
              <w:rPr>
                <w:rFonts w:hint="default" w:ascii="Times New Roman" w:hAnsi="Times New Roman" w:cs="Times New Roman"/>
                <w:sz w:val="24"/>
                <w:szCs w:val="24"/>
                <w:u w:val="none"/>
                <w:vertAlign w:val="subscript"/>
              </w:rPr>
              <w:t>2.5</w:t>
            </w:r>
            <w:r>
              <w:rPr>
                <w:rFonts w:hint="default" w:ascii="Times New Roman" w:hAnsi="Times New Roman" w:cs="Times New Roman"/>
                <w:sz w:val="24"/>
                <w:szCs w:val="24"/>
                <w:u w:val="none"/>
              </w:rPr>
              <w:t>、CO和O</w:t>
            </w:r>
            <w:r>
              <w:rPr>
                <w:rFonts w:hint="default" w:ascii="Times New Roman" w:hAnsi="Times New Roman" w:cs="Times New Roman"/>
                <w:sz w:val="24"/>
                <w:szCs w:val="24"/>
                <w:u w:val="none"/>
                <w:vertAlign w:val="subscript"/>
              </w:rPr>
              <w:t>3</w:t>
            </w:r>
            <w:r>
              <w:rPr>
                <w:rFonts w:hint="default" w:ascii="Times New Roman" w:hAnsi="Times New Roman" w:cs="Times New Roman"/>
                <w:sz w:val="24"/>
                <w:szCs w:val="24"/>
                <w:u w:val="none"/>
              </w:rPr>
              <w:t>，监测结果及统计分析见下表。</w:t>
            </w:r>
          </w:p>
          <w:p>
            <w:pPr>
              <w:autoSpaceDE w:val="0"/>
              <w:autoSpaceDN w:val="0"/>
              <w:adjustRightInd w:val="0"/>
              <w:spacing w:line="400" w:lineRule="exact"/>
              <w:ind w:firstLine="750" w:firstLineChars="300"/>
              <w:rPr>
                <w:rFonts w:hint="default" w:ascii="Times New Roman" w:hAnsi="Times New Roman" w:cs="Times New Roman"/>
                <w:b/>
                <w:bCs/>
                <w:sz w:val="24"/>
                <w:szCs w:val="24"/>
              </w:rPr>
            </w:pPr>
            <w:r>
              <w:rPr>
                <w:rFonts w:hint="default" w:ascii="Times New Roman" w:hAnsi="Times New Roman" w:cs="Times New Roman"/>
                <w:b/>
                <w:bCs/>
                <w:sz w:val="24"/>
                <w:szCs w:val="24"/>
              </w:rPr>
              <w:t>表3-1  区域环境空气质量现状评价表（单位：µg/m</w:t>
            </w:r>
            <w:r>
              <w:rPr>
                <w:rFonts w:hint="default" w:ascii="Times New Roman" w:hAnsi="Times New Roman" w:cs="Times New Roman"/>
                <w:b/>
                <w:bCs/>
                <w:sz w:val="24"/>
                <w:szCs w:val="24"/>
                <w:vertAlign w:val="superscript"/>
              </w:rPr>
              <w:t>3</w:t>
            </w:r>
            <w:r>
              <w:rPr>
                <w:rFonts w:hint="default" w:ascii="Times New Roman" w:hAnsi="Times New Roman" w:cs="Times New Roman"/>
                <w:b/>
                <w:bCs/>
                <w:sz w:val="24"/>
                <w:szCs w:val="24"/>
              </w:rPr>
              <w:t>；一氧化碳mg/m</w:t>
            </w:r>
            <w:r>
              <w:rPr>
                <w:rFonts w:hint="default" w:ascii="Times New Roman" w:hAnsi="Times New Roman" w:cs="Times New Roman"/>
                <w:b/>
                <w:bCs/>
                <w:sz w:val="24"/>
                <w:szCs w:val="24"/>
                <w:vertAlign w:val="superscript"/>
              </w:rPr>
              <w:t>3</w:t>
            </w:r>
            <w:r>
              <w:rPr>
                <w:rFonts w:hint="default" w:ascii="Times New Roman" w:hAnsi="Times New Roman" w:cs="Times New Roman"/>
                <w:b/>
                <w:bCs/>
                <w:sz w:val="24"/>
                <w:szCs w:val="24"/>
              </w:rPr>
              <w:t>）</w:t>
            </w:r>
          </w:p>
          <w:tbl>
            <w:tblPr>
              <w:tblStyle w:val="11"/>
              <w:tblW w:w="850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71"/>
              <w:gridCol w:w="2777"/>
              <w:gridCol w:w="1389"/>
              <w:gridCol w:w="1255"/>
              <w:gridCol w:w="1040"/>
              <w:gridCol w:w="9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71" w:type="dxa"/>
                  <w:tcBorders>
                    <w:left w:val="single" w:color="auto" w:sz="4" w:space="0"/>
                    <w:bottom w:val="single" w:color="auto" w:sz="4" w:space="0"/>
                  </w:tcBorders>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w:t>
                  </w:r>
                </w:p>
              </w:tc>
              <w:tc>
                <w:tcPr>
                  <w:tcW w:w="2777"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年评价指标</w:t>
                  </w:r>
                </w:p>
              </w:tc>
              <w:tc>
                <w:tcPr>
                  <w:tcW w:w="1389"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现状浓度（μg/m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1255"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标准值（μg/m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w:t>
                  </w:r>
                </w:p>
              </w:tc>
              <w:tc>
                <w:tcPr>
                  <w:tcW w:w="1040"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占标率（%）</w:t>
                  </w:r>
                </w:p>
              </w:tc>
              <w:tc>
                <w:tcPr>
                  <w:tcW w:w="970"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71" w:type="dxa"/>
                  <w:tcBorders>
                    <w:top w:val="single" w:color="auto" w:sz="4" w:space="0"/>
                    <w:left w:val="single" w:color="auto" w:sz="4" w:space="0"/>
                  </w:tcBorders>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PM</w:t>
                  </w:r>
                  <w:r>
                    <w:rPr>
                      <w:rFonts w:hint="default" w:ascii="Times New Roman" w:hAnsi="Times New Roman" w:eastAsia="宋体" w:cs="Times New Roman"/>
                      <w:color w:val="000000"/>
                      <w:sz w:val="21"/>
                      <w:szCs w:val="21"/>
                      <w:vertAlign w:val="subscript"/>
                    </w:rPr>
                    <w:t>10</w:t>
                  </w:r>
                </w:p>
              </w:tc>
              <w:tc>
                <w:tcPr>
                  <w:tcW w:w="2777"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年平均质量浓度</w:t>
                  </w:r>
                </w:p>
              </w:tc>
              <w:tc>
                <w:tcPr>
                  <w:tcW w:w="1389" w:type="dxa"/>
                  <w:vAlign w:val="center"/>
                </w:tcPr>
                <w:p>
                  <w:pPr>
                    <w:adjustRightInd w:val="0"/>
                    <w:snapToGrid w:val="0"/>
                    <w:spacing w:line="36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78</w:t>
                  </w:r>
                </w:p>
              </w:tc>
              <w:tc>
                <w:tcPr>
                  <w:tcW w:w="1255"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70</w:t>
                  </w:r>
                </w:p>
              </w:tc>
              <w:tc>
                <w:tcPr>
                  <w:tcW w:w="1040" w:type="dxa"/>
                  <w:vAlign w:val="center"/>
                </w:tcPr>
                <w:p>
                  <w:pPr>
                    <w:adjustRightInd w:val="0"/>
                    <w:snapToGrid w:val="0"/>
                    <w:spacing w:line="36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111.43</w:t>
                  </w:r>
                </w:p>
              </w:tc>
              <w:tc>
                <w:tcPr>
                  <w:tcW w:w="970" w:type="dxa"/>
                  <w:tcBorders>
                    <w:bottom w:val="single" w:color="auto" w:sz="4" w:space="0"/>
                  </w:tcBorders>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超标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8" w:hRule="atLeast"/>
                <w:jc w:val="center"/>
              </w:trPr>
              <w:tc>
                <w:tcPr>
                  <w:tcW w:w="1071" w:type="dxa"/>
                  <w:tcBorders>
                    <w:left w:val="single" w:color="auto" w:sz="4" w:space="0"/>
                  </w:tcBorders>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PM</w:t>
                  </w:r>
                  <w:r>
                    <w:rPr>
                      <w:rFonts w:hint="default" w:ascii="Times New Roman" w:hAnsi="Times New Roman" w:eastAsia="宋体" w:cs="Times New Roman"/>
                      <w:color w:val="000000"/>
                      <w:sz w:val="21"/>
                      <w:szCs w:val="21"/>
                      <w:vertAlign w:val="subscript"/>
                    </w:rPr>
                    <w:t>2.5</w:t>
                  </w:r>
                </w:p>
              </w:tc>
              <w:tc>
                <w:tcPr>
                  <w:tcW w:w="2777"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年平均质量浓度</w:t>
                  </w:r>
                </w:p>
              </w:tc>
              <w:tc>
                <w:tcPr>
                  <w:tcW w:w="1389" w:type="dxa"/>
                  <w:vAlign w:val="center"/>
                </w:tcPr>
                <w:p>
                  <w:pPr>
                    <w:adjustRightInd w:val="0"/>
                    <w:snapToGrid w:val="0"/>
                    <w:spacing w:line="36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45</w:t>
                  </w:r>
                </w:p>
              </w:tc>
              <w:tc>
                <w:tcPr>
                  <w:tcW w:w="1255"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35</w:t>
                  </w:r>
                </w:p>
              </w:tc>
              <w:tc>
                <w:tcPr>
                  <w:tcW w:w="1040" w:type="dxa"/>
                  <w:vAlign w:val="center"/>
                </w:tcPr>
                <w:p>
                  <w:pPr>
                    <w:adjustRightInd w:val="0"/>
                    <w:snapToGrid w:val="0"/>
                    <w:spacing w:line="36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128.57</w:t>
                  </w:r>
                </w:p>
              </w:tc>
              <w:tc>
                <w:tcPr>
                  <w:tcW w:w="970" w:type="dxa"/>
                  <w:tcBorders>
                    <w:top w:val="single" w:color="auto" w:sz="4" w:space="0"/>
                    <w:bottom w:val="single" w:color="auto" w:sz="4" w:space="0"/>
                  </w:tcBorders>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超标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71" w:type="dxa"/>
                  <w:tcBorders>
                    <w:left w:val="single" w:color="auto" w:sz="4" w:space="0"/>
                  </w:tcBorders>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SO</w:t>
                  </w:r>
                  <w:r>
                    <w:rPr>
                      <w:rFonts w:hint="default" w:ascii="Times New Roman" w:hAnsi="Times New Roman" w:eastAsia="宋体" w:cs="Times New Roman"/>
                      <w:color w:val="000000"/>
                      <w:sz w:val="21"/>
                      <w:szCs w:val="21"/>
                      <w:vertAlign w:val="subscript"/>
                    </w:rPr>
                    <w:t>2</w:t>
                  </w:r>
                </w:p>
              </w:tc>
              <w:tc>
                <w:tcPr>
                  <w:tcW w:w="2777"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年平均质量浓度</w:t>
                  </w:r>
                </w:p>
              </w:tc>
              <w:tc>
                <w:tcPr>
                  <w:tcW w:w="1389" w:type="dxa"/>
                  <w:vAlign w:val="center"/>
                </w:tcPr>
                <w:p>
                  <w:pPr>
                    <w:adjustRightInd w:val="0"/>
                    <w:snapToGrid w:val="0"/>
                    <w:spacing w:line="36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6</w:t>
                  </w:r>
                </w:p>
              </w:tc>
              <w:tc>
                <w:tcPr>
                  <w:tcW w:w="1255"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60</w:t>
                  </w:r>
                </w:p>
              </w:tc>
              <w:tc>
                <w:tcPr>
                  <w:tcW w:w="1040" w:type="dxa"/>
                  <w:vAlign w:val="center"/>
                </w:tcPr>
                <w:p>
                  <w:pPr>
                    <w:adjustRightInd w:val="0"/>
                    <w:snapToGrid w:val="0"/>
                    <w:spacing w:line="36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c>
                <w:tcPr>
                  <w:tcW w:w="970" w:type="dxa"/>
                  <w:tcBorders>
                    <w:top w:val="single" w:color="auto" w:sz="4" w:space="0"/>
                    <w:bottom w:val="single" w:color="auto" w:sz="4" w:space="0"/>
                  </w:tcBorders>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8" w:hRule="atLeast"/>
                <w:jc w:val="center"/>
              </w:trPr>
              <w:tc>
                <w:tcPr>
                  <w:tcW w:w="1071" w:type="dxa"/>
                  <w:tcBorders>
                    <w:left w:val="single" w:color="auto" w:sz="4" w:space="0"/>
                  </w:tcBorders>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NO</w:t>
                  </w:r>
                  <w:r>
                    <w:rPr>
                      <w:rFonts w:hint="default" w:ascii="Times New Roman" w:hAnsi="Times New Roman" w:eastAsia="宋体" w:cs="Times New Roman"/>
                      <w:color w:val="000000"/>
                      <w:sz w:val="21"/>
                      <w:szCs w:val="21"/>
                      <w:vertAlign w:val="subscript"/>
                    </w:rPr>
                    <w:t>2</w:t>
                  </w:r>
                </w:p>
              </w:tc>
              <w:tc>
                <w:tcPr>
                  <w:tcW w:w="2777"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年平均质量浓度</w:t>
                  </w:r>
                </w:p>
              </w:tc>
              <w:tc>
                <w:tcPr>
                  <w:tcW w:w="1389" w:type="dxa"/>
                  <w:vAlign w:val="center"/>
                </w:tcPr>
                <w:p>
                  <w:pPr>
                    <w:adjustRightInd w:val="0"/>
                    <w:snapToGrid w:val="0"/>
                    <w:spacing w:line="36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20</w:t>
                  </w:r>
                </w:p>
              </w:tc>
              <w:tc>
                <w:tcPr>
                  <w:tcW w:w="1255"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40</w:t>
                  </w:r>
                </w:p>
              </w:tc>
              <w:tc>
                <w:tcPr>
                  <w:tcW w:w="1040" w:type="dxa"/>
                  <w:vAlign w:val="center"/>
                </w:tcPr>
                <w:p>
                  <w:pPr>
                    <w:adjustRightInd w:val="0"/>
                    <w:snapToGrid w:val="0"/>
                    <w:spacing w:line="36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50</w:t>
                  </w:r>
                </w:p>
              </w:tc>
              <w:tc>
                <w:tcPr>
                  <w:tcW w:w="970" w:type="dxa"/>
                  <w:tcBorders>
                    <w:top w:val="single" w:color="auto" w:sz="4" w:space="0"/>
                    <w:bottom w:val="single" w:color="auto" w:sz="4" w:space="0"/>
                  </w:tcBorders>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71" w:type="dxa"/>
                  <w:tcBorders>
                    <w:left w:val="single" w:color="auto" w:sz="4" w:space="0"/>
                  </w:tcBorders>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CO</w:t>
                  </w:r>
                </w:p>
              </w:tc>
              <w:tc>
                <w:tcPr>
                  <w:tcW w:w="2777"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24小时平均第95百分位数</w:t>
                  </w:r>
                </w:p>
              </w:tc>
              <w:tc>
                <w:tcPr>
                  <w:tcW w:w="1389" w:type="dxa"/>
                  <w:vAlign w:val="center"/>
                </w:tcPr>
                <w:p>
                  <w:pPr>
                    <w:adjustRightInd w:val="0"/>
                    <w:snapToGrid w:val="0"/>
                    <w:spacing w:line="36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1300</w:t>
                  </w:r>
                </w:p>
              </w:tc>
              <w:tc>
                <w:tcPr>
                  <w:tcW w:w="1255"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4000</w:t>
                  </w:r>
                </w:p>
              </w:tc>
              <w:tc>
                <w:tcPr>
                  <w:tcW w:w="1040" w:type="dxa"/>
                  <w:vAlign w:val="center"/>
                </w:tcPr>
                <w:p>
                  <w:pPr>
                    <w:adjustRightInd w:val="0"/>
                    <w:snapToGrid w:val="0"/>
                    <w:spacing w:line="36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32.5</w:t>
                  </w:r>
                </w:p>
              </w:tc>
              <w:tc>
                <w:tcPr>
                  <w:tcW w:w="970" w:type="dxa"/>
                  <w:tcBorders>
                    <w:top w:val="single" w:color="auto" w:sz="4" w:space="0"/>
                    <w:bottom w:val="single" w:color="auto" w:sz="4" w:space="0"/>
                  </w:tcBorders>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071" w:type="dxa"/>
                  <w:tcBorders>
                    <w:left w:val="single" w:color="auto" w:sz="4" w:space="0"/>
                  </w:tcBorders>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O</w:t>
                  </w:r>
                  <w:r>
                    <w:rPr>
                      <w:rFonts w:hint="default" w:ascii="Times New Roman" w:hAnsi="Times New Roman" w:eastAsia="宋体" w:cs="Times New Roman"/>
                      <w:color w:val="000000"/>
                      <w:sz w:val="21"/>
                      <w:szCs w:val="21"/>
                      <w:vertAlign w:val="subscript"/>
                    </w:rPr>
                    <w:t>3</w:t>
                  </w:r>
                </w:p>
              </w:tc>
              <w:tc>
                <w:tcPr>
                  <w:tcW w:w="2777"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8小时平均第90百分位数</w:t>
                  </w:r>
                </w:p>
              </w:tc>
              <w:tc>
                <w:tcPr>
                  <w:tcW w:w="1389" w:type="dxa"/>
                  <w:vAlign w:val="center"/>
                </w:tcPr>
                <w:p>
                  <w:pPr>
                    <w:adjustRightInd w:val="0"/>
                    <w:snapToGrid w:val="0"/>
                    <w:spacing w:line="36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166</w:t>
                  </w:r>
                </w:p>
              </w:tc>
              <w:tc>
                <w:tcPr>
                  <w:tcW w:w="1255" w:type="dxa"/>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160</w:t>
                  </w:r>
                </w:p>
              </w:tc>
              <w:tc>
                <w:tcPr>
                  <w:tcW w:w="1040" w:type="dxa"/>
                  <w:vAlign w:val="center"/>
                </w:tcPr>
                <w:p>
                  <w:pPr>
                    <w:adjustRightInd w:val="0"/>
                    <w:snapToGrid w:val="0"/>
                    <w:spacing w:line="36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103.75</w:t>
                  </w:r>
                </w:p>
              </w:tc>
              <w:tc>
                <w:tcPr>
                  <w:tcW w:w="970" w:type="dxa"/>
                  <w:tcBorders>
                    <w:top w:val="single" w:color="auto" w:sz="4" w:space="0"/>
                  </w:tcBorders>
                  <w:vAlign w:val="center"/>
                </w:tcPr>
                <w:p>
                  <w:pPr>
                    <w:adjustRightInd w:val="0"/>
                    <w:snapToGrid w:val="0"/>
                    <w:spacing w:line="36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超标</w:t>
                  </w:r>
                </w:p>
              </w:tc>
            </w:tr>
          </w:tbl>
          <w:p>
            <w:pPr>
              <w:widowControl/>
              <w:spacing w:line="360" w:lineRule="auto"/>
              <w:ind w:firstLine="500" w:firstLineChars="200"/>
              <w:contextualSpacing/>
              <w:jc w:val="left"/>
              <w:rPr>
                <w:rFonts w:hint="default" w:ascii="Times New Roman" w:hAnsi="Times New Roman" w:cs="Times New Roman"/>
                <w:sz w:val="24"/>
                <w:szCs w:val="24"/>
              </w:rPr>
            </w:pPr>
            <w:r>
              <w:rPr>
                <w:rFonts w:hint="default" w:ascii="Times New Roman" w:hAnsi="Times New Roman" w:cs="Times New Roman"/>
                <w:sz w:val="24"/>
                <w:szCs w:val="24"/>
              </w:rPr>
              <w:t>由上表可知，</w:t>
            </w:r>
            <w:r>
              <w:rPr>
                <w:rFonts w:hint="default" w:ascii="Times New Roman" w:hAnsi="Times New Roman" w:cs="Times New Roman"/>
                <w:sz w:val="24"/>
                <w:szCs w:val="24"/>
                <w:lang w:eastAsia="zh-CN"/>
              </w:rPr>
              <w:t>方城县</w:t>
            </w:r>
            <w:r>
              <w:rPr>
                <w:rFonts w:hint="default" w:ascii="Times New Roman" w:hAnsi="Times New Roman" w:cs="Times New Roman"/>
                <w:sz w:val="24"/>
                <w:szCs w:val="24"/>
              </w:rPr>
              <w:t>2022年SO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、NO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年平均浓度以及CO相应百分位数浓度均可以满足《环境空气质量标准》（GB 3095-2012）二级标准限值，PM</w:t>
            </w:r>
            <w:r>
              <w:rPr>
                <w:rFonts w:hint="default" w:ascii="Times New Roman" w:hAnsi="Times New Roman" w:cs="Times New Roman"/>
                <w:sz w:val="24"/>
                <w:szCs w:val="24"/>
                <w:vertAlign w:val="subscript"/>
              </w:rPr>
              <w:t>10</w:t>
            </w:r>
            <w:r>
              <w:rPr>
                <w:rFonts w:hint="default" w:ascii="Times New Roman" w:hAnsi="Times New Roman" w:cs="Times New Roman"/>
                <w:sz w:val="24"/>
                <w:szCs w:val="24"/>
              </w:rPr>
              <w:t>、PM</w:t>
            </w:r>
            <w:r>
              <w:rPr>
                <w:rFonts w:hint="default" w:ascii="Times New Roman" w:hAnsi="Times New Roman" w:cs="Times New Roman"/>
                <w:sz w:val="24"/>
                <w:szCs w:val="24"/>
                <w:vertAlign w:val="subscript"/>
              </w:rPr>
              <w:t>2.5</w:t>
            </w:r>
            <w:r>
              <w:rPr>
                <w:rFonts w:hint="default" w:ascii="Times New Roman" w:hAnsi="Times New Roman" w:cs="Times New Roman"/>
                <w:sz w:val="24"/>
                <w:szCs w:val="24"/>
              </w:rPr>
              <w:t>年平均浓度</w:t>
            </w:r>
            <w:r>
              <w:rPr>
                <w:rFonts w:hint="default" w:ascii="Times New Roman" w:hAnsi="Times New Roman" w:cs="Times New Roman"/>
                <w:sz w:val="24"/>
                <w:szCs w:val="24"/>
                <w:lang w:eastAsia="zh-CN"/>
              </w:rPr>
              <w:t>以及O</w:t>
            </w:r>
            <w:r>
              <w:rPr>
                <w:rFonts w:hint="default" w:ascii="Times New Roman" w:hAnsi="Times New Roman" w:cs="Times New Roman"/>
                <w:sz w:val="24"/>
                <w:szCs w:val="24"/>
                <w:vertAlign w:val="subscript"/>
                <w:lang w:eastAsia="zh-CN"/>
              </w:rPr>
              <w:t>3</w:t>
            </w:r>
            <w:r>
              <w:rPr>
                <w:rFonts w:hint="default" w:ascii="Times New Roman" w:hAnsi="Times New Roman" w:cs="Times New Roman"/>
                <w:sz w:val="24"/>
                <w:szCs w:val="24"/>
                <w:lang w:eastAsia="zh-CN"/>
              </w:rPr>
              <w:t>相应百分位数浓度</w:t>
            </w:r>
            <w:r>
              <w:rPr>
                <w:rFonts w:hint="default" w:ascii="Times New Roman" w:hAnsi="Times New Roman" w:cs="Times New Roman"/>
                <w:sz w:val="24"/>
                <w:szCs w:val="24"/>
              </w:rPr>
              <w:t>不能满足《环境空气质量标准》（GB 3095-2012）二级标准浓度限值，因此，判定</w:t>
            </w:r>
            <w:r>
              <w:rPr>
                <w:rFonts w:hint="default" w:ascii="Times New Roman" w:hAnsi="Times New Roman" w:cs="Times New Roman"/>
                <w:sz w:val="24"/>
                <w:szCs w:val="24"/>
                <w:lang w:eastAsia="zh-CN"/>
              </w:rPr>
              <w:t>方城县</w:t>
            </w:r>
            <w:r>
              <w:rPr>
                <w:rFonts w:hint="default" w:ascii="Times New Roman" w:hAnsi="Times New Roman" w:cs="Times New Roman"/>
                <w:sz w:val="24"/>
                <w:szCs w:val="24"/>
              </w:rPr>
              <w:t xml:space="preserve">2022年环境空气质量为不达标区。 </w:t>
            </w:r>
          </w:p>
          <w:p>
            <w:pPr>
              <w:spacing w:line="360" w:lineRule="auto"/>
              <w:ind w:firstLine="557" w:firstLineChars="223"/>
              <w:rPr>
                <w:rFonts w:hint="default" w:ascii="Times New Roman" w:hAnsi="Times New Roman" w:cs="Times New Roman"/>
                <w:sz w:val="24"/>
                <w:szCs w:val="24"/>
              </w:rPr>
            </w:pPr>
            <w:r>
              <w:rPr>
                <w:rFonts w:hint="default" w:ascii="Times New Roman" w:hAnsi="Times New Roman" w:cs="Times New Roman"/>
                <w:sz w:val="24"/>
                <w:szCs w:val="24"/>
              </w:rPr>
              <w:t>针对环境空气质量不达标的情况，近年来南阳市已按照《南阳市2023年蓝天保卫战实施方案》（宛环委办[2023]20号）、《关于印发河南省深入打好秋冬季重污染天气消除、夏季臭氧污染防治和柴油货车污染治理攻坚战行动方案的通知》（豫环委办[2023]3号）等文件相关要求，通过实施清新空气运动，加强物料堆场、施工工地等管理，切实减少细颗粒物产生及排放，改善当地环境质量，区域空气质量将逐渐转好。</w:t>
            </w:r>
          </w:p>
          <w:p>
            <w:pPr>
              <w:spacing w:line="360" w:lineRule="auto"/>
              <w:ind w:firstLine="50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2、地表水</w:t>
            </w:r>
          </w:p>
          <w:p>
            <w:pPr>
              <w:spacing w:before="0" w:after="0" w:line="360" w:lineRule="auto"/>
              <w:ind w:firstLine="500" w:firstLineChars="200"/>
              <w:jc w:val="both"/>
              <w:rPr>
                <w:rFonts w:hint="default" w:ascii="Times New Roman" w:hAnsi="Times New Roman" w:cs="Times New Roman"/>
                <w:sz w:val="24"/>
                <w:szCs w:val="24"/>
                <w:u w:val="none"/>
              </w:rPr>
            </w:pPr>
            <w:r>
              <w:rPr>
                <w:rFonts w:hint="default" w:ascii="Times New Roman" w:hAnsi="Times New Roman" w:cs="Times New Roman"/>
                <w:b w:val="0"/>
                <w:bCs w:val="0"/>
                <w:sz w:val="24"/>
                <w:szCs w:val="24"/>
                <w:u w:val="none"/>
              </w:rPr>
              <w:t>本项目附近地表水体为</w:t>
            </w:r>
            <w:r>
              <w:rPr>
                <w:rFonts w:hint="eastAsia" w:ascii="Times New Roman" w:hAnsi="Times New Roman" w:cs="Times New Roman"/>
                <w:b w:val="0"/>
                <w:bCs w:val="0"/>
                <w:sz w:val="24"/>
                <w:szCs w:val="24"/>
                <w:u w:val="none"/>
                <w:lang w:eastAsia="zh-CN"/>
              </w:rPr>
              <w:t>西侧</w:t>
            </w:r>
            <w:r>
              <w:rPr>
                <w:rFonts w:hint="eastAsia" w:ascii="Times New Roman" w:hAnsi="Times New Roman" w:cs="Times New Roman"/>
                <w:b w:val="0"/>
                <w:bCs w:val="0"/>
                <w:sz w:val="24"/>
                <w:szCs w:val="24"/>
                <w:u w:val="none"/>
                <w:lang w:val="en-US" w:eastAsia="zh-CN"/>
              </w:rPr>
              <w:t>500m的自然河沟</w:t>
            </w:r>
            <w:r>
              <w:rPr>
                <w:rFonts w:hint="default" w:ascii="Times New Roman" w:hAnsi="Times New Roman" w:cs="Times New Roman"/>
                <w:b w:val="0"/>
                <w:bCs w:val="0"/>
                <w:sz w:val="24"/>
                <w:szCs w:val="24"/>
                <w:u w:val="none"/>
              </w:rPr>
              <w:t>，</w:t>
            </w:r>
            <w:r>
              <w:rPr>
                <w:rFonts w:hint="eastAsia" w:ascii="Times New Roman" w:hAnsi="Times New Roman" w:cs="Times New Roman"/>
                <w:b w:val="0"/>
                <w:bCs w:val="0"/>
                <w:sz w:val="24"/>
                <w:szCs w:val="24"/>
                <w:u w:val="none"/>
                <w:lang w:eastAsia="zh-CN"/>
              </w:rPr>
              <w:t>自然河沟向西汇入白河</w:t>
            </w:r>
            <w:r>
              <w:rPr>
                <w:rFonts w:hint="default" w:ascii="Times New Roman" w:hAnsi="Times New Roman" w:cs="Times New Roman"/>
                <w:b w:val="0"/>
                <w:bCs w:val="0"/>
                <w:sz w:val="24"/>
                <w:szCs w:val="24"/>
                <w:u w:val="none"/>
              </w:rPr>
              <w:t>，</w:t>
            </w:r>
            <w:r>
              <w:rPr>
                <w:rFonts w:hint="default" w:ascii="Times New Roman" w:hAnsi="Times New Roman" w:cs="Times New Roman"/>
                <w:sz w:val="24"/>
                <w:szCs w:val="24"/>
                <w:u w:val="none"/>
              </w:rPr>
              <w:t>区域地表水执行《地表水环境质量标准》（GB3838-2002）Ⅲ标准要求。本次评价</w:t>
            </w:r>
            <w:r>
              <w:rPr>
                <w:rFonts w:hint="eastAsia" w:ascii="Times New Roman" w:hAnsi="Times New Roman" w:cs="Times New Roman"/>
                <w:sz w:val="24"/>
                <w:szCs w:val="24"/>
                <w:u w:val="none"/>
                <w:lang w:eastAsia="zh-CN"/>
              </w:rPr>
              <w:t>根据</w:t>
            </w:r>
            <w:r>
              <w:rPr>
                <w:rFonts w:hint="default" w:ascii="Times New Roman" w:hAnsi="Times New Roman" w:cs="Times New Roman"/>
                <w:sz w:val="24"/>
                <w:szCs w:val="24"/>
                <w:u w:val="none"/>
              </w:rPr>
              <w:t>《2022年度河南省南阳市生态环境质量报告书》（河南省南阳生态环境监测中心，2023年6月）监测数据，监测结果见下表。</w:t>
            </w:r>
          </w:p>
          <w:p>
            <w:pPr>
              <w:spacing w:before="0" w:after="0" w:line="360" w:lineRule="auto"/>
              <w:jc w:val="center"/>
              <w:rPr>
                <w:rFonts w:hint="default" w:ascii="Times New Roman" w:hAnsi="Times New Roman" w:cs="Times New Roman"/>
                <w:b/>
                <w:sz w:val="24"/>
                <w:szCs w:val="24"/>
                <w:u w:val="single"/>
              </w:rPr>
            </w:pPr>
            <w:r>
              <w:rPr>
                <w:rFonts w:hint="default" w:ascii="Times New Roman" w:hAnsi="Times New Roman" w:cs="Times New Roman"/>
                <w:b/>
                <w:sz w:val="24"/>
                <w:szCs w:val="24"/>
                <w:u w:val="none"/>
              </w:rPr>
              <w:t>3-2  地表水质量现状监测统计结果一览表（单位：mg/L；pH除外）</w:t>
            </w:r>
          </w:p>
          <w:tbl>
            <w:tblPr>
              <w:tblStyle w:val="11"/>
              <w:tblW w:w="8185" w:type="dxa"/>
              <w:jc w:val="center"/>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40"/>
              <w:gridCol w:w="1590"/>
              <w:gridCol w:w="1635"/>
              <w:gridCol w:w="1140"/>
              <w:gridCol w:w="1225"/>
              <w:gridCol w:w="1355"/>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13" w:hRule="atLeast"/>
                <w:jc w:val="center"/>
              </w:trPr>
              <w:tc>
                <w:tcPr>
                  <w:tcW w:w="1240" w:type="dxa"/>
                  <w:vAlign w:val="center"/>
                </w:tcPr>
                <w:p>
                  <w:pPr>
                    <w:spacing w:before="0" w:after="0"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断面</w:t>
                  </w:r>
                </w:p>
              </w:tc>
              <w:tc>
                <w:tcPr>
                  <w:tcW w:w="1590" w:type="dxa"/>
                  <w:vAlign w:val="center"/>
                </w:tcPr>
                <w:p>
                  <w:pPr>
                    <w:spacing w:before="0" w:after="0"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类别</w:t>
                  </w:r>
                </w:p>
              </w:tc>
              <w:tc>
                <w:tcPr>
                  <w:tcW w:w="1635" w:type="dxa"/>
                  <w:vAlign w:val="center"/>
                </w:tcPr>
                <w:p>
                  <w:pPr>
                    <w:spacing w:before="0" w:after="0" w:line="360" w:lineRule="auto"/>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高锰酸盐指数</w:t>
                  </w:r>
                </w:p>
              </w:tc>
              <w:tc>
                <w:tcPr>
                  <w:tcW w:w="1140" w:type="dxa"/>
                  <w:vAlign w:val="center"/>
                </w:tcPr>
                <w:p>
                  <w:pPr>
                    <w:spacing w:before="0" w:after="0" w:line="360" w:lineRule="auto"/>
                    <w:jc w:val="center"/>
                    <w:rPr>
                      <w:rFonts w:hint="default" w:ascii="Times New Roman" w:hAnsi="Times New Roman" w:cs="Times New Roman"/>
                      <w:sz w:val="21"/>
                      <w:szCs w:val="21"/>
                      <w:u w:val="none"/>
                      <w:vertAlign w:val="subscript"/>
                    </w:rPr>
                  </w:pPr>
                  <w:r>
                    <w:rPr>
                      <w:rFonts w:hint="default" w:ascii="Times New Roman" w:hAnsi="Times New Roman" w:cs="Times New Roman"/>
                      <w:sz w:val="21"/>
                      <w:szCs w:val="21"/>
                      <w:u w:val="none"/>
                    </w:rPr>
                    <w:t>BOD</w:t>
                  </w:r>
                  <w:r>
                    <w:rPr>
                      <w:rFonts w:hint="default" w:ascii="Times New Roman" w:hAnsi="Times New Roman" w:cs="Times New Roman"/>
                      <w:sz w:val="21"/>
                      <w:szCs w:val="21"/>
                      <w:u w:val="none"/>
                      <w:vertAlign w:val="subscript"/>
                    </w:rPr>
                    <w:t>5</w:t>
                  </w:r>
                </w:p>
              </w:tc>
              <w:tc>
                <w:tcPr>
                  <w:tcW w:w="1225" w:type="dxa"/>
                  <w:vAlign w:val="center"/>
                </w:tcPr>
                <w:p>
                  <w:pPr>
                    <w:spacing w:before="0" w:after="0"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氨氮</w:t>
                  </w:r>
                </w:p>
              </w:tc>
              <w:tc>
                <w:tcPr>
                  <w:tcW w:w="1355" w:type="dxa"/>
                  <w:vAlign w:val="center"/>
                </w:tcPr>
                <w:p>
                  <w:pPr>
                    <w:spacing w:before="0" w:after="0"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总磷</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313" w:hRule="atLeast"/>
                <w:jc w:val="center"/>
              </w:trPr>
              <w:tc>
                <w:tcPr>
                  <w:tcW w:w="1240" w:type="dxa"/>
                  <w:vMerge w:val="restart"/>
                  <w:vAlign w:val="center"/>
                </w:tcPr>
                <w:p>
                  <w:pPr>
                    <w:spacing w:before="0" w:after="0" w:line="360" w:lineRule="auto"/>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南阳盆窑</w:t>
                  </w:r>
                </w:p>
              </w:tc>
              <w:tc>
                <w:tcPr>
                  <w:tcW w:w="1590" w:type="dxa"/>
                  <w:vAlign w:val="center"/>
                </w:tcPr>
                <w:p>
                  <w:pPr>
                    <w:spacing w:before="0" w:after="0"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现状值</w:t>
                  </w:r>
                </w:p>
              </w:tc>
              <w:tc>
                <w:tcPr>
                  <w:tcW w:w="1635"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2.6</w:t>
                  </w:r>
                </w:p>
              </w:tc>
              <w:tc>
                <w:tcPr>
                  <w:tcW w:w="1140"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1.7</w:t>
                  </w:r>
                </w:p>
              </w:tc>
              <w:tc>
                <w:tcPr>
                  <w:tcW w:w="1225"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0.02</w:t>
                  </w:r>
                </w:p>
              </w:tc>
              <w:tc>
                <w:tcPr>
                  <w:tcW w:w="1355"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0.024</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43" w:hRule="atLeast"/>
                <w:jc w:val="center"/>
              </w:trPr>
              <w:tc>
                <w:tcPr>
                  <w:tcW w:w="1240" w:type="dxa"/>
                  <w:vMerge w:val="continue"/>
                  <w:vAlign w:val="center"/>
                </w:tcPr>
                <w:p>
                  <w:pPr>
                    <w:spacing w:before="0" w:after="0" w:line="360" w:lineRule="auto"/>
                    <w:jc w:val="center"/>
                    <w:rPr>
                      <w:rFonts w:hint="default" w:ascii="Times New Roman" w:hAnsi="Times New Roman" w:cs="Times New Roman"/>
                      <w:sz w:val="21"/>
                      <w:szCs w:val="21"/>
                      <w:u w:val="none"/>
                    </w:rPr>
                  </w:pPr>
                </w:p>
              </w:tc>
              <w:tc>
                <w:tcPr>
                  <w:tcW w:w="1590" w:type="dxa"/>
                  <w:vAlign w:val="center"/>
                </w:tcPr>
                <w:p>
                  <w:pPr>
                    <w:spacing w:before="0" w:after="0"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标准值</w:t>
                  </w:r>
                </w:p>
              </w:tc>
              <w:tc>
                <w:tcPr>
                  <w:tcW w:w="1635" w:type="dxa"/>
                  <w:vAlign w:val="center"/>
                </w:tcPr>
                <w:p>
                  <w:pPr>
                    <w:spacing w:before="0" w:after="0" w:line="360" w:lineRule="auto"/>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val="en-US" w:eastAsia="zh-CN"/>
                    </w:rPr>
                    <w:t>6</w:t>
                  </w:r>
                </w:p>
              </w:tc>
              <w:tc>
                <w:tcPr>
                  <w:tcW w:w="1140" w:type="dxa"/>
                  <w:vAlign w:val="center"/>
                </w:tcPr>
                <w:p>
                  <w:pPr>
                    <w:spacing w:before="0" w:after="0"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4</w:t>
                  </w:r>
                </w:p>
              </w:tc>
              <w:tc>
                <w:tcPr>
                  <w:tcW w:w="1225" w:type="dxa"/>
                  <w:vAlign w:val="center"/>
                </w:tcPr>
                <w:p>
                  <w:pPr>
                    <w:spacing w:before="0" w:after="0"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1</w:t>
                  </w:r>
                </w:p>
              </w:tc>
              <w:tc>
                <w:tcPr>
                  <w:tcW w:w="1355" w:type="dxa"/>
                  <w:vAlign w:val="center"/>
                </w:tcPr>
                <w:p>
                  <w:pPr>
                    <w:spacing w:before="0" w:after="0"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0.2</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43" w:hRule="atLeast"/>
                <w:jc w:val="center"/>
              </w:trPr>
              <w:tc>
                <w:tcPr>
                  <w:tcW w:w="1240" w:type="dxa"/>
                  <w:vMerge w:val="continue"/>
                  <w:vAlign w:val="center"/>
                </w:tcPr>
                <w:p>
                  <w:pPr>
                    <w:spacing w:before="0" w:after="0" w:line="360" w:lineRule="auto"/>
                    <w:jc w:val="center"/>
                    <w:rPr>
                      <w:rFonts w:hint="default" w:ascii="Times New Roman" w:hAnsi="Times New Roman" w:cs="Times New Roman"/>
                      <w:sz w:val="21"/>
                      <w:szCs w:val="21"/>
                      <w:u w:val="none"/>
                    </w:rPr>
                  </w:pPr>
                </w:p>
              </w:tc>
              <w:tc>
                <w:tcPr>
                  <w:tcW w:w="1590" w:type="dxa"/>
                  <w:vAlign w:val="center"/>
                </w:tcPr>
                <w:p>
                  <w:pPr>
                    <w:spacing w:before="0" w:after="0"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达标情况</w:t>
                  </w:r>
                </w:p>
              </w:tc>
              <w:tc>
                <w:tcPr>
                  <w:tcW w:w="1635" w:type="dxa"/>
                  <w:vAlign w:val="center"/>
                </w:tcPr>
                <w:p>
                  <w:pPr>
                    <w:spacing w:before="0" w:after="0"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达标</w:t>
                  </w:r>
                </w:p>
              </w:tc>
              <w:tc>
                <w:tcPr>
                  <w:tcW w:w="1140" w:type="dxa"/>
                  <w:vAlign w:val="center"/>
                </w:tcPr>
                <w:p>
                  <w:pPr>
                    <w:spacing w:before="0" w:after="0"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达标</w:t>
                  </w:r>
                </w:p>
              </w:tc>
              <w:tc>
                <w:tcPr>
                  <w:tcW w:w="1225" w:type="dxa"/>
                  <w:vAlign w:val="center"/>
                </w:tcPr>
                <w:p>
                  <w:pPr>
                    <w:spacing w:before="0" w:after="0"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达标</w:t>
                  </w:r>
                </w:p>
              </w:tc>
              <w:tc>
                <w:tcPr>
                  <w:tcW w:w="1355" w:type="dxa"/>
                  <w:vAlign w:val="center"/>
                </w:tcPr>
                <w:p>
                  <w:pPr>
                    <w:spacing w:before="0" w:after="0" w:line="360" w:lineRule="auto"/>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达标</w:t>
                  </w:r>
                </w:p>
              </w:tc>
            </w:tr>
          </w:tbl>
          <w:p>
            <w:pPr>
              <w:spacing w:line="360" w:lineRule="auto"/>
              <w:ind w:firstLine="500" w:firstLineChars="200"/>
              <w:jc w:val="left"/>
              <w:rPr>
                <w:rFonts w:hint="default" w:ascii="Times New Roman" w:hAnsi="Times New Roman" w:eastAsia="宋体" w:cs="Times New Roman"/>
                <w:sz w:val="24"/>
                <w:szCs w:val="24"/>
                <w:u w:val="none"/>
              </w:rPr>
            </w:pPr>
            <w:r>
              <w:rPr>
                <w:rFonts w:hint="eastAsia" w:ascii="Times New Roman" w:hAnsi="Times New Roman" w:cs="Times New Roman"/>
                <w:sz w:val="24"/>
                <w:szCs w:val="24"/>
                <w:u w:val="none"/>
                <w:lang w:eastAsia="zh-CN"/>
              </w:rPr>
              <w:t>根据监测数据，</w:t>
            </w:r>
            <w:r>
              <w:rPr>
                <w:rFonts w:hint="default" w:ascii="Times New Roman" w:hAnsi="Times New Roman" w:cs="Times New Roman"/>
                <w:sz w:val="24"/>
                <w:szCs w:val="24"/>
                <w:u w:val="none"/>
              </w:rPr>
              <w:t>监测因子均能满足《地表水环境质量标准》（GB3838-2002）Ⅲ类标准要求，</w:t>
            </w:r>
            <w:r>
              <w:rPr>
                <w:rFonts w:hint="eastAsia" w:ascii="Times New Roman" w:hAnsi="Times New Roman" w:cs="Times New Roman"/>
                <w:sz w:val="24"/>
                <w:szCs w:val="24"/>
                <w:u w:val="none"/>
                <w:lang w:eastAsia="zh-CN"/>
              </w:rPr>
              <w:t>现状水质达标</w:t>
            </w:r>
            <w:r>
              <w:rPr>
                <w:rFonts w:hint="default" w:ascii="Times New Roman" w:hAnsi="Times New Roman" w:eastAsia="宋体" w:cs="Times New Roman"/>
                <w:sz w:val="24"/>
                <w:szCs w:val="24"/>
                <w:u w:val="none"/>
              </w:rPr>
              <w:t>。</w:t>
            </w:r>
          </w:p>
          <w:p>
            <w:pPr>
              <w:spacing w:line="360" w:lineRule="auto"/>
              <w:ind w:firstLine="50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3、声环境质量现状</w:t>
            </w:r>
          </w:p>
          <w:p>
            <w:pPr>
              <w:keepNext w:val="0"/>
              <w:keepLines w:val="0"/>
              <w:pageBreakBefore w:val="0"/>
              <w:kinsoku/>
              <w:wordWrap/>
              <w:overflowPunct/>
              <w:topLinePunct w:val="0"/>
              <w:autoSpaceDE/>
              <w:autoSpaceDN/>
              <w:bidi w:val="0"/>
              <w:adjustRightInd/>
              <w:snapToGrid/>
              <w:spacing w:line="360" w:lineRule="auto"/>
              <w:ind w:firstLine="500" w:firstLineChars="200"/>
              <w:jc w:val="both"/>
              <w:textAlignment w:val="auto"/>
              <w:rPr>
                <w:rFonts w:hint="default" w:ascii="Times New Roman" w:hAnsi="Times New Roman" w:eastAsia="宋体" w:cs="Times New Roman"/>
                <w:b w:val="0"/>
                <w:bCs w:val="0"/>
                <w:sz w:val="24"/>
                <w:szCs w:val="24"/>
                <w:u w:val="none"/>
              </w:rPr>
            </w:pPr>
            <w:r>
              <w:rPr>
                <w:rFonts w:hint="eastAsia" w:ascii="Times New Roman" w:hAnsi="Times New Roman" w:eastAsia="宋体" w:cs="Times New Roman"/>
                <w:b w:val="0"/>
                <w:bCs w:val="0"/>
                <w:sz w:val="24"/>
                <w:szCs w:val="24"/>
                <w:u w:val="none"/>
                <w:lang w:eastAsia="zh-CN"/>
              </w:rPr>
              <w:t>距离本项目厂界最近的敏感点为北侧</w:t>
            </w:r>
            <w:r>
              <w:rPr>
                <w:rFonts w:hint="eastAsia" w:ascii="Times New Roman" w:hAnsi="Times New Roman" w:eastAsia="宋体" w:cs="Times New Roman"/>
                <w:b w:val="0"/>
                <w:bCs w:val="0"/>
                <w:sz w:val="24"/>
                <w:szCs w:val="24"/>
                <w:u w:val="none"/>
                <w:lang w:val="en-US" w:eastAsia="zh-CN"/>
              </w:rPr>
              <w:t>25m的后土屯村，河南省煦邦检测技术有限责任公司于2024年</w:t>
            </w:r>
            <w:r>
              <w:rPr>
                <w:rFonts w:hint="eastAsia" w:ascii="Times New Roman" w:hAnsi="Times New Roman" w:cs="Times New Roman"/>
                <w:b w:val="0"/>
                <w:bCs w:val="0"/>
                <w:sz w:val="24"/>
                <w:szCs w:val="24"/>
                <w:u w:val="none"/>
                <w:lang w:val="en-US" w:eastAsia="zh-CN"/>
              </w:rPr>
              <w:t>3</w:t>
            </w:r>
            <w:r>
              <w:rPr>
                <w:rFonts w:hint="eastAsia" w:ascii="Times New Roman" w:hAnsi="Times New Roman" w:eastAsia="宋体" w:cs="Times New Roman"/>
                <w:b w:val="0"/>
                <w:bCs w:val="0"/>
                <w:sz w:val="24"/>
                <w:szCs w:val="24"/>
                <w:u w:val="none"/>
                <w:lang w:val="en-US" w:eastAsia="zh-CN"/>
              </w:rPr>
              <w:t>月</w:t>
            </w:r>
            <w:r>
              <w:rPr>
                <w:rFonts w:hint="eastAsia" w:ascii="Times New Roman" w:hAnsi="Times New Roman" w:cs="Times New Roman"/>
                <w:b w:val="0"/>
                <w:bCs w:val="0"/>
                <w:sz w:val="24"/>
                <w:szCs w:val="24"/>
                <w:u w:val="none"/>
                <w:lang w:val="en-US" w:eastAsia="zh-CN"/>
              </w:rPr>
              <w:t>30</w:t>
            </w:r>
            <w:r>
              <w:rPr>
                <w:rFonts w:hint="eastAsia" w:ascii="Times New Roman" w:hAnsi="Times New Roman" w:eastAsia="宋体" w:cs="Times New Roman"/>
                <w:b w:val="0"/>
                <w:bCs w:val="0"/>
                <w:sz w:val="24"/>
                <w:szCs w:val="24"/>
                <w:u w:val="none"/>
                <w:lang w:val="en-US" w:eastAsia="zh-CN"/>
              </w:rPr>
              <w:t>日对后土屯村进行了现场检测，根据检测结果可知，后土屯村</w:t>
            </w:r>
            <w:r>
              <w:rPr>
                <w:rFonts w:hint="default" w:ascii="Times New Roman" w:hAnsi="Times New Roman" w:eastAsia="宋体" w:cs="Times New Roman"/>
                <w:b w:val="0"/>
                <w:bCs w:val="0"/>
                <w:sz w:val="24"/>
                <w:szCs w:val="24"/>
                <w:u w:val="none"/>
                <w:lang w:eastAsia="zh-CN"/>
              </w:rPr>
              <w:t>声环境质量均</w:t>
            </w:r>
            <w:r>
              <w:rPr>
                <w:rFonts w:hint="default" w:ascii="Times New Roman" w:hAnsi="Times New Roman" w:eastAsia="宋体" w:cs="Times New Roman"/>
                <w:b w:val="0"/>
                <w:bCs w:val="0"/>
                <w:sz w:val="24"/>
                <w:szCs w:val="24"/>
                <w:u w:val="none"/>
              </w:rPr>
              <w:t>可以满足《声环境质量标准》（GB3096-2008）中2类</w:t>
            </w:r>
            <w:r>
              <w:rPr>
                <w:rFonts w:hint="default" w:ascii="Times New Roman" w:hAnsi="Times New Roman" w:eastAsia="宋体" w:cs="Times New Roman"/>
                <w:b w:val="0"/>
                <w:bCs w:val="0"/>
                <w:sz w:val="24"/>
                <w:szCs w:val="24"/>
                <w:u w:val="none"/>
                <w:lang w:eastAsia="zh-CN"/>
              </w:rPr>
              <w:t>区</w:t>
            </w:r>
            <w:r>
              <w:rPr>
                <w:rFonts w:hint="default" w:ascii="Times New Roman" w:hAnsi="Times New Roman" w:eastAsia="宋体" w:cs="Times New Roman"/>
                <w:b w:val="0"/>
                <w:bCs w:val="0"/>
                <w:sz w:val="24"/>
                <w:szCs w:val="24"/>
                <w:u w:val="none"/>
              </w:rPr>
              <w:t>标准的要求。</w:t>
            </w:r>
          </w:p>
          <w:p>
            <w:pPr>
              <w:spacing w:line="360" w:lineRule="auto"/>
              <w:ind w:firstLine="500" w:firstLineChars="200"/>
              <w:jc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表</w:t>
            </w:r>
            <w:r>
              <w:rPr>
                <w:rFonts w:hint="eastAsia" w:ascii="Times New Roman" w:hAnsi="Times New Roman" w:eastAsia="宋体" w:cs="Times New Roman"/>
                <w:b/>
                <w:bCs/>
                <w:sz w:val="24"/>
                <w:szCs w:val="24"/>
                <w:lang w:val="en-US" w:eastAsia="zh-CN"/>
              </w:rPr>
              <w:t>3-3</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cs="Times New Roman"/>
                <w:b/>
                <w:bCs/>
                <w:sz w:val="24"/>
                <w:szCs w:val="24"/>
                <w:lang w:eastAsia="zh-CN"/>
              </w:rPr>
              <w:t>敏感点</w:t>
            </w:r>
            <w:r>
              <w:rPr>
                <w:rFonts w:hint="default" w:ascii="Times New Roman" w:hAnsi="Times New Roman" w:eastAsia="宋体" w:cs="Times New Roman"/>
                <w:b/>
                <w:bCs/>
                <w:sz w:val="24"/>
                <w:szCs w:val="24"/>
                <w:lang w:eastAsia="zh-CN"/>
              </w:rPr>
              <w:t>噪声情况一览表</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eastAsia="zh-CN"/>
              </w:rPr>
              <w:t>单位：</w:t>
            </w:r>
            <w:r>
              <w:rPr>
                <w:rFonts w:hint="default" w:ascii="Times New Roman" w:hAnsi="Times New Roman" w:eastAsia="宋体" w:cs="Times New Roman"/>
                <w:b/>
                <w:bCs/>
                <w:sz w:val="24"/>
                <w:szCs w:val="24"/>
                <w:lang w:val="en-US" w:eastAsia="zh-CN"/>
              </w:rPr>
              <w:t>dB（A）</w:t>
            </w:r>
          </w:p>
          <w:tbl>
            <w:tblPr>
              <w:tblStyle w:val="11"/>
              <w:tblW w:w="88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165"/>
              <w:gridCol w:w="3328"/>
              <w:gridCol w:w="3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75" w:hRule="atLeast"/>
                <w:jc w:val="center"/>
              </w:trPr>
              <w:tc>
                <w:tcPr>
                  <w:tcW w:w="2165" w:type="dxa"/>
                  <w:vMerge w:val="restart"/>
                  <w:tcBorders>
                    <w:tl2br w:val="nil"/>
                    <w:tr2bl w:val="nil"/>
                  </w:tcBorders>
                  <w:vAlign w:val="center"/>
                </w:tcPr>
                <w:p>
                  <w:pPr>
                    <w:adjustRightInd w:val="0"/>
                    <w:snapToGrid w:val="0"/>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检测</w:t>
                  </w:r>
                </w:p>
                <w:p>
                  <w:pPr>
                    <w:adjustRightInd w:val="0"/>
                    <w:snapToGrid w:val="0"/>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时间</w:t>
                  </w:r>
                </w:p>
              </w:tc>
              <w:tc>
                <w:tcPr>
                  <w:tcW w:w="6728" w:type="dxa"/>
                  <w:gridSpan w:val="2"/>
                  <w:tcBorders>
                    <w:tl2br w:val="nil"/>
                    <w:tr2bl w:val="nil"/>
                  </w:tcBorders>
                  <w:vAlign w:val="center"/>
                </w:tcPr>
                <w:p>
                  <w:pPr>
                    <w:adjustRightInd w:val="0"/>
                    <w:snapToGrid w:val="0"/>
                    <w:jc w:val="center"/>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rPr>
                    <w:t>202</w:t>
                  </w:r>
                  <w:r>
                    <w:rPr>
                      <w:rFonts w:hint="default" w:ascii="Times New Roman" w:hAnsi="Times New Roman" w:eastAsia="宋体" w:cs="Times New Roman"/>
                      <w:b w:val="0"/>
                      <w:bCs w:val="0"/>
                      <w:sz w:val="21"/>
                      <w:szCs w:val="21"/>
                      <w:u w:val="none"/>
                      <w:lang w:val="en-US" w:eastAsia="zh-CN"/>
                    </w:rPr>
                    <w:t>4.0</w:t>
                  </w:r>
                  <w:r>
                    <w:rPr>
                      <w:rFonts w:hint="eastAsia" w:ascii="Times New Roman" w:hAnsi="Times New Roman" w:cs="Times New Roman"/>
                      <w:b w:val="0"/>
                      <w:bCs w:val="0"/>
                      <w:sz w:val="21"/>
                      <w:szCs w:val="21"/>
                      <w:u w:val="none"/>
                      <w:lang w:val="en-US" w:eastAsia="zh-CN"/>
                    </w:rPr>
                    <w:t>3</w:t>
                  </w:r>
                  <w:r>
                    <w:rPr>
                      <w:rFonts w:hint="default" w:ascii="Times New Roman" w:hAnsi="Times New Roman" w:eastAsia="宋体" w:cs="Times New Roman"/>
                      <w:b w:val="0"/>
                      <w:bCs w:val="0"/>
                      <w:sz w:val="21"/>
                      <w:szCs w:val="21"/>
                      <w:u w:val="none"/>
                      <w:lang w:val="en-US" w:eastAsia="zh-CN"/>
                    </w:rPr>
                    <w:t>.</w:t>
                  </w:r>
                  <w:r>
                    <w:rPr>
                      <w:rFonts w:hint="eastAsia" w:ascii="Times New Roman" w:hAnsi="Times New Roman" w:cs="Times New Roman"/>
                      <w:b w:val="0"/>
                      <w:bCs w:val="0"/>
                      <w:sz w:val="21"/>
                      <w:szCs w:val="21"/>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0" w:hRule="atLeast"/>
                <w:jc w:val="center"/>
              </w:trPr>
              <w:tc>
                <w:tcPr>
                  <w:tcW w:w="2165" w:type="dxa"/>
                  <w:vMerge w:val="continue"/>
                  <w:tcBorders>
                    <w:tl2br w:val="nil"/>
                    <w:tr2bl w:val="nil"/>
                  </w:tcBorders>
                  <w:vAlign w:val="center"/>
                </w:tcPr>
                <w:p>
                  <w:pPr>
                    <w:adjustRightInd w:val="0"/>
                    <w:snapToGrid w:val="0"/>
                    <w:jc w:val="center"/>
                    <w:rPr>
                      <w:rFonts w:hint="default" w:ascii="Times New Roman" w:hAnsi="Times New Roman" w:eastAsia="宋体" w:cs="Times New Roman"/>
                      <w:b w:val="0"/>
                      <w:bCs w:val="0"/>
                      <w:sz w:val="21"/>
                      <w:szCs w:val="21"/>
                      <w:u w:val="none"/>
                    </w:rPr>
                  </w:pPr>
                </w:p>
              </w:tc>
              <w:tc>
                <w:tcPr>
                  <w:tcW w:w="3328" w:type="dxa"/>
                  <w:tcBorders>
                    <w:tl2br w:val="nil"/>
                    <w:tr2bl w:val="nil"/>
                  </w:tcBorders>
                  <w:vAlign w:val="center"/>
                </w:tcPr>
                <w:p>
                  <w:pPr>
                    <w:adjustRightInd w:val="0"/>
                    <w:snapToGrid w:val="0"/>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昼间（Leq）</w:t>
                  </w:r>
                </w:p>
              </w:tc>
              <w:tc>
                <w:tcPr>
                  <w:tcW w:w="3400" w:type="dxa"/>
                  <w:tcBorders>
                    <w:tl2br w:val="nil"/>
                    <w:tr2bl w:val="nil"/>
                  </w:tcBorders>
                  <w:vAlign w:val="center"/>
                </w:tcPr>
                <w:p>
                  <w:pPr>
                    <w:adjustRightInd w:val="0"/>
                    <w:snapToGrid w:val="0"/>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夜间（Leq）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80" w:hRule="atLeast"/>
                <w:jc w:val="center"/>
              </w:trPr>
              <w:tc>
                <w:tcPr>
                  <w:tcW w:w="2165" w:type="dxa"/>
                  <w:tcBorders>
                    <w:tl2br w:val="nil"/>
                    <w:tr2bl w:val="nil"/>
                  </w:tcBorders>
                  <w:vAlign w:val="center"/>
                </w:tcPr>
                <w:p>
                  <w:pPr>
                    <w:adjustRightInd w:val="0"/>
                    <w:snapToGrid w:val="0"/>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检测点位</w:t>
                  </w:r>
                </w:p>
              </w:tc>
              <w:tc>
                <w:tcPr>
                  <w:tcW w:w="3328" w:type="dxa"/>
                  <w:tcBorders>
                    <w:tl2br w:val="nil"/>
                    <w:tr2bl w:val="nil"/>
                  </w:tcBorders>
                  <w:vAlign w:val="center"/>
                </w:tcPr>
                <w:p>
                  <w:pPr>
                    <w:spacing w:beforeLines="5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测定结果</w:t>
                  </w:r>
                  <w:r>
                    <w:rPr>
                      <w:rFonts w:hint="default" w:ascii="Times New Roman" w:hAnsi="Times New Roman" w:eastAsia="宋体" w:cs="Times New Roman"/>
                      <w:b w:val="0"/>
                      <w:bCs w:val="0"/>
                      <w:color w:val="000000"/>
                      <w:sz w:val="21"/>
                      <w:szCs w:val="21"/>
                      <w:u w:val="none"/>
                    </w:rPr>
                    <w:t>dB(A)</w:t>
                  </w:r>
                </w:p>
              </w:tc>
              <w:tc>
                <w:tcPr>
                  <w:tcW w:w="3400" w:type="dxa"/>
                  <w:tcBorders>
                    <w:tl2br w:val="nil"/>
                    <w:tr2bl w:val="nil"/>
                  </w:tcBorders>
                  <w:vAlign w:val="center"/>
                </w:tcPr>
                <w:p>
                  <w:pPr>
                    <w:ind w:left="-110" w:leftChars="-50" w:right="-110" w:rightChars="-50"/>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测定结果</w:t>
                  </w:r>
                  <w:r>
                    <w:rPr>
                      <w:rFonts w:hint="default" w:ascii="Times New Roman" w:hAnsi="Times New Roman" w:eastAsia="宋体" w:cs="Times New Roman"/>
                      <w:b w:val="0"/>
                      <w:bCs w:val="0"/>
                      <w:color w:val="000000"/>
                      <w:sz w:val="21"/>
                      <w:szCs w:val="21"/>
                      <w:u w:val="none"/>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5" w:hRule="atLeast"/>
                <w:jc w:val="center"/>
              </w:trPr>
              <w:tc>
                <w:tcPr>
                  <w:tcW w:w="2165" w:type="dxa"/>
                  <w:tcBorders>
                    <w:tl2br w:val="nil"/>
                    <w:tr2bl w:val="nil"/>
                  </w:tcBorders>
                  <w:vAlign w:val="center"/>
                </w:tcPr>
                <w:p>
                  <w:pPr>
                    <w:adjustRightInd w:val="0"/>
                    <w:snapToGrid w:val="0"/>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后土屯村</w:t>
                  </w:r>
                </w:p>
              </w:tc>
              <w:tc>
                <w:tcPr>
                  <w:tcW w:w="3328" w:type="dxa"/>
                  <w:tcBorders>
                    <w:tl2br w:val="nil"/>
                    <w:tr2bl w:val="nil"/>
                  </w:tcBorders>
                  <w:vAlign w:val="center"/>
                </w:tcPr>
                <w:p>
                  <w:pPr>
                    <w:adjustRightInd w:val="0"/>
                    <w:snapToGrid w:val="0"/>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53.4</w:t>
                  </w:r>
                </w:p>
              </w:tc>
              <w:tc>
                <w:tcPr>
                  <w:tcW w:w="3400" w:type="dxa"/>
                  <w:tcBorders>
                    <w:tl2br w:val="nil"/>
                    <w:tr2bl w:val="nil"/>
                  </w:tcBorders>
                  <w:vAlign w:val="center"/>
                </w:tcPr>
                <w:p>
                  <w:pPr>
                    <w:adjustRightInd w:val="0"/>
                    <w:snapToGrid w:val="0"/>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43.3</w:t>
                  </w:r>
                </w:p>
              </w:tc>
            </w:tr>
          </w:tbl>
          <w:p>
            <w:pPr>
              <w:spacing w:line="360" w:lineRule="auto"/>
              <w:ind w:firstLine="489" w:firstLineChars="196"/>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4、地下水和土壤环境质量现状</w:t>
            </w:r>
          </w:p>
          <w:p>
            <w:pPr>
              <w:spacing w:line="360" w:lineRule="auto"/>
              <w:ind w:firstLine="500" w:firstLineChars="200"/>
              <w:jc w:val="left"/>
              <w:rPr>
                <w:rFonts w:hint="default" w:ascii="Times New Roman" w:hAnsi="Times New Roman" w:eastAsia="宋体" w:cs="Times New Roman"/>
                <w:sz w:val="24"/>
                <w:szCs w:val="24"/>
                <w:u w:val="none"/>
              </w:rPr>
            </w:pPr>
            <w:r>
              <w:rPr>
                <w:rFonts w:hint="eastAsia" w:ascii="Times New Roman" w:hAnsi="Times New Roman" w:eastAsia="宋体" w:cs="Times New Roman"/>
                <w:sz w:val="24"/>
                <w:szCs w:val="24"/>
                <w:u w:val="none"/>
                <w:lang w:eastAsia="zh-CN"/>
              </w:rPr>
              <w:t>根据评价要求，</w:t>
            </w:r>
            <w:r>
              <w:rPr>
                <w:rFonts w:hint="default" w:ascii="Times New Roman" w:hAnsi="Times New Roman" w:eastAsia="宋体" w:cs="Times New Roman"/>
                <w:sz w:val="24"/>
                <w:szCs w:val="24"/>
                <w:u w:val="none"/>
              </w:rPr>
              <w:t>本项目厂区地面均采取硬化防渗处理，不存在土壤、地下水环境污染途径，根据《建设项目环境影响报告表编制技术指南》（污染影响类）（试行），原则上不开展环境质量现状调查，本项目区域内将全部进行水泥硬底化，无表露土壤，且使用原料中不含重金属和难降解有机物，不会对周边地下水、土壤造成严重影响，因此本项目不开展地下水、土壤环境质量现状调查</w:t>
            </w:r>
            <w:r>
              <w:rPr>
                <w:rFonts w:hint="default" w:ascii="Times New Roman" w:hAnsi="Times New Roman" w:eastAsia="宋体" w:cs="Times New Roman"/>
                <w:sz w:val="24"/>
                <w:szCs w:val="24"/>
              </w:rPr>
              <w:t>。</w:t>
            </w:r>
          </w:p>
          <w:p>
            <w:pPr>
              <w:spacing w:line="360" w:lineRule="auto"/>
              <w:ind w:firstLine="500" w:firstLineChars="200"/>
              <w:jc w:val="left"/>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 xml:space="preserve">5、生态环境 </w:t>
            </w:r>
          </w:p>
          <w:p>
            <w:pPr>
              <w:spacing w:line="360" w:lineRule="auto"/>
              <w:ind w:firstLine="500" w:firstLineChars="200"/>
              <w:jc w:val="left"/>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经调查，项目区域内无珍稀濒危等需要特殊保护的动植物，无生态环境保护目标。</w:t>
            </w:r>
          </w:p>
          <w:p>
            <w:pPr>
              <w:spacing w:line="360" w:lineRule="auto"/>
              <w:ind w:firstLine="500" w:firstLineChars="200"/>
              <w:jc w:val="left"/>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 xml:space="preserve">6、文物古迹 </w:t>
            </w:r>
          </w:p>
          <w:p>
            <w:pPr>
              <w:spacing w:line="360" w:lineRule="auto"/>
              <w:ind w:firstLine="500" w:firstLineChars="200"/>
              <w:jc w:val="left"/>
              <w:rPr>
                <w:rFonts w:hint="default" w:ascii="Times New Roman" w:hAnsi="Times New Roman" w:cs="Times New Roman"/>
              </w:rPr>
            </w:pPr>
            <w:r>
              <w:rPr>
                <w:rFonts w:hint="default" w:ascii="Times New Roman" w:hAnsi="Times New Roman" w:eastAsia="宋体" w:cs="Times New Roman"/>
                <w:sz w:val="24"/>
                <w:szCs w:val="24"/>
                <w:u w:val="none"/>
              </w:rPr>
              <w:t>经调查，项目厂址周边</w:t>
            </w:r>
            <w:r>
              <w:rPr>
                <w:rFonts w:hint="default" w:ascii="Times New Roman" w:hAnsi="Times New Roman" w:eastAsia="宋体" w:cs="Times New Roman"/>
                <w:sz w:val="24"/>
                <w:szCs w:val="24"/>
                <w:u w:val="none"/>
                <w:lang w:val="en-US" w:eastAsia="zh-CN"/>
              </w:rPr>
              <w:t>暂未发现有需要保护的</w:t>
            </w:r>
            <w:r>
              <w:rPr>
                <w:rFonts w:hint="default" w:ascii="Times New Roman" w:hAnsi="Times New Roman" w:eastAsia="宋体" w:cs="Times New Roman"/>
                <w:sz w:val="24"/>
                <w:szCs w:val="24"/>
                <w:u w:val="none"/>
              </w:rPr>
              <w:t>文物古迹等。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1477" w:hRule="atLeast"/>
          <w:jc w:val="center"/>
        </w:trPr>
        <w:tc>
          <w:tcPr>
            <w:tcW w:w="842"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 w:val="24"/>
                <w:szCs w:val="24"/>
              </w:rPr>
              <w:t>环境保护目标</w:t>
            </w:r>
          </w:p>
        </w:tc>
        <w:tc>
          <w:tcPr>
            <w:tcW w:w="8775" w:type="dxa"/>
            <w:vAlign w:val="top"/>
          </w:tcPr>
          <w:p>
            <w:pPr>
              <w:spacing w:line="440" w:lineRule="exact"/>
              <w:rPr>
                <w:rFonts w:hint="default" w:ascii="Times New Roman" w:hAnsi="Times New Roman" w:eastAsia="宋体" w:cs="Times New Roman"/>
                <w:b/>
                <w:sz w:val="24"/>
                <w:szCs w:val="24"/>
              </w:rPr>
            </w:pPr>
            <w:r>
              <w:rPr>
                <w:rFonts w:hint="default" w:ascii="Times New Roman" w:hAnsi="Times New Roman" w:cs="Times New Roman"/>
                <w:b/>
                <w:bCs/>
                <w:szCs w:val="21"/>
              </w:rPr>
              <w:t>主</w:t>
            </w:r>
            <w:r>
              <w:rPr>
                <w:rFonts w:hint="default" w:ascii="Times New Roman" w:hAnsi="Times New Roman" w:eastAsia="宋体" w:cs="Times New Roman"/>
                <w:b/>
                <w:sz w:val="24"/>
                <w:szCs w:val="24"/>
              </w:rPr>
              <w:t>环境保护目标：</w:t>
            </w:r>
          </w:p>
          <w:p>
            <w:pPr>
              <w:widowControl/>
              <w:autoSpaceDE w:val="0"/>
              <w:autoSpaceDN w:val="0"/>
              <w:spacing w:line="440" w:lineRule="exact"/>
              <w:ind w:firstLine="500" w:firstLineChars="200"/>
              <w:rPr>
                <w:rFonts w:hint="default" w:ascii="Times New Roman" w:hAnsi="Times New Roman" w:eastAsia="宋体" w:cs="Times New Roman"/>
                <w:kern w:val="0"/>
                <w:sz w:val="24"/>
                <w:szCs w:val="24"/>
                <w:u w:val="none"/>
              </w:rPr>
            </w:pPr>
            <w:r>
              <w:rPr>
                <w:rFonts w:hint="default" w:ascii="Times New Roman" w:hAnsi="Times New Roman" w:eastAsia="宋体" w:cs="Times New Roman"/>
                <w:sz w:val="24"/>
                <w:szCs w:val="24"/>
              </w:rPr>
              <w:t>项目位于南阳市方城县广阳镇后寨村168号，项目周边环境保护目标见表3-</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autoSpaceDE w:val="0"/>
              <w:autoSpaceDN w:val="0"/>
              <w:adjustRightInd w:val="0"/>
              <w:spacing w:line="440" w:lineRule="exact"/>
              <w:ind w:firstLine="2500" w:firstLineChars="1000"/>
              <w:rPr>
                <w:rFonts w:hint="default" w:ascii="Times New Roman" w:hAnsi="Times New Roman" w:eastAsia="宋体" w:cs="Times New Roman"/>
                <w:b/>
                <w:bCs/>
                <w:sz w:val="24"/>
                <w:szCs w:val="24"/>
                <w:u w:val="none"/>
              </w:rPr>
            </w:pPr>
            <w:r>
              <w:rPr>
                <w:rFonts w:hint="default" w:ascii="Times New Roman" w:hAnsi="Times New Roman" w:eastAsia="宋体" w:cs="Times New Roman"/>
                <w:b/>
                <w:bCs/>
                <w:sz w:val="24"/>
                <w:szCs w:val="24"/>
                <w:u w:val="none"/>
              </w:rPr>
              <w:t>表3-</w:t>
            </w:r>
            <w:r>
              <w:rPr>
                <w:rFonts w:hint="eastAsia" w:ascii="Times New Roman" w:hAnsi="Times New Roman" w:eastAsia="宋体" w:cs="Times New Roman"/>
                <w:b/>
                <w:bCs/>
                <w:sz w:val="24"/>
                <w:szCs w:val="24"/>
                <w:u w:val="none"/>
                <w:lang w:val="en-US" w:eastAsia="zh-CN"/>
              </w:rPr>
              <w:t>4</w:t>
            </w:r>
            <w:r>
              <w:rPr>
                <w:rFonts w:hint="default" w:ascii="Times New Roman" w:hAnsi="Times New Roman" w:eastAsia="宋体" w:cs="Times New Roman"/>
                <w:b/>
                <w:bCs/>
                <w:sz w:val="24"/>
                <w:szCs w:val="24"/>
                <w:u w:val="none"/>
              </w:rPr>
              <w:t xml:space="preserve">    项目主要环境保护目标</w:t>
            </w:r>
          </w:p>
          <w:tbl>
            <w:tblPr>
              <w:tblStyle w:val="11"/>
              <w:tblW w:w="8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770"/>
              <w:gridCol w:w="795"/>
              <w:gridCol w:w="1690"/>
              <w:gridCol w:w="3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1098"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因素</w:t>
                  </w:r>
                </w:p>
              </w:tc>
              <w:tc>
                <w:tcPr>
                  <w:tcW w:w="1770"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保护目标</w:t>
                  </w:r>
                </w:p>
              </w:tc>
              <w:tc>
                <w:tcPr>
                  <w:tcW w:w="795"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方位</w:t>
                  </w:r>
                </w:p>
              </w:tc>
              <w:tc>
                <w:tcPr>
                  <w:tcW w:w="1690"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距离厂界</w:t>
                  </w:r>
                </w:p>
              </w:tc>
              <w:tc>
                <w:tcPr>
                  <w:tcW w:w="3067"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098" w:type="dxa"/>
                  <w:vMerge w:val="restart"/>
                  <w:vAlign w:val="center"/>
                </w:tcPr>
                <w:p>
                  <w:pPr>
                    <w:autoSpaceDE w:val="0"/>
                    <w:autoSpaceDN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环境</w:t>
                  </w:r>
                </w:p>
                <w:p>
                  <w:pPr>
                    <w:autoSpaceDE w:val="0"/>
                    <w:autoSpaceDN w:val="0"/>
                    <w:spacing w:line="36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空气</w:t>
                  </w:r>
                </w:p>
              </w:tc>
              <w:tc>
                <w:tcPr>
                  <w:tcW w:w="1770" w:type="dxa"/>
                  <w:vAlign w:val="center"/>
                </w:tcPr>
                <w:p>
                  <w:pPr>
                    <w:widowControl/>
                    <w:autoSpaceDE w:val="0"/>
                    <w:autoSpaceDN w:val="0"/>
                    <w:spacing w:line="360" w:lineRule="auto"/>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后土屯（512人）</w:t>
                  </w:r>
                </w:p>
              </w:tc>
              <w:tc>
                <w:tcPr>
                  <w:tcW w:w="795" w:type="dxa"/>
                  <w:vAlign w:val="center"/>
                </w:tcPr>
                <w:p>
                  <w:pPr>
                    <w:spacing w:line="36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N</w:t>
                  </w:r>
                </w:p>
              </w:tc>
              <w:tc>
                <w:tcPr>
                  <w:tcW w:w="1690"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rPr>
                    <w:t>m</w:t>
                  </w:r>
                </w:p>
              </w:tc>
              <w:tc>
                <w:tcPr>
                  <w:tcW w:w="3067" w:type="dxa"/>
                  <w:vMerge w:val="restart"/>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098" w:type="dxa"/>
                  <w:vMerge w:val="continue"/>
                  <w:vAlign w:val="center"/>
                </w:tcPr>
                <w:p>
                  <w:pPr>
                    <w:autoSpaceDE w:val="0"/>
                    <w:autoSpaceDN w:val="0"/>
                    <w:spacing w:line="360" w:lineRule="auto"/>
                    <w:jc w:val="center"/>
                    <w:rPr>
                      <w:rFonts w:hint="default" w:ascii="Times New Roman" w:hAnsi="Times New Roman" w:eastAsia="宋体" w:cs="Times New Roman"/>
                      <w:bCs/>
                      <w:sz w:val="21"/>
                      <w:szCs w:val="21"/>
                    </w:rPr>
                  </w:pPr>
                </w:p>
              </w:tc>
              <w:tc>
                <w:tcPr>
                  <w:tcW w:w="1770" w:type="dxa"/>
                  <w:vAlign w:val="center"/>
                </w:tcPr>
                <w:p>
                  <w:pPr>
                    <w:widowControl/>
                    <w:autoSpaceDE w:val="0"/>
                    <w:autoSpaceDN w:val="0"/>
                    <w:spacing w:line="360" w:lineRule="auto"/>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前土屯（352人）</w:t>
                  </w:r>
                </w:p>
              </w:tc>
              <w:tc>
                <w:tcPr>
                  <w:tcW w:w="795"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w:t>
                  </w:r>
                </w:p>
              </w:tc>
              <w:tc>
                <w:tcPr>
                  <w:tcW w:w="1690"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100</w:t>
                  </w:r>
                  <w:r>
                    <w:rPr>
                      <w:rFonts w:hint="default" w:ascii="Times New Roman" w:hAnsi="Times New Roman" w:eastAsia="宋体" w:cs="Times New Roman"/>
                      <w:sz w:val="21"/>
                      <w:szCs w:val="21"/>
                    </w:rPr>
                    <w:t>m</w:t>
                  </w:r>
                </w:p>
              </w:tc>
              <w:tc>
                <w:tcPr>
                  <w:tcW w:w="3067" w:type="dxa"/>
                  <w:vMerge w:val="continue"/>
                  <w:vAlign w:val="center"/>
                </w:tcPr>
                <w:p>
                  <w:pPr>
                    <w:spacing w:line="360" w:lineRule="auto"/>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098" w:type="dxa"/>
                  <w:vAlign w:val="center"/>
                </w:tcPr>
                <w:p>
                  <w:pPr>
                    <w:autoSpaceDE w:val="0"/>
                    <w:autoSpaceDN w:val="0"/>
                    <w:spacing w:line="360" w:lineRule="auto"/>
                    <w:jc w:val="center"/>
                    <w:rPr>
                      <w:rFonts w:hint="default" w:ascii="Times New Roman" w:hAnsi="Times New Roman" w:eastAsia="宋体" w:cs="Times New Roman"/>
                      <w:bCs/>
                      <w:sz w:val="21"/>
                      <w:szCs w:val="21"/>
                    </w:rPr>
                  </w:pPr>
                  <w:r>
                    <w:rPr>
                      <w:rFonts w:hint="default" w:ascii="Times New Roman" w:hAnsi="Times New Roman" w:cs="Times New Roman"/>
                      <w:bCs/>
                      <w:color w:val="000000"/>
                      <w:sz w:val="21"/>
                      <w:szCs w:val="21"/>
                      <w:u w:val="none"/>
                    </w:rPr>
                    <w:t>声环境</w:t>
                  </w:r>
                </w:p>
              </w:tc>
              <w:tc>
                <w:tcPr>
                  <w:tcW w:w="1770" w:type="dxa"/>
                  <w:vAlign w:val="center"/>
                </w:tcPr>
                <w:p>
                  <w:pPr>
                    <w:widowControl/>
                    <w:autoSpaceDE w:val="0"/>
                    <w:autoSpaceDN w:val="0"/>
                    <w:spacing w:line="360" w:lineRule="auto"/>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后土屯（512人）</w:t>
                  </w:r>
                </w:p>
              </w:tc>
              <w:tc>
                <w:tcPr>
                  <w:tcW w:w="795"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w:t>
                  </w:r>
                </w:p>
              </w:tc>
              <w:tc>
                <w:tcPr>
                  <w:tcW w:w="1690"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rPr>
                    <w:t>m</w:t>
                  </w:r>
                </w:p>
              </w:tc>
              <w:tc>
                <w:tcPr>
                  <w:tcW w:w="3067"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《声环境质量标准》（GB 3096－2008）中2类区标准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1098" w:type="dxa"/>
                  <w:vMerge w:val="restart"/>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p>
              </w:tc>
              <w:tc>
                <w:tcPr>
                  <w:tcW w:w="1770" w:type="dxa"/>
                  <w:vAlign w:val="center"/>
                </w:tcPr>
                <w:p>
                  <w:pPr>
                    <w:spacing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自然河沟</w:t>
                  </w:r>
                </w:p>
              </w:tc>
              <w:tc>
                <w:tcPr>
                  <w:tcW w:w="795"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w:t>
                  </w:r>
                </w:p>
              </w:tc>
              <w:tc>
                <w:tcPr>
                  <w:tcW w:w="1690" w:type="dxa"/>
                  <w:vAlign w:val="center"/>
                </w:tcPr>
                <w:p>
                  <w:pPr>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500m</w:t>
                  </w:r>
                </w:p>
              </w:tc>
              <w:tc>
                <w:tcPr>
                  <w:tcW w:w="3067" w:type="dxa"/>
                  <w:vMerge w:val="restart"/>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《地表水环境质量标准》</w:t>
                  </w:r>
                </w:p>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 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1098" w:type="dxa"/>
                  <w:vMerge w:val="continue"/>
                  <w:vAlign w:val="center"/>
                </w:tcPr>
                <w:p>
                  <w:pPr>
                    <w:spacing w:line="360" w:lineRule="auto"/>
                    <w:jc w:val="center"/>
                    <w:rPr>
                      <w:rFonts w:hint="default" w:ascii="Times New Roman" w:hAnsi="Times New Roman" w:eastAsia="宋体" w:cs="Times New Roman"/>
                      <w:sz w:val="21"/>
                      <w:szCs w:val="21"/>
                    </w:rPr>
                  </w:pPr>
                </w:p>
              </w:tc>
              <w:tc>
                <w:tcPr>
                  <w:tcW w:w="1770" w:type="dxa"/>
                  <w:vAlign w:val="center"/>
                </w:tcPr>
                <w:p>
                  <w:pPr>
                    <w:spacing w:line="360" w:lineRule="auto"/>
                    <w:jc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白河</w:t>
                  </w:r>
                </w:p>
              </w:tc>
              <w:tc>
                <w:tcPr>
                  <w:tcW w:w="795" w:type="dxa"/>
                  <w:vAlign w:val="center"/>
                </w:tcPr>
                <w:p>
                  <w:pPr>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w:t>
                  </w:r>
                </w:p>
              </w:tc>
              <w:tc>
                <w:tcPr>
                  <w:tcW w:w="1690" w:type="dxa"/>
                  <w:vAlign w:val="center"/>
                </w:tcPr>
                <w:p>
                  <w:pPr>
                    <w:spacing w:line="36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val="en-US" w:eastAsia="zh-CN"/>
                    </w:rPr>
                    <w:t>k</w:t>
                  </w:r>
                  <w:r>
                    <w:rPr>
                      <w:rFonts w:hint="default" w:ascii="Times New Roman" w:hAnsi="Times New Roman" w:eastAsia="宋体" w:cs="Times New Roman"/>
                      <w:sz w:val="21"/>
                      <w:szCs w:val="21"/>
                    </w:rPr>
                    <w:t>m</w:t>
                  </w:r>
                </w:p>
              </w:tc>
              <w:tc>
                <w:tcPr>
                  <w:tcW w:w="3067" w:type="dxa"/>
                  <w:vMerge w:val="continue"/>
                  <w:vAlign w:val="center"/>
                </w:tcPr>
                <w:p>
                  <w:pPr>
                    <w:spacing w:line="360" w:lineRule="auto"/>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098"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w:t>
                  </w:r>
                </w:p>
              </w:tc>
              <w:tc>
                <w:tcPr>
                  <w:tcW w:w="4255" w:type="dxa"/>
                  <w:gridSpan w:val="3"/>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根据现场勘查，本项目厂界外500m范围内无地下水集中式饮用水水源和热水、矿泉水、温泉等特殊地下水资源</w:t>
                  </w:r>
                </w:p>
              </w:tc>
              <w:tc>
                <w:tcPr>
                  <w:tcW w:w="3067"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《地下水质量标准》（GB/T 14848-2017）</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3 \* ROMAN \* MERGEFORMAT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III</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098" w:type="dxa"/>
                  <w:vAlign w:val="center"/>
                </w:tcPr>
                <w:p>
                  <w:pPr>
                    <w:spacing w:line="36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生态环境</w:t>
                  </w:r>
                </w:p>
              </w:tc>
              <w:tc>
                <w:tcPr>
                  <w:tcW w:w="7322" w:type="dxa"/>
                  <w:gridSpan w:val="4"/>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根据现场调查，本项目周围人类活动频繁，无原始植被生长和珍稀野生动物活动，区域生态系统敏感程度较低，项目用地范围内不涉及生态环境保护目标</w:t>
                  </w:r>
                </w:p>
              </w:tc>
            </w:tr>
          </w:tbl>
          <w:p>
            <w:pPr>
              <w:spacing w:line="360" w:lineRule="auto"/>
              <w:rPr>
                <w:rFonts w:hint="default" w:ascii="Times New Roman" w:hAnsi="Times New Roman" w:cs="Times New Roman"/>
                <w:szCs w:val="21"/>
              </w:rPr>
            </w:pPr>
          </w:p>
          <w:p>
            <w:pPr>
              <w:pStyle w:val="18"/>
              <w:rPr>
                <w:rFonts w:hint="default" w:ascii="Times New Roman" w:hAnsi="Times New Roman" w:cs="Times New Roman"/>
                <w:color w:val="auto"/>
              </w:rPr>
            </w:pPr>
          </w:p>
          <w:p>
            <w:pPr>
              <w:pStyle w:val="20"/>
              <w:rPr>
                <w:rFonts w:hint="default" w:ascii="Times New Roman" w:hAnsi="Times New Roman" w:cs="Times New Roman"/>
                <w:color w:val="auto"/>
              </w:rPr>
            </w:pPr>
          </w:p>
          <w:p>
            <w:pPr>
              <w:rPr>
                <w:rFonts w:hint="default" w:ascii="Times New Roman" w:hAnsi="Times New Roman" w:cs="Times New Roman"/>
                <w:color w:val="auto"/>
              </w:rPr>
            </w:pPr>
          </w:p>
          <w:p>
            <w:pPr>
              <w:pStyle w:val="3"/>
              <w:rPr>
                <w:rFonts w:hint="default" w:ascii="Times New Roman" w:hAnsi="Times New Roman" w:cs="Times New Roman"/>
                <w:color w:val="auto"/>
              </w:rPr>
            </w:pPr>
          </w:p>
          <w:p>
            <w:pPr>
              <w:rPr>
                <w:rFonts w:hint="default" w:ascii="Times New Roman" w:hAnsi="Times New Roman" w:cs="Times New Roman"/>
                <w:color w:val="auto"/>
              </w:rPr>
            </w:pPr>
          </w:p>
          <w:p>
            <w:pPr>
              <w:pStyle w:val="3"/>
              <w:rPr>
                <w:rFonts w:hint="default" w:ascii="Times New Roman" w:hAnsi="Times New Roman" w:cs="Times New Roman"/>
              </w:rPr>
            </w:pPr>
          </w:p>
          <w:p>
            <w:pPr>
              <w:pStyle w:val="18"/>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8452" w:hRule="atLeast"/>
          <w:jc w:val="center"/>
        </w:trPr>
        <w:tc>
          <w:tcPr>
            <w:tcW w:w="842" w:type="dxa"/>
            <w:vAlign w:val="center"/>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污染物排放控制标准</w:t>
            </w:r>
          </w:p>
        </w:tc>
        <w:tc>
          <w:tcPr>
            <w:tcW w:w="8775" w:type="dxa"/>
            <w:vAlign w:val="top"/>
          </w:tcPr>
          <w:tbl>
            <w:tblPr>
              <w:tblStyle w:val="11"/>
              <w:tblpPr w:leftFromText="180" w:rightFromText="180" w:horzAnchor="margin" w:tblpXSpec="center" w:tblpY="519"/>
              <w:tblOverlap w:val="never"/>
              <w:tblW w:w="84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2993"/>
              <w:gridCol w:w="750"/>
              <w:gridCol w:w="4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505" w:type="dxa"/>
                  <w:vAlign w:val="center"/>
                </w:tcPr>
                <w:p>
                  <w:pPr>
                    <w:pStyle w:val="5"/>
                    <w:spacing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3743" w:type="dxa"/>
                  <w:gridSpan w:val="2"/>
                  <w:vAlign w:val="center"/>
                </w:tcPr>
                <w:p>
                  <w:pPr>
                    <w:pStyle w:val="5"/>
                    <w:spacing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排放标准</w:t>
                  </w:r>
                </w:p>
              </w:tc>
              <w:tc>
                <w:tcPr>
                  <w:tcW w:w="4243" w:type="dxa"/>
                  <w:vAlign w:val="center"/>
                </w:tcPr>
                <w:p>
                  <w:pPr>
                    <w:pStyle w:val="5"/>
                    <w:spacing w:line="36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污染物及标准值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505" w:type="dxa"/>
                  <w:vAlign w:val="center"/>
                </w:tcPr>
                <w:p>
                  <w:pPr>
                    <w:pStyle w:val="5"/>
                    <w:spacing w:line="36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743" w:type="dxa"/>
                  <w:gridSpan w:val="2"/>
                  <w:vAlign w:val="center"/>
                </w:tcPr>
                <w:p>
                  <w:pPr>
                    <w:pStyle w:val="5"/>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《合成树脂工业污染物排放标准》（GB31572-2015）</w:t>
                  </w:r>
                </w:p>
              </w:tc>
              <w:tc>
                <w:tcPr>
                  <w:tcW w:w="4243" w:type="dxa"/>
                  <w:vAlign w:val="center"/>
                </w:tcPr>
                <w:p>
                  <w:pPr>
                    <w:spacing w:line="360" w:lineRule="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有组织最高允许排放浓度100mg/m³（单位产品非甲烷总烃排放量0.5kg/t产品），无组织企业边界4.0mg/m³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6" w:hRule="atLeast"/>
                <w:jc w:val="center"/>
              </w:trPr>
              <w:tc>
                <w:tcPr>
                  <w:tcW w:w="505" w:type="dxa"/>
                  <w:vAlign w:val="center"/>
                </w:tcPr>
                <w:p>
                  <w:pPr>
                    <w:spacing w:line="36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2</w:t>
                  </w:r>
                </w:p>
              </w:tc>
              <w:tc>
                <w:tcPr>
                  <w:tcW w:w="2993" w:type="dxa"/>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《关于全省开展工业企业挥发性有机物专项治理工作中排放建议值的通知》（豫环攻坚办[2017]162号）</w:t>
                  </w:r>
                </w:p>
              </w:tc>
              <w:tc>
                <w:tcPr>
                  <w:tcW w:w="750"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其他行业</w:t>
                  </w:r>
                </w:p>
              </w:tc>
              <w:tc>
                <w:tcPr>
                  <w:tcW w:w="4243" w:type="dxa"/>
                  <w:vAlign w:val="center"/>
                </w:tcPr>
                <w:p>
                  <w:pPr>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有机废气排放口：非甲烷总烃</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vertAlign w:val="baseline"/>
                      <w:lang w:eastAsia="zh-CN"/>
                    </w:rPr>
                    <w:t>，</w:t>
                  </w:r>
                  <w:r>
                    <w:rPr>
                      <w:rFonts w:hint="default" w:ascii="Times New Roman" w:hAnsi="Times New Roman" w:eastAsia="宋体" w:cs="Times New Roman"/>
                      <w:sz w:val="21"/>
                      <w:szCs w:val="21"/>
                      <w:vertAlign w:val="baseline"/>
                      <w:lang w:val="en-US" w:eastAsia="zh-CN"/>
                    </w:rPr>
                    <w:t>建议去除率为70%；</w:t>
                  </w:r>
                  <w:r>
                    <w:rPr>
                      <w:rFonts w:hint="default" w:ascii="Times New Roman" w:hAnsi="Times New Roman" w:eastAsia="宋体" w:cs="Times New Roman"/>
                      <w:sz w:val="21"/>
                      <w:szCs w:val="21"/>
                    </w:rPr>
                    <w:t>工业企业边界排放建议值：非甲烷总烃2.0mg/m</w:t>
                  </w:r>
                  <w:r>
                    <w:rPr>
                      <w:rFonts w:hint="default" w:ascii="Times New Roman" w:hAnsi="Times New Roman" w:eastAsia="宋体"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6" w:hRule="atLeast"/>
                <w:jc w:val="center"/>
              </w:trPr>
              <w:tc>
                <w:tcPr>
                  <w:tcW w:w="505" w:type="dxa"/>
                  <w:vAlign w:val="center"/>
                </w:tcPr>
                <w:p>
                  <w:pPr>
                    <w:spacing w:line="36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3</w:t>
                  </w:r>
                </w:p>
              </w:tc>
              <w:tc>
                <w:tcPr>
                  <w:tcW w:w="3743" w:type="dxa"/>
                  <w:gridSpan w:val="2"/>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《挥发性有机物无组织排放控制标准》（GB 37822-2019）</w:t>
                  </w:r>
                </w:p>
              </w:tc>
              <w:tc>
                <w:tcPr>
                  <w:tcW w:w="4243" w:type="dxa"/>
                  <w:vAlign w:val="center"/>
                </w:tcPr>
                <w:p>
                  <w:pPr>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区内无组织排放（在厂房外设置监控点）：1h平均浓度不高于10mg/</w:t>
                  </w:r>
                  <w:r>
                    <w:rPr>
                      <w:rFonts w:hint="default" w:ascii="Times New Roman" w:hAnsi="Times New Roman" w:eastAsia="宋体" w:cs="Times New Roman"/>
                      <w:bCs/>
                      <w:sz w:val="21"/>
                      <w:szCs w:val="21"/>
                      <w:lang w:val="en-US" w:eastAsia="zh-CN"/>
                    </w:rPr>
                    <w:t>m³</w:t>
                  </w:r>
                  <w:r>
                    <w:rPr>
                      <w:rFonts w:hint="default" w:ascii="Times New Roman" w:hAnsi="Times New Roman" w:eastAsia="宋体" w:cs="Times New Roman"/>
                      <w:bCs/>
                      <w:sz w:val="21"/>
                      <w:szCs w:val="21"/>
                    </w:rPr>
                    <w:t>，任意一次浓度值不高于30mg/</w:t>
                  </w:r>
                  <w:r>
                    <w:rPr>
                      <w:rFonts w:hint="default" w:ascii="Times New Roman" w:hAnsi="Times New Roman" w:eastAsia="宋体" w:cs="Times New Roman"/>
                      <w:bCs/>
                      <w:sz w:val="21"/>
                      <w:szCs w:val="21"/>
                      <w:lang w:val="en-US" w:eastAsia="zh-CN"/>
                    </w:rPr>
                    <w:t>m³</w:t>
                  </w:r>
                  <w:r>
                    <w:rPr>
                      <w:rFonts w:hint="default"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05" w:type="dxa"/>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c>
                <w:tcPr>
                  <w:tcW w:w="3743" w:type="dxa"/>
                  <w:gridSpan w:val="2"/>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Cs w:val="21"/>
                      <w:u w:val="none"/>
                      <w14:textFill>
                        <w14:solidFill>
                          <w14:schemeClr w14:val="tx1"/>
                        </w14:solidFill>
                      </w14:textFill>
                    </w:rPr>
                    <w:t>《</w:t>
                  </w:r>
                  <w:r>
                    <w:rPr>
                      <w:rFonts w:hint="default" w:ascii="Times New Roman" w:hAnsi="Times New Roman" w:eastAsia="宋体" w:cs="Times New Roman"/>
                      <w:u w:val="none"/>
                    </w:rPr>
                    <w:fldChar w:fldCharType="begin"/>
                  </w:r>
                  <w:r>
                    <w:rPr>
                      <w:rFonts w:hint="default" w:ascii="Times New Roman" w:hAnsi="Times New Roman" w:eastAsia="宋体" w:cs="Times New Roman"/>
                      <w:u w:val="none"/>
                    </w:rPr>
                    <w:instrText xml:space="preserve"> HYPERLINK "http://kjs.mep.gov.cn/hjbhbz/bzwb/wlhj/hjzspfbz/201112/W020111222566521145325.pdf" </w:instrText>
                  </w:r>
                  <w:r>
                    <w:rPr>
                      <w:rFonts w:hint="default" w:ascii="Times New Roman" w:hAnsi="Times New Roman" w:eastAsia="宋体" w:cs="Times New Roman"/>
                      <w:u w:val="none"/>
                    </w:rPr>
                    <w:fldChar w:fldCharType="separate"/>
                  </w:r>
                  <w:r>
                    <w:rPr>
                      <w:rFonts w:hint="default" w:ascii="Times New Roman" w:hAnsi="Times New Roman" w:eastAsia="宋体" w:cs="Times New Roman"/>
                      <w:color w:val="000000" w:themeColor="text1"/>
                      <w:u w:val="none"/>
                      <w14:textFill>
                        <w14:solidFill>
                          <w14:schemeClr w14:val="tx1"/>
                        </w14:solidFill>
                      </w14:textFill>
                    </w:rPr>
                    <w:t>建筑施工场界环境噪声排放标准</w:t>
                  </w:r>
                  <w:r>
                    <w:rPr>
                      <w:rFonts w:hint="default" w:ascii="Times New Roman" w:hAnsi="Times New Roman" w:eastAsia="宋体" w:cs="Times New Roman"/>
                      <w:color w:val="000000" w:themeColor="text1"/>
                      <w:u w:val="none"/>
                      <w14:textFill>
                        <w14:solidFill>
                          <w14:schemeClr w14:val="tx1"/>
                        </w14:solidFill>
                      </w14:textFill>
                    </w:rPr>
                    <w:fldChar w:fldCharType="end"/>
                  </w:r>
                  <w:r>
                    <w:rPr>
                      <w:rFonts w:hint="default" w:ascii="Times New Roman" w:hAnsi="Times New Roman" w:eastAsia="宋体" w:cs="Times New Roman"/>
                      <w:color w:val="000000" w:themeColor="text1"/>
                      <w:szCs w:val="21"/>
                      <w:u w:val="none"/>
                      <w14:textFill>
                        <w14:solidFill>
                          <w14:schemeClr w14:val="tx1"/>
                        </w14:solidFill>
                      </w14:textFill>
                    </w:rPr>
                    <w:t>》（GB12523-2011）</w:t>
                  </w:r>
                </w:p>
              </w:tc>
              <w:tc>
                <w:tcPr>
                  <w:tcW w:w="4243" w:type="dxa"/>
                  <w:vAlign w:val="center"/>
                </w:tcPr>
                <w:p>
                  <w:pPr>
                    <w:pStyle w:val="7"/>
                    <w:adjustRightIn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昼间：70 dB(A)、夜间：55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05" w:type="dxa"/>
                  <w:vAlign w:val="center"/>
                </w:tcPr>
                <w:p>
                  <w:pPr>
                    <w:adjustRightInd w:val="0"/>
                    <w:snapToGrid w:val="0"/>
                    <w:spacing w:line="36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5</w:t>
                  </w:r>
                </w:p>
              </w:tc>
              <w:tc>
                <w:tcPr>
                  <w:tcW w:w="3743" w:type="dxa"/>
                  <w:gridSpan w:val="2"/>
                  <w:vAlign w:val="center"/>
                </w:tcPr>
                <w:p>
                  <w:pPr>
                    <w:adjustRightInd w:val="0"/>
                    <w:snapToGrid w:val="0"/>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《工业企业厂界环境噪声排放标准》（GB12348-2008）</w:t>
                  </w:r>
                </w:p>
              </w:tc>
              <w:tc>
                <w:tcPr>
                  <w:tcW w:w="4243" w:type="dxa"/>
                  <w:vAlign w:val="center"/>
                </w:tcPr>
                <w:p>
                  <w:pPr>
                    <w:pStyle w:val="7"/>
                    <w:adjustRightInd w:val="0"/>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2类：昼间60 dB(A)、夜间50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jc w:val="center"/>
              </w:trPr>
              <w:tc>
                <w:tcPr>
                  <w:tcW w:w="505" w:type="dxa"/>
                  <w:vAlign w:val="center"/>
                </w:tcPr>
                <w:p>
                  <w:pPr>
                    <w:adjustRightInd w:val="0"/>
                    <w:snapToGrid w:val="0"/>
                    <w:spacing w:line="36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6</w:t>
                  </w:r>
                </w:p>
              </w:tc>
              <w:tc>
                <w:tcPr>
                  <w:tcW w:w="7986" w:type="dxa"/>
                  <w:gridSpan w:val="3"/>
                  <w:vAlign w:val="center"/>
                </w:tcPr>
                <w:p>
                  <w:pPr>
                    <w:pStyle w:val="5"/>
                    <w:spacing w:line="36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一般固废参考执行《一般工业固体废物贮存和填埋污染控制标准》（GB18599-2020）标准要求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jc w:val="center"/>
              </w:trPr>
              <w:tc>
                <w:tcPr>
                  <w:tcW w:w="505" w:type="dxa"/>
                  <w:vAlign w:val="center"/>
                </w:tcPr>
                <w:p>
                  <w:pPr>
                    <w:adjustRightInd w:val="0"/>
                    <w:snapToGrid w:val="0"/>
                    <w:spacing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7986" w:type="dxa"/>
                  <w:gridSpan w:val="3"/>
                  <w:vAlign w:val="center"/>
                </w:tcPr>
                <w:p>
                  <w:pPr>
                    <w:pStyle w:val="5"/>
                    <w:spacing w:line="36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危险废物执行《危险废物贮存污染控制标准》（GB18597-2023）要求</w:t>
                  </w:r>
                </w:p>
              </w:tc>
            </w:tr>
          </w:tbl>
          <w:p>
            <w:pPr>
              <w:spacing w:line="360" w:lineRule="auto"/>
              <w:ind w:firstLine="440" w:firstLineChars="200"/>
              <w:jc w:val="left"/>
              <w:rPr>
                <w:rFonts w:hint="default" w:ascii="Times New Roman" w:hAnsi="Times New Roman" w:cs="Times New Roman"/>
                <w:szCs w:val="21"/>
              </w:rPr>
            </w:pPr>
          </w:p>
          <w:p>
            <w:pPr>
              <w:pStyle w:val="18"/>
              <w:rPr>
                <w:rFonts w:hint="default"/>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537" w:hRule="atLeast"/>
          <w:jc w:val="center"/>
        </w:trPr>
        <w:tc>
          <w:tcPr>
            <w:tcW w:w="842" w:type="dxa"/>
            <w:vAlign w:val="center"/>
          </w:tcPr>
          <w:p>
            <w:pPr>
              <w:spacing w:line="360" w:lineRule="auto"/>
              <w:jc w:val="both"/>
              <w:rPr>
                <w:rFonts w:hint="default" w:ascii="Times New Roman" w:hAnsi="Times New Roman" w:cs="Times New Roman"/>
                <w:szCs w:val="21"/>
              </w:rPr>
            </w:pPr>
            <w:r>
              <w:rPr>
                <w:rFonts w:hint="default" w:ascii="Times New Roman" w:hAnsi="Times New Roman" w:cs="Times New Roman"/>
                <w:sz w:val="24"/>
                <w:szCs w:val="24"/>
              </w:rPr>
              <w:t>总量控制指标</w:t>
            </w:r>
          </w:p>
        </w:tc>
        <w:tc>
          <w:tcPr>
            <w:tcW w:w="8775" w:type="dxa"/>
            <w:vAlign w:val="center"/>
          </w:tcPr>
          <w:p>
            <w:pPr>
              <w:pStyle w:val="5"/>
              <w:adjustRightInd/>
              <w:snapToGrid/>
              <w:spacing w:line="360" w:lineRule="auto"/>
              <w:ind w:firstLine="500" w:firstLineChars="200"/>
              <w:jc w:val="both"/>
              <w:rPr>
                <w:rFonts w:hint="default" w:ascii="Times New Roman" w:hAnsi="Times New Roman" w:eastAsia="宋体" w:cs="Times New Roman"/>
                <w:kern w:val="0"/>
                <w:sz w:val="24"/>
                <w:szCs w:val="24"/>
                <w:u w:val="none"/>
              </w:rPr>
            </w:pPr>
            <w:r>
              <w:rPr>
                <w:rFonts w:hint="default" w:ascii="Times New Roman" w:hAnsi="Times New Roman" w:eastAsia="宋体" w:cs="Times New Roman"/>
                <w:kern w:val="0"/>
                <w:sz w:val="24"/>
                <w:szCs w:val="24"/>
                <w:u w:val="none"/>
              </w:rPr>
              <w:t>废水：生产过程冷却废水</w:t>
            </w:r>
            <w:r>
              <w:rPr>
                <w:rFonts w:hint="eastAsia" w:ascii="Times New Roman" w:eastAsia="宋体" w:cs="Times New Roman"/>
                <w:kern w:val="0"/>
                <w:sz w:val="24"/>
                <w:szCs w:val="24"/>
                <w:u w:val="none"/>
                <w:lang w:eastAsia="zh-CN"/>
              </w:rPr>
              <w:t>和喷淋塔废水</w:t>
            </w:r>
            <w:r>
              <w:rPr>
                <w:rFonts w:hint="default" w:ascii="Times New Roman" w:hAnsi="Times New Roman" w:eastAsia="宋体" w:cs="Times New Roman"/>
                <w:kern w:val="0"/>
                <w:sz w:val="24"/>
                <w:szCs w:val="24"/>
                <w:u w:val="none"/>
              </w:rPr>
              <w:t>循环使用，不外排，生活废水经化粪池处理后用作农田施肥；故项目不设废水总量控制指标。</w:t>
            </w:r>
          </w:p>
          <w:p>
            <w:pPr>
              <w:pStyle w:val="5"/>
              <w:adjustRightInd/>
              <w:snapToGrid/>
              <w:spacing w:line="360" w:lineRule="auto"/>
              <w:ind w:firstLine="500" w:firstLineChars="200"/>
              <w:jc w:val="both"/>
              <w:rPr>
                <w:rFonts w:hint="default" w:ascii="Times New Roman" w:hAnsi="Times New Roman" w:eastAsia="宋体" w:cs="Times New Roman"/>
                <w:kern w:val="0"/>
                <w:sz w:val="24"/>
                <w:szCs w:val="24"/>
                <w:u w:val="none"/>
              </w:rPr>
            </w:pPr>
            <w:r>
              <w:rPr>
                <w:rFonts w:hint="default" w:ascii="Times New Roman" w:hAnsi="Times New Roman" w:eastAsia="宋体" w:cs="Times New Roman"/>
                <w:kern w:val="0"/>
                <w:sz w:val="24"/>
                <w:szCs w:val="24"/>
                <w:u w:val="none"/>
              </w:rPr>
              <w:t>废气：需要设置总量控制指标的污染物为挥发性有机物。根据工程分析计算：</w:t>
            </w:r>
          </w:p>
          <w:p>
            <w:pPr>
              <w:pStyle w:val="5"/>
              <w:adjustRightInd/>
              <w:snapToGrid/>
              <w:spacing w:line="360" w:lineRule="auto"/>
              <w:ind w:firstLine="500" w:firstLineChars="200"/>
              <w:jc w:val="both"/>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本项目营运期挥发性有机物排放量为</w:t>
            </w:r>
            <w:r>
              <w:rPr>
                <w:rFonts w:hint="eastAsia" w:ascii="Times New Roman" w:eastAsia="宋体" w:cs="Times New Roman"/>
                <w:color w:val="auto"/>
                <w:kern w:val="0"/>
                <w:sz w:val="24"/>
                <w:szCs w:val="24"/>
                <w:u w:val="none"/>
                <w:lang w:val="en-US" w:eastAsia="zh-CN"/>
              </w:rPr>
              <w:t>0.49</w:t>
            </w:r>
            <w:r>
              <w:rPr>
                <w:rFonts w:hint="default" w:ascii="Times New Roman" w:hAnsi="Times New Roman" w:eastAsia="宋体" w:cs="Times New Roman"/>
                <w:color w:val="auto"/>
                <w:kern w:val="0"/>
                <w:sz w:val="24"/>
                <w:szCs w:val="24"/>
                <w:u w:val="none"/>
              </w:rPr>
              <w:t>t/a，根据《2022年河南省南阳市生态环境质量报告书》可知，项目所在区域为不达标区，因此总量实行倍量替代，因此大气污染物排放总量控制指标为：挥发性有机物</w:t>
            </w:r>
            <w:r>
              <w:rPr>
                <w:rFonts w:hint="eastAsia" w:ascii="Times New Roman" w:eastAsia="宋体" w:cs="Times New Roman"/>
                <w:color w:val="auto"/>
                <w:kern w:val="0"/>
                <w:sz w:val="24"/>
                <w:szCs w:val="24"/>
                <w:u w:val="none"/>
                <w:lang w:val="en-US" w:eastAsia="zh-CN"/>
              </w:rPr>
              <w:t>0.98</w:t>
            </w:r>
            <w:r>
              <w:rPr>
                <w:rFonts w:hint="default" w:ascii="Times New Roman" w:hAnsi="Times New Roman" w:eastAsia="宋体" w:cs="Times New Roman"/>
                <w:color w:val="auto"/>
                <w:kern w:val="0"/>
                <w:sz w:val="24"/>
                <w:szCs w:val="24"/>
                <w:u w:val="none"/>
              </w:rPr>
              <w:t>t/a。</w:t>
            </w:r>
          </w:p>
          <w:p>
            <w:pPr>
              <w:pStyle w:val="18"/>
              <w:spacing w:line="360" w:lineRule="auto"/>
              <w:ind w:firstLine="500" w:firstLineChars="200"/>
              <w:jc w:val="both"/>
              <w:rPr>
                <w:rFonts w:hint="default" w:ascii="Times New Roman" w:hAnsi="Times New Roman" w:cs="Times New Roman"/>
                <w:b/>
              </w:rPr>
            </w:pPr>
          </w:p>
        </w:tc>
      </w:tr>
    </w:tbl>
    <w:p>
      <w:pPr>
        <w:spacing w:line="360" w:lineRule="auto"/>
        <w:jc w:val="center"/>
        <w:outlineLvl w:val="0"/>
        <w:rPr>
          <w:rFonts w:hint="default" w:ascii="Times New Roman" w:hAnsi="Times New Roman" w:cs="Times New Roman"/>
          <w:b/>
          <w:bCs/>
          <w:sz w:val="28"/>
          <w:szCs w:val="28"/>
        </w:rPr>
      </w:pPr>
      <w:r>
        <w:rPr>
          <w:rFonts w:hint="default" w:ascii="Times New Roman" w:hAnsi="Times New Roman" w:cs="Times New Roman"/>
          <w:b/>
          <w:bCs/>
          <w:sz w:val="28"/>
          <w:szCs w:val="28"/>
        </w:rPr>
        <w:br w:type="page"/>
      </w:r>
      <w:r>
        <w:rPr>
          <w:rFonts w:hint="default" w:ascii="Times New Roman" w:hAnsi="Times New Roman" w:cs="Times New Roman"/>
          <w:b/>
          <w:bCs/>
          <w:sz w:val="28"/>
          <w:szCs w:val="28"/>
        </w:rPr>
        <w:t>四、主要环境影响和保护措施</w:t>
      </w:r>
    </w:p>
    <w:tbl>
      <w:tblPr>
        <w:tblStyle w:val="11"/>
        <w:tblW w:w="10004"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12"/>
        <w:gridCol w:w="919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jc w:val="center"/>
        </w:trPr>
        <w:tc>
          <w:tcPr>
            <w:tcW w:w="812" w:type="dxa"/>
            <w:vAlign w:val="center"/>
          </w:tcPr>
          <w:p>
            <w:pPr>
              <w:spacing w:line="360" w:lineRule="auto"/>
              <w:jc w:val="both"/>
              <w:rPr>
                <w:rFonts w:hint="default" w:ascii="Times New Roman" w:hAnsi="Times New Roman" w:cs="Times New Roman"/>
                <w:szCs w:val="21"/>
              </w:rPr>
            </w:pPr>
            <w:r>
              <w:rPr>
                <w:rFonts w:hint="default" w:ascii="Times New Roman" w:hAnsi="Times New Roman" w:cs="Times New Roman"/>
                <w:sz w:val="24"/>
                <w:szCs w:val="24"/>
              </w:rPr>
              <w:t>施工期环境保护措施</w:t>
            </w:r>
          </w:p>
        </w:tc>
        <w:tc>
          <w:tcPr>
            <w:tcW w:w="9192" w:type="dxa"/>
            <w:vAlign w:val="center"/>
          </w:tcPr>
          <w:p>
            <w:pPr>
              <w:spacing w:before="0" w:after="0" w:line="360" w:lineRule="auto"/>
              <w:ind w:firstLine="500" w:firstLineChars="200"/>
              <w:jc w:val="both"/>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项目施工期主要为设备的安装、</w:t>
            </w:r>
            <w:r>
              <w:rPr>
                <w:rFonts w:hint="eastAsia" w:ascii="Times New Roman" w:hAnsi="Times New Roman" w:cs="Times New Roman"/>
                <w:sz w:val="24"/>
                <w:szCs w:val="24"/>
                <w:u w:val="none"/>
                <w:lang w:eastAsia="zh-CN"/>
              </w:rPr>
              <w:t>办公用房</w:t>
            </w:r>
            <w:r>
              <w:rPr>
                <w:rFonts w:hint="eastAsia" w:ascii="Times New Roman" w:hAnsi="Times New Roman" w:eastAsia="宋体" w:cs="Times New Roman"/>
                <w:sz w:val="24"/>
                <w:szCs w:val="24"/>
                <w:u w:val="none"/>
                <w:lang w:eastAsia="zh-CN"/>
              </w:rPr>
              <w:t>的建设</w:t>
            </w:r>
            <w:r>
              <w:rPr>
                <w:rFonts w:hint="default" w:ascii="Times New Roman" w:hAnsi="Times New Roman" w:eastAsia="宋体" w:cs="Times New Roman"/>
                <w:sz w:val="24"/>
                <w:szCs w:val="24"/>
                <w:u w:val="none"/>
              </w:rPr>
              <w:t>和场地硬化，工程量较小，施工期较短；施工过程对环境的影响主要为车辆进出产生的少量扬尘，施工人员生活污水，设备安装过程产生的噪声以及施工人员产生的生活垃圾。</w:t>
            </w:r>
          </w:p>
          <w:p>
            <w:pPr>
              <w:spacing w:before="0" w:after="0" w:line="360" w:lineRule="auto"/>
              <w:ind w:firstLine="500" w:firstLineChars="200"/>
              <w:jc w:val="both"/>
              <w:rPr>
                <w:rFonts w:hint="default" w:ascii="Times New Roman" w:hAnsi="Times New Roman" w:eastAsia="宋体" w:cs="Times New Roman"/>
                <w:b/>
                <w:bCs/>
                <w:sz w:val="24"/>
                <w:szCs w:val="24"/>
                <w:u w:val="none"/>
              </w:rPr>
            </w:pPr>
            <w:r>
              <w:rPr>
                <w:rFonts w:hint="default" w:ascii="Times New Roman" w:hAnsi="Times New Roman" w:eastAsia="宋体" w:cs="Times New Roman"/>
                <w:b/>
                <w:bCs/>
                <w:sz w:val="24"/>
                <w:szCs w:val="24"/>
                <w:u w:val="none"/>
              </w:rPr>
              <w:t>1、大气环境影响分析</w:t>
            </w:r>
          </w:p>
          <w:p>
            <w:pPr>
              <w:tabs>
                <w:tab w:val="left" w:pos="0"/>
              </w:tabs>
              <w:snapToGrid w:val="0"/>
              <w:spacing w:before="0" w:after="0" w:line="360" w:lineRule="auto"/>
              <w:ind w:right="113" w:firstLine="489" w:firstLineChars="196"/>
              <w:jc w:val="both"/>
              <w:rPr>
                <w:rFonts w:hint="default" w:ascii="Times New Roman" w:hAnsi="Times New Roman" w:eastAsia="宋体" w:cs="Times New Roman"/>
                <w:b/>
                <w:color w:val="000000"/>
                <w:sz w:val="24"/>
                <w:szCs w:val="24"/>
                <w:u w:val="none"/>
              </w:rPr>
            </w:pPr>
            <w:r>
              <w:rPr>
                <w:rFonts w:hint="default" w:ascii="Times New Roman" w:hAnsi="Times New Roman" w:eastAsia="宋体" w:cs="Times New Roman"/>
                <w:color w:val="000000"/>
                <w:sz w:val="24"/>
                <w:szCs w:val="24"/>
                <w:u w:val="none"/>
              </w:rPr>
              <w:t>施工期对环境空气的污染主要包括</w:t>
            </w:r>
            <w:r>
              <w:rPr>
                <w:rFonts w:hint="default" w:ascii="Times New Roman" w:hAnsi="Times New Roman" w:eastAsia="宋体" w:cs="Times New Roman"/>
                <w:color w:val="000000"/>
                <w:kern w:val="0"/>
                <w:sz w:val="24"/>
                <w:szCs w:val="24"/>
                <w:u w:val="none"/>
              </w:rPr>
              <w:t>施工扬尘、施工机械燃油尾气和运输车辆产生的尾气等</w:t>
            </w:r>
            <w:r>
              <w:rPr>
                <w:rFonts w:hint="default" w:ascii="Times New Roman" w:hAnsi="Times New Roman" w:eastAsia="宋体" w:cs="Times New Roman"/>
                <w:color w:val="000000"/>
                <w:sz w:val="24"/>
                <w:szCs w:val="24"/>
                <w:u w:val="none"/>
              </w:rPr>
              <w:t>，评价针对各种污染物排放特点及性质提出施工期环境空气污染防治措施，详见表4-1。</w:t>
            </w:r>
          </w:p>
          <w:p>
            <w:pPr>
              <w:spacing w:before="0" w:after="0" w:line="360" w:lineRule="auto"/>
              <w:ind w:firstLine="2202" w:firstLineChars="881"/>
              <w:jc w:val="left"/>
              <w:rPr>
                <w:rFonts w:hint="default" w:ascii="Times New Roman" w:hAnsi="Times New Roman" w:eastAsia="宋体" w:cs="Times New Roman"/>
                <w:b/>
                <w:sz w:val="24"/>
                <w:szCs w:val="24"/>
                <w:u w:val="none"/>
              </w:rPr>
            </w:pPr>
            <w:r>
              <w:rPr>
                <w:rFonts w:hint="default" w:ascii="Times New Roman" w:hAnsi="Times New Roman" w:eastAsia="宋体" w:cs="Times New Roman"/>
                <w:b/>
                <w:sz w:val="24"/>
                <w:szCs w:val="24"/>
                <w:u w:val="none"/>
              </w:rPr>
              <w:t>表4-1施工期环境空气保护措施一览表</w:t>
            </w:r>
          </w:p>
          <w:tbl>
            <w:tblPr>
              <w:tblStyle w:val="11"/>
              <w:tblW w:w="855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1"/>
              <w:gridCol w:w="1269"/>
              <w:gridCol w:w="1270"/>
              <w:gridCol w:w="1269"/>
              <w:gridCol w:w="2411"/>
              <w:gridCol w:w="19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381"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序号</w:t>
                  </w:r>
                </w:p>
              </w:tc>
              <w:tc>
                <w:tcPr>
                  <w:tcW w:w="1269"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项目</w:t>
                  </w:r>
                </w:p>
              </w:tc>
              <w:tc>
                <w:tcPr>
                  <w:tcW w:w="1270"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产生情况</w:t>
                  </w:r>
                </w:p>
              </w:tc>
              <w:tc>
                <w:tcPr>
                  <w:tcW w:w="1269"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主要环境影响</w:t>
                  </w:r>
                </w:p>
              </w:tc>
              <w:tc>
                <w:tcPr>
                  <w:tcW w:w="2411"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环保措施</w:t>
                  </w:r>
                </w:p>
              </w:tc>
              <w:tc>
                <w:tcPr>
                  <w:tcW w:w="1955"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jc w:val="center"/>
              </w:trPr>
              <w:tc>
                <w:tcPr>
                  <w:tcW w:w="381"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w:t>
                  </w:r>
                </w:p>
              </w:tc>
              <w:tc>
                <w:tcPr>
                  <w:tcW w:w="1269" w:type="dxa"/>
                  <w:tcMar>
                    <w:left w:w="0" w:type="dxa"/>
                    <w:right w:w="0" w:type="dxa"/>
                  </w:tcMar>
                  <w:vAlign w:val="center"/>
                </w:tcPr>
                <w:p>
                  <w:pPr>
                    <w:autoSpaceDE w:val="0"/>
                    <w:autoSpaceDN w:val="0"/>
                    <w:adjustRightIn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rPr>
                    <w:t>物料运输车辆造成的道路扬尘</w:t>
                  </w:r>
                </w:p>
              </w:tc>
              <w:tc>
                <w:tcPr>
                  <w:tcW w:w="1270" w:type="dxa"/>
                  <w:vMerge w:val="restart"/>
                  <w:tcMar>
                    <w:left w:w="0" w:type="dxa"/>
                    <w:right w:w="0" w:type="dxa"/>
                  </w:tcMar>
                  <w:vAlign w:val="center"/>
                </w:tcPr>
                <w:p>
                  <w:pPr>
                    <w:autoSpaceDE w:val="0"/>
                    <w:autoSpaceDN w:val="0"/>
                    <w:adjustRightIn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rPr>
                    <w:t>风速2.4m/s时，建筑施工扬尘的影响范围为其下风向150m内，被影响地区的TSP浓度平均值为491μg/m</w:t>
                  </w:r>
                  <w:r>
                    <w:rPr>
                      <w:rFonts w:hint="default" w:ascii="Times New Roman" w:hAnsi="Times New Roman" w:eastAsia="宋体" w:cs="Times New Roman"/>
                      <w:color w:val="000000"/>
                      <w:kern w:val="0"/>
                      <w:sz w:val="21"/>
                      <w:szCs w:val="21"/>
                      <w:u w:val="none"/>
                      <w:vertAlign w:val="superscript"/>
                    </w:rPr>
                    <w:t>3</w:t>
                  </w:r>
                  <w:r>
                    <w:rPr>
                      <w:rFonts w:hint="default" w:ascii="Times New Roman" w:hAnsi="Times New Roman" w:eastAsia="宋体" w:cs="Times New Roman"/>
                      <w:color w:val="000000"/>
                      <w:kern w:val="0"/>
                      <w:sz w:val="21"/>
                      <w:szCs w:val="21"/>
                      <w:u w:val="none"/>
                    </w:rPr>
                    <w:t>，为上风向对照点的1.5倍</w:t>
                  </w:r>
                </w:p>
              </w:tc>
              <w:tc>
                <w:tcPr>
                  <w:tcW w:w="1269"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运输汽车运行产生道路扬尘污染</w:t>
                  </w:r>
                </w:p>
              </w:tc>
              <w:tc>
                <w:tcPr>
                  <w:tcW w:w="2411"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运输路线应定期洒水</w:t>
                  </w:r>
                </w:p>
              </w:tc>
              <w:tc>
                <w:tcPr>
                  <w:tcW w:w="1955"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能够减少道路扬尘对施工场区内人员、施工区周围厂房以及运输道路范围内污染影响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381"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w:t>
                  </w:r>
                </w:p>
              </w:tc>
              <w:tc>
                <w:tcPr>
                  <w:tcW w:w="1269" w:type="dxa"/>
                  <w:tcMar>
                    <w:left w:w="0" w:type="dxa"/>
                    <w:right w:w="0" w:type="dxa"/>
                  </w:tcMar>
                  <w:vAlign w:val="center"/>
                </w:tcPr>
                <w:p>
                  <w:pPr>
                    <w:autoSpaceDE w:val="0"/>
                    <w:autoSpaceDN w:val="0"/>
                    <w:adjustRightIn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rPr>
                    <w:t>土方挖掘和现场堆放扬尘</w:t>
                  </w:r>
                </w:p>
              </w:tc>
              <w:tc>
                <w:tcPr>
                  <w:tcW w:w="1270" w:type="dxa"/>
                  <w:vMerge w:val="continue"/>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p>
              </w:tc>
              <w:tc>
                <w:tcPr>
                  <w:tcW w:w="1269"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运输过程中撒落砂石、土等材料，产生二次污染</w:t>
                  </w:r>
                </w:p>
              </w:tc>
              <w:tc>
                <w:tcPr>
                  <w:tcW w:w="2411"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加强运输管理，保证汽车文明、安全、中速行驶，运输砂石、土、水泥、石灰的车辆表面应加以覆盖，避免砂石、土洒落造成二次污染影响</w:t>
                  </w:r>
                </w:p>
              </w:tc>
              <w:tc>
                <w:tcPr>
                  <w:tcW w:w="1955"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能够减少二次污染影响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381"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3</w:t>
                  </w:r>
                </w:p>
              </w:tc>
              <w:tc>
                <w:tcPr>
                  <w:tcW w:w="1269" w:type="dxa"/>
                  <w:tcMar>
                    <w:left w:w="0" w:type="dxa"/>
                    <w:right w:w="0" w:type="dxa"/>
                  </w:tcMar>
                  <w:vAlign w:val="center"/>
                </w:tcPr>
                <w:p>
                  <w:pPr>
                    <w:autoSpaceDE w:val="0"/>
                    <w:autoSpaceDN w:val="0"/>
                    <w:adjustRightIn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rPr>
                    <w:t>建筑材料的搬运及堆放扬尘</w:t>
                  </w:r>
                </w:p>
              </w:tc>
              <w:tc>
                <w:tcPr>
                  <w:tcW w:w="1270" w:type="dxa"/>
                  <w:vMerge w:val="continue"/>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p>
              </w:tc>
              <w:tc>
                <w:tcPr>
                  <w:tcW w:w="1269"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扬尘对施工人员身体健康影响</w:t>
                  </w:r>
                </w:p>
              </w:tc>
              <w:tc>
                <w:tcPr>
                  <w:tcW w:w="2411"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对施工人员实行卫生保护，如配戴口罩、风镜等</w:t>
                  </w:r>
                </w:p>
              </w:tc>
              <w:tc>
                <w:tcPr>
                  <w:tcW w:w="1955"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能够有效减轻灰土扬尘对操作人员健康的影响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381"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4</w:t>
                  </w:r>
                </w:p>
              </w:tc>
              <w:tc>
                <w:tcPr>
                  <w:tcW w:w="1269" w:type="dxa"/>
                  <w:tcMar>
                    <w:left w:w="0" w:type="dxa"/>
                    <w:right w:w="0" w:type="dxa"/>
                  </w:tcMar>
                  <w:vAlign w:val="center"/>
                </w:tcPr>
                <w:p>
                  <w:pPr>
                    <w:autoSpaceDE w:val="0"/>
                    <w:autoSpaceDN w:val="0"/>
                    <w:adjustRightIn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rPr>
                    <w:t>施工垃圾的清理及堆放扬尘</w:t>
                  </w:r>
                </w:p>
              </w:tc>
              <w:tc>
                <w:tcPr>
                  <w:tcW w:w="1270" w:type="dxa"/>
                  <w:vMerge w:val="continue"/>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p>
              </w:tc>
              <w:tc>
                <w:tcPr>
                  <w:tcW w:w="1269"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施工场地扬尘</w:t>
                  </w:r>
                </w:p>
              </w:tc>
              <w:tc>
                <w:tcPr>
                  <w:tcW w:w="2411" w:type="dxa"/>
                  <w:tcMar>
                    <w:left w:w="0" w:type="dxa"/>
                    <w:right w:w="0" w:type="dxa"/>
                  </w:tcMar>
                  <w:vAlign w:val="center"/>
                </w:tcPr>
                <w:p>
                  <w:pPr>
                    <w:autoSpaceDE w:val="0"/>
                    <w:autoSpaceDN w:val="0"/>
                    <w:adjustRightIn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做到“十个百分之百”，工地门口设置管理公示牌，明确管理人员、执法人员</w:t>
                  </w:r>
                </w:p>
              </w:tc>
              <w:tc>
                <w:tcPr>
                  <w:tcW w:w="1955"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减轻施工过程对周边大气环境的影响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381"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5</w:t>
                  </w:r>
                </w:p>
              </w:tc>
              <w:tc>
                <w:tcPr>
                  <w:tcW w:w="1269"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rPr>
                    <w:t>施工机械废气</w:t>
                  </w:r>
                </w:p>
              </w:tc>
              <w:tc>
                <w:tcPr>
                  <w:tcW w:w="1270" w:type="dxa"/>
                  <w:tcMar>
                    <w:left w:w="0" w:type="dxa"/>
                    <w:right w:w="0" w:type="dxa"/>
                  </w:tcMar>
                  <w:vAlign w:val="center"/>
                </w:tcPr>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rPr>
                    <w:t>产生量不大</w:t>
                  </w:r>
                </w:p>
              </w:tc>
              <w:tc>
                <w:tcPr>
                  <w:tcW w:w="1269" w:type="dxa"/>
                  <w:tcMar>
                    <w:left w:w="0" w:type="dxa"/>
                    <w:right w:w="0" w:type="dxa"/>
                  </w:tcMar>
                  <w:vAlign w:val="center"/>
                </w:tcPr>
                <w:p>
                  <w:pPr>
                    <w:autoSpaceDE w:val="0"/>
                    <w:autoSpaceDN w:val="0"/>
                    <w:adjustRightIn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rPr>
                    <w:t>挖掘机、装载机、推土机等机械废气</w:t>
                  </w:r>
                </w:p>
              </w:tc>
              <w:tc>
                <w:tcPr>
                  <w:tcW w:w="2411" w:type="dxa"/>
                  <w:tcMar>
                    <w:left w:w="0" w:type="dxa"/>
                    <w:right w:w="0" w:type="dxa"/>
                  </w:tcMar>
                  <w:vAlign w:val="center"/>
                </w:tcPr>
                <w:p>
                  <w:pPr>
                    <w:autoSpaceDE w:val="0"/>
                    <w:autoSpaceDN w:val="0"/>
                    <w:adjustRightIn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rPr>
                    <w:t>挖掘机、装载机、推土机等，它们以柴油为燃料，会产生一定量废气，包括CO、NOx、THC 等，随着施工期结束消失</w:t>
                  </w:r>
                </w:p>
              </w:tc>
              <w:tc>
                <w:tcPr>
                  <w:tcW w:w="1955" w:type="dxa"/>
                  <w:tcMar>
                    <w:left w:w="0" w:type="dxa"/>
                    <w:right w:w="0" w:type="dxa"/>
                  </w:tcMar>
                  <w:vAlign w:val="center"/>
                </w:tcPr>
                <w:p>
                  <w:pPr>
                    <w:autoSpaceDE w:val="0"/>
                    <w:autoSpaceDN w:val="0"/>
                    <w:adjustRightInd w:val="0"/>
                    <w:spacing w:before="0" w:after="0" w:line="360" w:lineRule="auto"/>
                    <w:jc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对环境的影响</w:t>
                  </w:r>
                </w:p>
                <w:p>
                  <w:pPr>
                    <w:adjustRightInd w:val="0"/>
                    <w:snapToGrid w:val="0"/>
                    <w:spacing w:before="0" w:after="0" w:line="360" w:lineRule="auto"/>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rPr>
                    <w:t>较小</w:t>
                  </w:r>
                </w:p>
              </w:tc>
            </w:tr>
          </w:tbl>
          <w:p>
            <w:pPr>
              <w:autoSpaceDE w:val="0"/>
              <w:autoSpaceDN w:val="0"/>
              <w:adjustRightInd w:val="0"/>
              <w:spacing w:before="0" w:after="0" w:line="360" w:lineRule="auto"/>
              <w:ind w:firstLine="500" w:firstLineChars="200"/>
              <w:jc w:val="left"/>
              <w:rPr>
                <w:rFonts w:hint="default" w:ascii="Times New Roman" w:hAnsi="Times New Roman" w:eastAsia="宋体" w:cs="Times New Roman"/>
                <w:color w:val="000000"/>
                <w:kern w:val="0"/>
                <w:sz w:val="24"/>
                <w:szCs w:val="24"/>
                <w:u w:val="none"/>
              </w:rPr>
            </w:pPr>
            <w:r>
              <w:rPr>
                <w:rFonts w:hint="default" w:ascii="Times New Roman" w:hAnsi="Times New Roman" w:eastAsia="宋体" w:cs="Times New Roman"/>
                <w:color w:val="000000"/>
                <w:kern w:val="0"/>
                <w:sz w:val="24"/>
                <w:szCs w:val="24"/>
                <w:u w:val="none"/>
              </w:rPr>
              <w:t>项目施工期运输量不大，且为非连续运行，各污染物排放时间及排放量较小，项目施工期严格落实</w:t>
            </w:r>
            <w:r>
              <w:rPr>
                <w:rFonts w:hint="default" w:ascii="Times New Roman" w:hAnsi="Times New Roman" w:eastAsia="宋体" w:cs="Times New Roman"/>
                <w:b w:val="0"/>
                <w:bCs w:val="0"/>
                <w:color w:val="000000"/>
                <w:sz w:val="24"/>
                <w:szCs w:val="24"/>
                <w:u w:val="none"/>
              </w:rPr>
              <w:t>《南阳市2023年蓝天保卫战实施方案》（宛环委办[2023]20号）、《关于印发河南省深入打好秋冬季重污染天气消除、夏季臭氧污染防治和柴油货车污染治理攻坚战行动方案的通知》（豫环委办[2023]3号）</w:t>
            </w:r>
            <w:r>
              <w:rPr>
                <w:rFonts w:hint="default" w:ascii="Times New Roman" w:hAnsi="Times New Roman" w:eastAsia="宋体" w:cs="Times New Roman"/>
                <w:color w:val="000000"/>
                <w:sz w:val="24"/>
                <w:szCs w:val="24"/>
                <w:u w:val="none"/>
              </w:rPr>
              <w:t>中加强扬尘综合治理措施，做到“十个百分之百”，工地门口设置管理公示牌，明确管理人员、执法人员，同时</w:t>
            </w:r>
            <w:r>
              <w:rPr>
                <w:rFonts w:hint="default" w:ascii="Times New Roman" w:hAnsi="Times New Roman" w:eastAsia="宋体" w:cs="Times New Roman"/>
                <w:color w:val="000000"/>
                <w:kern w:val="0"/>
                <w:sz w:val="24"/>
                <w:szCs w:val="24"/>
                <w:u w:val="none"/>
              </w:rPr>
              <w:t>在采用道路硬化、设置围挡、物料覆盖、洒水抑尘等措施的基础上，施工期大气污染对周围环境空气影响可得到有效控制，对附近村庄影响较小。且施工扬尘污染影响是局部的、短期的，施工期结束后这种影响就会消失</w:t>
            </w:r>
            <w:r>
              <w:rPr>
                <w:rFonts w:hint="default" w:ascii="Times New Roman" w:hAnsi="Times New Roman" w:eastAsia="宋体" w:cs="Times New Roman"/>
                <w:kern w:val="0"/>
                <w:sz w:val="24"/>
                <w:szCs w:val="24"/>
                <w:u w:val="none"/>
              </w:rPr>
              <w:t>，预计对周围环境影响较小。</w:t>
            </w:r>
          </w:p>
          <w:p>
            <w:pPr>
              <w:spacing w:before="0" w:after="0" w:line="360" w:lineRule="auto"/>
              <w:ind w:firstLine="500" w:firstLineChars="200"/>
              <w:jc w:val="both"/>
              <w:rPr>
                <w:rFonts w:hint="default" w:ascii="Times New Roman" w:hAnsi="Times New Roman" w:eastAsia="宋体" w:cs="Times New Roman"/>
                <w:b/>
                <w:bCs/>
                <w:sz w:val="24"/>
                <w:szCs w:val="24"/>
                <w:u w:val="none"/>
              </w:rPr>
            </w:pPr>
            <w:r>
              <w:rPr>
                <w:rFonts w:hint="default" w:ascii="Times New Roman" w:hAnsi="Times New Roman" w:eastAsia="宋体" w:cs="Times New Roman"/>
                <w:b/>
                <w:bCs/>
                <w:sz w:val="24"/>
                <w:szCs w:val="24"/>
                <w:u w:val="none"/>
              </w:rPr>
              <w:t>2、水环境影响分析</w:t>
            </w:r>
          </w:p>
          <w:p>
            <w:pPr>
              <w:spacing w:before="0" w:after="0" w:line="360" w:lineRule="auto"/>
              <w:ind w:firstLine="500" w:firstLineChars="200"/>
              <w:jc w:val="both"/>
              <w:rPr>
                <w:rFonts w:hint="default" w:ascii="Times New Roman" w:hAnsi="Times New Roman" w:eastAsia="宋体" w:cs="Times New Roman"/>
                <w:color w:val="000000"/>
                <w:sz w:val="24"/>
                <w:szCs w:val="24"/>
                <w:u w:val="none"/>
              </w:rPr>
            </w:pPr>
            <w:r>
              <w:rPr>
                <w:rFonts w:hint="default" w:ascii="Times New Roman" w:hAnsi="Times New Roman" w:eastAsia="宋体" w:cs="Times New Roman"/>
                <w:sz w:val="24"/>
                <w:szCs w:val="24"/>
                <w:u w:val="none"/>
              </w:rPr>
              <w:t>施工期废水主要是施工人员的生活污水、</w:t>
            </w:r>
            <w:r>
              <w:rPr>
                <w:rFonts w:hint="default" w:ascii="Times New Roman" w:hAnsi="Times New Roman" w:eastAsia="宋体" w:cs="Times New Roman"/>
                <w:color w:val="000000"/>
                <w:sz w:val="24"/>
                <w:szCs w:val="24"/>
                <w:u w:val="none"/>
              </w:rPr>
              <w:t>施工废水。</w:t>
            </w:r>
          </w:p>
          <w:p>
            <w:pPr>
              <w:spacing w:before="0" w:after="0" w:line="360" w:lineRule="auto"/>
              <w:ind w:firstLine="500" w:firstLineChars="200"/>
              <w:jc w:val="both"/>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施工高峰期施工人数约20人，施工人员生活用水量按30L/人·d，产污系数按80%计算，则施工高峰期施工人员生活污水产生量约为0.48m</w:t>
            </w:r>
            <w:r>
              <w:rPr>
                <w:rFonts w:hint="default" w:ascii="Times New Roman" w:hAnsi="Times New Roman" w:eastAsia="宋体" w:cs="Times New Roman"/>
                <w:color w:val="000000"/>
                <w:sz w:val="24"/>
                <w:szCs w:val="24"/>
                <w:u w:val="none"/>
                <w:vertAlign w:val="superscript"/>
              </w:rPr>
              <w:t>3</w:t>
            </w:r>
            <w:r>
              <w:rPr>
                <w:rFonts w:hint="default" w:ascii="Times New Roman" w:hAnsi="Times New Roman" w:eastAsia="宋体" w:cs="Times New Roman"/>
                <w:color w:val="000000"/>
                <w:sz w:val="24"/>
                <w:szCs w:val="24"/>
                <w:u w:val="none"/>
              </w:rPr>
              <w:t>/d，主要污染物为COD、BOD</w:t>
            </w:r>
            <w:r>
              <w:rPr>
                <w:rFonts w:hint="default" w:ascii="Times New Roman" w:hAnsi="Times New Roman" w:eastAsia="宋体" w:cs="Times New Roman"/>
                <w:color w:val="000000"/>
                <w:sz w:val="24"/>
                <w:szCs w:val="24"/>
                <w:u w:val="none"/>
                <w:vertAlign w:val="subscript"/>
              </w:rPr>
              <w:t>5</w:t>
            </w:r>
            <w:r>
              <w:rPr>
                <w:rFonts w:hint="default" w:ascii="Times New Roman" w:hAnsi="Times New Roman" w:eastAsia="宋体" w:cs="Times New Roman"/>
                <w:color w:val="000000"/>
                <w:sz w:val="24"/>
                <w:szCs w:val="24"/>
                <w:u w:val="none"/>
              </w:rPr>
              <w:t>、SS、NH</w:t>
            </w:r>
            <w:r>
              <w:rPr>
                <w:rFonts w:hint="default" w:ascii="Times New Roman" w:hAnsi="Times New Roman" w:eastAsia="宋体" w:cs="Times New Roman"/>
                <w:color w:val="000000"/>
                <w:sz w:val="24"/>
                <w:szCs w:val="24"/>
                <w:u w:val="none"/>
                <w:vertAlign w:val="subscript"/>
              </w:rPr>
              <w:t>3</w:t>
            </w:r>
            <w:r>
              <w:rPr>
                <w:rFonts w:hint="default" w:ascii="Times New Roman" w:hAnsi="Times New Roman" w:eastAsia="宋体" w:cs="Times New Roman"/>
                <w:color w:val="000000"/>
                <w:sz w:val="24"/>
                <w:szCs w:val="24"/>
                <w:u w:val="none"/>
              </w:rPr>
              <w:t>-N。评价要求项目先期建设化粪池，施工人员生活废水经化粪池处理后用于附近农田施肥，不外排。</w:t>
            </w:r>
            <w:r>
              <w:rPr>
                <w:rFonts w:hint="default" w:ascii="Times New Roman" w:hAnsi="Times New Roman" w:eastAsia="宋体" w:cs="Times New Roman"/>
                <w:bCs/>
                <w:color w:val="000000"/>
                <w:sz w:val="24"/>
                <w:szCs w:val="24"/>
                <w:u w:val="none"/>
              </w:rPr>
              <w:t>工程施工废水包括施工机械冷却水及洗涤用水、施工现场清洗、建材清洗、混凝土浇筑、养护、冲洗等，这部分废水有一定量的油污和泥沙；另外，雨季作业场地的地面径流水，含有大量的泥土和高浓度的悬浮物；环评要求施工现场设置临时集水池、沉砂池等污水处理设施，将施工废水进行处理后</w:t>
            </w:r>
            <w:r>
              <w:rPr>
                <w:rFonts w:hint="default" w:ascii="Times New Roman" w:hAnsi="Times New Roman" w:eastAsia="宋体" w:cs="Times New Roman"/>
                <w:color w:val="000000"/>
                <w:sz w:val="24"/>
                <w:szCs w:val="24"/>
                <w:u w:val="none"/>
              </w:rPr>
              <w:t>用于施工场地洒水降尘；</w:t>
            </w:r>
          </w:p>
          <w:p>
            <w:pPr>
              <w:tabs>
                <w:tab w:val="left" w:pos="0"/>
              </w:tabs>
              <w:snapToGrid w:val="0"/>
              <w:spacing w:before="0" w:after="0" w:line="360" w:lineRule="auto"/>
              <w:ind w:right="113" w:firstLine="504" w:firstLineChars="202"/>
              <w:jc w:val="both"/>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经采取以上措施，预计项目施工期对周边水环境影响较小。</w:t>
            </w:r>
          </w:p>
          <w:p>
            <w:pPr>
              <w:spacing w:before="0" w:after="0" w:line="360" w:lineRule="auto"/>
              <w:ind w:firstLine="500" w:firstLineChars="200"/>
              <w:jc w:val="both"/>
              <w:rPr>
                <w:rFonts w:hint="default" w:ascii="Times New Roman" w:hAnsi="Times New Roman" w:eastAsia="宋体" w:cs="Times New Roman"/>
                <w:b/>
                <w:bCs/>
                <w:sz w:val="24"/>
                <w:szCs w:val="24"/>
                <w:u w:val="none"/>
              </w:rPr>
            </w:pPr>
            <w:r>
              <w:rPr>
                <w:rFonts w:hint="default" w:ascii="Times New Roman" w:hAnsi="Times New Roman" w:eastAsia="宋体" w:cs="Times New Roman"/>
                <w:b/>
                <w:bCs/>
                <w:sz w:val="24"/>
                <w:szCs w:val="24"/>
                <w:u w:val="none"/>
              </w:rPr>
              <w:t>3、声环境影响分析</w:t>
            </w:r>
          </w:p>
          <w:p>
            <w:pPr>
              <w:spacing w:before="0" w:after="0" w:line="360" w:lineRule="auto"/>
              <w:ind w:firstLine="500" w:firstLineChars="200"/>
              <w:jc w:val="both"/>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施工期噪声主要是施工机械产生的机械噪声和运输车辆产生的流动噪声，源强在75~90dB(A)之间。项目施工尽量安排在白天，应尽可能集中突击作业，缩短噪声影响时间，最大可能地把施工噪声对环境的影响降到最低。施工期结束后，噪声对周围声环境的影响也会随之消失。为尽量减少施工噪声对周边环境的影响，评价提出以下要求：</w:t>
            </w:r>
          </w:p>
          <w:p>
            <w:pPr>
              <w:spacing w:before="0" w:after="0" w:line="360" w:lineRule="auto"/>
              <w:ind w:firstLine="500" w:firstLineChars="200"/>
              <w:jc w:val="both"/>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①工程施工中固定的高噪声设施应远离敏感点布设；</w:t>
            </w:r>
          </w:p>
          <w:p>
            <w:pPr>
              <w:spacing w:before="0" w:after="0" w:line="360" w:lineRule="auto"/>
              <w:ind w:firstLine="500" w:firstLineChars="200"/>
              <w:jc w:val="both"/>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②尽量采用低噪设备；</w:t>
            </w:r>
          </w:p>
          <w:p>
            <w:pPr>
              <w:spacing w:before="0" w:after="0" w:line="360" w:lineRule="auto"/>
              <w:ind w:firstLine="500" w:firstLineChars="200"/>
              <w:jc w:val="both"/>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③合理安排施工时间，禁止夜间22:00至次日凌晨6:00进行高噪声施工。</w:t>
            </w:r>
          </w:p>
          <w:p>
            <w:pPr>
              <w:spacing w:before="0" w:after="0" w:line="360" w:lineRule="auto"/>
              <w:ind w:firstLine="500" w:firstLineChars="200"/>
              <w:jc w:val="both"/>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通过采取以上措施，保证达到不同阶段作业噪声限值要求，将施工期对敏感点的影响控制在最低水平；预计施工期项目厂界噪声可满足《建筑施工场界环境噪声排放标准》(GB12523-2011)要求（昼间55 dB(A)，夜间不进行施工），敏感点噪声可满足《声环境质量标准》（GB3096-2008）2类标准要求。</w:t>
            </w:r>
          </w:p>
          <w:p>
            <w:pPr>
              <w:spacing w:before="0" w:after="0" w:line="360" w:lineRule="auto"/>
              <w:ind w:firstLine="500" w:firstLineChars="200"/>
              <w:jc w:val="both"/>
              <w:rPr>
                <w:rFonts w:hint="default" w:ascii="Times New Roman" w:hAnsi="Times New Roman" w:eastAsia="宋体" w:cs="Times New Roman"/>
                <w:b/>
                <w:bCs/>
                <w:sz w:val="24"/>
                <w:szCs w:val="24"/>
                <w:u w:val="none"/>
              </w:rPr>
            </w:pPr>
            <w:r>
              <w:rPr>
                <w:rFonts w:hint="default" w:ascii="Times New Roman" w:hAnsi="Times New Roman" w:eastAsia="宋体" w:cs="Times New Roman"/>
                <w:b/>
                <w:bCs/>
                <w:sz w:val="24"/>
                <w:szCs w:val="24"/>
                <w:u w:val="none"/>
              </w:rPr>
              <w:t>4、固体废物对周边环境影响分析</w:t>
            </w:r>
          </w:p>
          <w:p>
            <w:pPr>
              <w:snapToGrid w:val="0"/>
              <w:spacing w:before="0" w:after="0" w:line="360" w:lineRule="auto"/>
              <w:ind w:right="113" w:firstLine="500" w:firstLineChars="200"/>
              <w:jc w:val="both"/>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施工期固体废物主要来源于施工过程中产生的建筑垃圾、开挖土方以及施工人员产生的生活垃圾。项目土方填挖平衡后，无剩余土方外运；施工期的建筑垃圾及时外运至建筑垃圾消纳厂；施工期施工人员的生活垃圾产生量按照0.5kg/人·d计算，则施工期施工人员产生的生活垃圾量约为10kg/d。生活垃圾统一收集后送垃圾中转站处理，因此施工期固体废弃物对周围环境不会产生明显影响。</w:t>
            </w:r>
          </w:p>
          <w:p>
            <w:pPr>
              <w:adjustRightInd w:val="0"/>
              <w:spacing w:line="360" w:lineRule="auto"/>
              <w:ind w:firstLine="500" w:firstLineChars="200"/>
              <w:jc w:val="both"/>
              <w:textAlignment w:val="baseline"/>
              <w:rPr>
                <w:rFonts w:hint="default" w:ascii="Times New Roman" w:hAnsi="Times New Roman" w:cs="Times New Roman"/>
                <w:sz w:val="24"/>
              </w:rPr>
            </w:pPr>
            <w:r>
              <w:rPr>
                <w:rFonts w:hint="default" w:ascii="Times New Roman" w:hAnsi="Times New Roman" w:eastAsia="宋体" w:cs="Times New Roman"/>
                <w:color w:val="000000"/>
                <w:sz w:val="24"/>
                <w:szCs w:val="24"/>
                <w:u w:val="none"/>
              </w:rPr>
              <w:t>总之，施工期对环境各要素的影响是暂时的、局部的，采取有效的控制措施可将影响降至最低，施工期结束后其影响基本可消除。</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29" w:hRule="atLeast"/>
          <w:jc w:val="center"/>
        </w:trPr>
        <w:tc>
          <w:tcPr>
            <w:tcW w:w="812" w:type="dxa"/>
            <w:vAlign w:val="center"/>
          </w:tcPr>
          <w:p>
            <w:pPr>
              <w:spacing w:line="360" w:lineRule="auto"/>
              <w:jc w:val="both"/>
              <w:rPr>
                <w:rFonts w:hint="default" w:ascii="Times New Roman" w:hAnsi="Times New Roman" w:cs="Times New Roman"/>
                <w:szCs w:val="21"/>
              </w:rPr>
            </w:pPr>
            <w:r>
              <w:rPr>
                <w:rFonts w:hint="default" w:ascii="Times New Roman" w:hAnsi="Times New Roman" w:cs="Times New Roman"/>
                <w:sz w:val="24"/>
                <w:szCs w:val="24"/>
              </w:rPr>
              <w:t>运营期环境影响和保护措施</w:t>
            </w:r>
          </w:p>
        </w:tc>
        <w:tc>
          <w:tcPr>
            <w:tcW w:w="9192" w:type="dxa"/>
            <w:vAlign w:val="center"/>
          </w:tcPr>
          <w:p>
            <w:pPr>
              <w:keepNext w:val="0"/>
              <w:keepLines w:val="0"/>
              <w:pageBreakBefore w:val="0"/>
              <w:widowControl w:val="0"/>
              <w:numPr>
                <w:ilvl w:val="0"/>
                <w:numId w:val="0"/>
              </w:numPr>
              <w:kinsoku/>
              <w:wordWrap/>
              <w:overflowPunct/>
              <w:topLinePunct w:val="0"/>
              <w:bidi w:val="0"/>
              <w:snapToGrid/>
              <w:spacing w:line="360" w:lineRule="auto"/>
              <w:ind w:left="459" w:leftChars="0"/>
              <w:textAlignment w:val="auto"/>
              <w:rPr>
                <w:rFonts w:hint="default" w:ascii="Times New Roman" w:hAnsi="Times New Roman" w:eastAsia="宋体" w:cs="Times New Roman"/>
                <w:b/>
                <w:bCs/>
                <w:sz w:val="24"/>
                <w:szCs w:val="24"/>
                <w:u w:val="none"/>
              </w:rPr>
            </w:pPr>
            <w:r>
              <w:rPr>
                <w:rFonts w:hint="eastAsia" w:ascii="Times New Roman" w:hAnsi="Times New Roman" w:cs="Times New Roman"/>
                <w:b/>
                <w:bCs/>
                <w:sz w:val="24"/>
                <w:szCs w:val="24"/>
                <w:u w:val="none"/>
                <w:lang w:val="en-US" w:eastAsia="zh-CN"/>
              </w:rPr>
              <w:t>1、</w:t>
            </w:r>
            <w:r>
              <w:rPr>
                <w:rFonts w:hint="default" w:ascii="Times New Roman" w:hAnsi="Times New Roman" w:eastAsia="宋体" w:cs="Times New Roman"/>
                <w:b/>
                <w:bCs/>
                <w:sz w:val="24"/>
                <w:szCs w:val="24"/>
                <w:u w:val="none"/>
              </w:rPr>
              <w:t>废气</w:t>
            </w:r>
          </w:p>
          <w:p>
            <w:pPr>
              <w:keepNext w:val="0"/>
              <w:keepLines w:val="0"/>
              <w:pageBreakBefore w:val="0"/>
              <w:widowControl w:val="0"/>
              <w:kinsoku/>
              <w:wordWrap/>
              <w:overflowPunct/>
              <w:topLinePunct w:val="0"/>
              <w:bidi w:val="0"/>
              <w:snapToGrid/>
              <w:spacing w:line="360" w:lineRule="auto"/>
              <w:ind w:firstLine="500" w:firstLineChars="200"/>
              <w:textAlignment w:val="auto"/>
              <w:rPr>
                <w:rFonts w:hint="default" w:ascii="Times New Roman" w:hAnsi="Times New Roman" w:eastAsia="宋体" w:cs="Times New Roman"/>
                <w:b/>
                <w:bCs/>
                <w:sz w:val="24"/>
                <w:szCs w:val="24"/>
                <w:u w:val="none"/>
                <w:lang w:val="en-US" w:eastAsia="zh-CN"/>
              </w:rPr>
            </w:pPr>
            <w:r>
              <w:rPr>
                <w:rFonts w:hint="default" w:ascii="Times New Roman" w:hAnsi="Times New Roman" w:eastAsia="宋体" w:cs="Times New Roman"/>
                <w:b/>
                <w:bCs/>
                <w:sz w:val="24"/>
                <w:szCs w:val="24"/>
                <w:u w:val="none"/>
                <w:lang w:val="en-US" w:eastAsia="zh-CN"/>
              </w:rPr>
              <w:t>1.1源强核算</w:t>
            </w:r>
          </w:p>
          <w:p>
            <w:pPr>
              <w:keepNext w:val="0"/>
              <w:keepLines w:val="0"/>
              <w:pageBreakBefore w:val="0"/>
              <w:widowControl w:val="0"/>
              <w:kinsoku/>
              <w:wordWrap/>
              <w:overflowPunct/>
              <w:topLinePunct w:val="0"/>
              <w:bidi w:val="0"/>
              <w:snapToGrid/>
              <w:spacing w:line="360" w:lineRule="auto"/>
              <w:ind w:firstLine="500" w:firstLineChars="200"/>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本项目原材料（含废PP料和废PE料）主要为购自相关企业清洗、破碎处理过的1~3cm废洗衣机和冰箱外壳破碎后的废料</w:t>
            </w:r>
            <w:r>
              <w:rPr>
                <w:rFonts w:hint="eastAsia" w:ascii="Times New Roman" w:hAnsi="Times New Roman" w:cs="Times New Roman"/>
                <w:sz w:val="24"/>
                <w:szCs w:val="24"/>
                <w:u w:val="none"/>
                <w:lang w:eastAsia="zh-CN"/>
              </w:rPr>
              <w:t>，袋装存储于原料区，因此上料和存储过程不会产生粉尘。切粒后成品颗粒为</w:t>
            </w:r>
            <w:r>
              <w:rPr>
                <w:rFonts w:hint="eastAsia" w:ascii="Times New Roman" w:hAnsi="Times New Roman" w:cs="Times New Roman"/>
                <w:sz w:val="24"/>
                <w:szCs w:val="24"/>
                <w:u w:val="none"/>
                <w:lang w:val="en-US" w:eastAsia="zh-CN"/>
              </w:rPr>
              <w:t>4mm左右，为颗粒状，因此在筛分和包装过程中不会产生粉尘，因此本项目不再对粉尘进行分析。</w:t>
            </w:r>
            <w:r>
              <w:rPr>
                <w:rFonts w:hint="default" w:ascii="Times New Roman" w:hAnsi="Times New Roman" w:eastAsia="宋体" w:cs="Times New Roman"/>
                <w:sz w:val="24"/>
                <w:szCs w:val="24"/>
                <w:u w:val="none"/>
              </w:rPr>
              <w:t>本项目生产过程中产生的废气主要为</w:t>
            </w:r>
            <w:r>
              <w:rPr>
                <w:rFonts w:hint="default" w:ascii="Times New Roman" w:hAnsi="Times New Roman" w:eastAsia="宋体" w:cs="Times New Roman"/>
                <w:sz w:val="24"/>
                <w:szCs w:val="24"/>
                <w:u w:val="none"/>
                <w:lang w:val="en-US" w:eastAsia="zh-CN"/>
              </w:rPr>
              <w:t>熔融挤出过程产生的废气</w:t>
            </w:r>
            <w:r>
              <w:rPr>
                <w:rFonts w:hint="default" w:ascii="Times New Roman" w:hAnsi="Times New Roman" w:eastAsia="宋体" w:cs="Times New Roman"/>
                <w:sz w:val="24"/>
                <w:szCs w:val="24"/>
                <w:u w:val="none"/>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50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lang w:val="en-US" w:eastAsia="zh-CN"/>
              </w:rPr>
              <w:t>）熔融挤出废气</w:t>
            </w: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50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根据《典型塑料热解规律的研究》（哈尔滨工业大学学报，第38卷，第11期）废塑料在不同升温速率下，发生热解的温度在300~500℃，本项目挤出机采用电加热，熔融挤出温度根据进入塑料不同，控制温度不同在1</w:t>
            </w:r>
            <w:r>
              <w:rPr>
                <w:rFonts w:hint="eastAsia" w:ascii="Times New Roman" w:hAnsi="Times New Roman" w:eastAsia="宋体" w:cs="Times New Roman"/>
                <w:b w:val="0"/>
                <w:bCs w:val="0"/>
                <w:color w:val="auto"/>
                <w:kern w:val="2"/>
                <w:sz w:val="24"/>
                <w:szCs w:val="24"/>
                <w:lang w:val="en-US" w:eastAsia="zh-CN" w:bidi="ar-SA"/>
              </w:rPr>
              <w:t>8</w:t>
            </w:r>
            <w:r>
              <w:rPr>
                <w:rFonts w:hint="default" w:ascii="Times New Roman" w:hAnsi="Times New Roman" w:eastAsia="宋体" w:cs="Times New Roman"/>
                <w:b w:val="0"/>
                <w:bCs w:val="0"/>
                <w:color w:val="auto"/>
                <w:kern w:val="2"/>
                <w:sz w:val="24"/>
                <w:szCs w:val="24"/>
                <w:lang w:val="en-US" w:eastAsia="zh-CN" w:bidi="ar-SA"/>
              </w:rPr>
              <w:t>0℃左右，因此本项目加热温度低于原料裂解温度，故无裂解废气产生，不会产生多环芳香烃类有机物。但在高温融化的过程中仍会有少量挥发性较强的有机气体释放出来，本项目所用废旧塑料不含卤素，无HCl等废气产生，故有机废气主要为烷烃和烯烃（以非甲烷总烃计）。</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50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熔融挤出废气主要为造粒熔融挤出工序产生的非甲烷总烃，参照《第二次全国污染源普查产排污核算系数手册》中废弃资源综合利用行业中再生塑料粒子造粒挥发性有机物产污系数为350g/t原料（废PP/PE料），项目废塑料总年用量约为</w:t>
            </w:r>
            <w:r>
              <w:rPr>
                <w:rFonts w:hint="eastAsia" w:ascii="Times New Roman" w:hAnsi="Times New Roman" w:cs="Times New Roman"/>
                <w:color w:val="auto"/>
                <w:sz w:val="24"/>
                <w:szCs w:val="24"/>
                <w:u w:val="none"/>
                <w:lang w:val="en-US" w:eastAsia="zh-CN"/>
              </w:rPr>
              <w:t>5005.11</w:t>
            </w:r>
            <w:r>
              <w:rPr>
                <w:rFonts w:hint="default" w:ascii="Times New Roman" w:hAnsi="Times New Roman" w:eastAsia="宋体" w:cs="Times New Roman"/>
                <w:color w:val="auto"/>
                <w:sz w:val="24"/>
                <w:szCs w:val="24"/>
                <w:u w:val="none"/>
                <w:lang w:val="en-US" w:eastAsia="zh-CN"/>
              </w:rPr>
              <w:t>t，则非甲烷总烃产生量为</w:t>
            </w:r>
            <w:r>
              <w:rPr>
                <w:rFonts w:hint="eastAsia" w:ascii="Times New Roman" w:hAnsi="Times New Roman" w:cs="Times New Roman"/>
                <w:color w:val="auto"/>
                <w:sz w:val="24"/>
                <w:szCs w:val="24"/>
                <w:u w:val="none"/>
                <w:lang w:val="en-US" w:eastAsia="zh-CN"/>
              </w:rPr>
              <w:t>1.75</w:t>
            </w:r>
            <w:r>
              <w:rPr>
                <w:rFonts w:hint="default" w:ascii="Times New Roman" w:hAnsi="Times New Roman" w:eastAsia="宋体" w:cs="Times New Roman"/>
                <w:color w:val="auto"/>
                <w:sz w:val="24"/>
                <w:szCs w:val="24"/>
                <w:u w:val="none"/>
                <w:lang w:val="en-US" w:eastAsia="zh-CN"/>
              </w:rPr>
              <w:t>t/a，项目共有造粒机（熔融）</w:t>
            </w:r>
            <w:r>
              <w:rPr>
                <w:rFonts w:hint="eastAsia" w:ascii="Times New Roman" w:hAnsi="Times New Roman" w:cs="Times New Roman"/>
                <w:color w:val="auto"/>
                <w:sz w:val="24"/>
                <w:szCs w:val="24"/>
                <w:u w:val="none"/>
                <w:lang w:val="en-US" w:eastAsia="zh-CN"/>
              </w:rPr>
              <w:t>7</w:t>
            </w:r>
            <w:r>
              <w:rPr>
                <w:rFonts w:hint="default" w:ascii="Times New Roman" w:hAnsi="Times New Roman" w:eastAsia="宋体" w:cs="Times New Roman"/>
                <w:color w:val="auto"/>
                <w:sz w:val="24"/>
                <w:szCs w:val="24"/>
                <w:u w:val="none"/>
                <w:lang w:val="en-US" w:eastAsia="zh-CN"/>
              </w:rPr>
              <w:t>台、水冷拉条塑造线（</w:t>
            </w:r>
            <w:r>
              <w:rPr>
                <w:rFonts w:hint="eastAsia" w:ascii="Times New Roman" w:hAnsi="Times New Roman" w:cs="Times New Roman"/>
                <w:color w:val="auto"/>
                <w:sz w:val="24"/>
                <w:szCs w:val="24"/>
                <w:u w:val="none"/>
                <w:lang w:val="en-US" w:eastAsia="zh-CN"/>
              </w:rPr>
              <w:t>挤出机</w:t>
            </w:r>
            <w:r>
              <w:rPr>
                <w:rFonts w:hint="default" w:ascii="Times New Roman" w:hAnsi="Times New Roman" w:eastAsia="宋体" w:cs="Times New Roman"/>
                <w:color w:val="auto"/>
                <w:sz w:val="24"/>
                <w:szCs w:val="24"/>
                <w:u w:val="none"/>
                <w:lang w:val="en-US" w:eastAsia="zh-CN"/>
              </w:rPr>
              <w:t>）</w:t>
            </w:r>
            <w:r>
              <w:rPr>
                <w:rFonts w:hint="eastAsia" w:ascii="Times New Roman" w:hAnsi="Times New Roman" w:cs="Times New Roman"/>
                <w:color w:val="auto"/>
                <w:sz w:val="24"/>
                <w:szCs w:val="24"/>
                <w:u w:val="none"/>
                <w:lang w:val="en-US" w:eastAsia="zh-CN"/>
              </w:rPr>
              <w:t>7</w:t>
            </w:r>
            <w:r>
              <w:rPr>
                <w:rFonts w:hint="default" w:ascii="Times New Roman" w:hAnsi="Times New Roman" w:eastAsia="宋体" w:cs="Times New Roman"/>
                <w:color w:val="auto"/>
                <w:sz w:val="24"/>
                <w:szCs w:val="24"/>
                <w:u w:val="none"/>
                <w:lang w:val="en-US" w:eastAsia="zh-CN"/>
              </w:rPr>
              <w:t>台，环评建议分别在每台</w:t>
            </w:r>
            <w:r>
              <w:rPr>
                <w:rFonts w:hint="eastAsia" w:ascii="Times New Roman" w:hAnsi="Times New Roman" w:cs="Times New Roman"/>
                <w:color w:val="auto"/>
                <w:sz w:val="24"/>
                <w:szCs w:val="24"/>
                <w:u w:val="none"/>
                <w:lang w:val="en-US" w:eastAsia="zh-CN"/>
              </w:rPr>
              <w:t>熔融</w:t>
            </w:r>
            <w:r>
              <w:rPr>
                <w:rFonts w:hint="default" w:ascii="Times New Roman" w:hAnsi="Times New Roman" w:eastAsia="宋体" w:cs="Times New Roman"/>
                <w:color w:val="auto"/>
                <w:sz w:val="24"/>
                <w:szCs w:val="24"/>
                <w:u w:val="none"/>
                <w:lang w:val="en-US" w:eastAsia="zh-CN"/>
              </w:rPr>
              <w:t>机顶部强制排气口处安装负压集气管道、在每台挤出机挤出口设置半封闭集气罩，各工序有机废气经集气收集后通过管道集中引至1套旋流式喷淋塔+除湿干燥装置+UV光氧催化设备+活性炭吸附装置处理后经1根15m高排气筒DA001引至高空排放。熔融挤出废气收集效率按90%计算，废气处理设施配套风机设计风量为</w:t>
            </w:r>
            <w:r>
              <w:rPr>
                <w:rFonts w:hint="eastAsia" w:ascii="Times New Roman" w:hAnsi="Times New Roman" w:cs="Times New Roman"/>
                <w:color w:val="auto"/>
                <w:sz w:val="24"/>
                <w:szCs w:val="24"/>
                <w:u w:val="none"/>
                <w:lang w:val="en-US" w:eastAsia="zh-CN"/>
              </w:rPr>
              <w:t>25000m³</w:t>
            </w:r>
            <w:r>
              <w:rPr>
                <w:rFonts w:hint="default" w:ascii="Times New Roman" w:hAnsi="Times New Roman" w:eastAsia="宋体" w:cs="Times New Roman"/>
                <w:color w:val="auto"/>
                <w:sz w:val="24"/>
                <w:szCs w:val="24"/>
                <w:u w:val="none"/>
                <w:lang w:val="en-US" w:eastAsia="zh-CN"/>
              </w:rPr>
              <w:t>/h，</w:t>
            </w:r>
            <w:r>
              <w:rPr>
                <w:rFonts w:hint="eastAsia" w:ascii="Times New Roman" w:hAnsi="Times New Roman" w:cs="Times New Roman"/>
                <w:color w:val="auto"/>
                <w:sz w:val="24"/>
                <w:szCs w:val="24"/>
                <w:u w:val="none"/>
                <w:lang w:val="en-US" w:eastAsia="zh-CN"/>
              </w:rPr>
              <w:t>年工作时间2400h，</w:t>
            </w:r>
            <w:r>
              <w:rPr>
                <w:rFonts w:hint="default" w:ascii="Times New Roman" w:hAnsi="Times New Roman" w:eastAsia="宋体" w:cs="Times New Roman"/>
                <w:color w:val="auto"/>
                <w:sz w:val="24"/>
                <w:szCs w:val="24"/>
                <w:u w:val="none"/>
                <w:lang w:val="en-US" w:eastAsia="zh-CN"/>
              </w:rPr>
              <w:t>则非甲烷总烃收集量为1.5</w:t>
            </w:r>
            <w:r>
              <w:rPr>
                <w:rFonts w:hint="eastAsia" w:ascii="Times New Roman" w:hAnsi="Times New Roman" w:cs="Times New Roman"/>
                <w:color w:val="auto"/>
                <w:sz w:val="24"/>
                <w:szCs w:val="24"/>
                <w:u w:val="none"/>
                <w:lang w:val="en-US" w:eastAsia="zh-CN"/>
              </w:rPr>
              <w:t>7</w:t>
            </w:r>
            <w:r>
              <w:rPr>
                <w:rFonts w:hint="default" w:ascii="Times New Roman" w:hAnsi="Times New Roman" w:eastAsia="宋体" w:cs="Times New Roman"/>
                <w:color w:val="auto"/>
                <w:sz w:val="24"/>
                <w:szCs w:val="24"/>
                <w:u w:val="none"/>
                <w:lang w:val="en-US" w:eastAsia="zh-CN"/>
              </w:rPr>
              <w:t>5t/a，</w:t>
            </w:r>
            <w:r>
              <w:rPr>
                <w:rFonts w:hint="eastAsia" w:ascii="Times New Roman" w:hAnsi="Times New Roman" w:cs="Times New Roman"/>
                <w:color w:val="auto"/>
                <w:sz w:val="24"/>
                <w:szCs w:val="24"/>
                <w:u w:val="none"/>
                <w:lang w:val="en-US" w:eastAsia="zh-CN"/>
              </w:rPr>
              <w:t>产生速率为0.656kg/h，</w:t>
            </w:r>
            <w:r>
              <w:rPr>
                <w:rFonts w:hint="default" w:ascii="Times New Roman" w:hAnsi="Times New Roman" w:eastAsia="宋体" w:cs="Times New Roman"/>
                <w:color w:val="auto"/>
                <w:sz w:val="24"/>
                <w:szCs w:val="24"/>
                <w:u w:val="none"/>
                <w:lang w:val="en-US" w:eastAsia="zh-CN"/>
              </w:rPr>
              <w:t>产生浓度为</w:t>
            </w:r>
            <w:r>
              <w:rPr>
                <w:rFonts w:hint="eastAsia" w:ascii="Times New Roman" w:hAnsi="Times New Roman" w:cs="Times New Roman"/>
                <w:color w:val="auto"/>
                <w:sz w:val="24"/>
                <w:szCs w:val="24"/>
                <w:u w:val="none"/>
                <w:lang w:val="en-US" w:eastAsia="zh-CN"/>
              </w:rPr>
              <w:t>26.24</w:t>
            </w:r>
            <w:r>
              <w:rPr>
                <w:rFonts w:hint="default" w:ascii="Times New Roman" w:hAnsi="Times New Roman" w:eastAsia="宋体" w:cs="Times New Roman"/>
                <w:color w:val="auto"/>
                <w:sz w:val="24"/>
                <w:szCs w:val="24"/>
                <w:u w:val="none"/>
                <w:lang w:val="en-US" w:eastAsia="zh-CN"/>
              </w:rPr>
              <w:t>mg/</w:t>
            </w:r>
            <w:r>
              <w:rPr>
                <w:rFonts w:hint="eastAsia" w:ascii="Times New Roman" w:hAnsi="Times New Roman" w:cs="Times New Roman"/>
                <w:color w:val="auto"/>
                <w:sz w:val="24"/>
                <w:szCs w:val="24"/>
                <w:u w:val="none"/>
                <w:lang w:val="en-US" w:eastAsia="zh-CN"/>
              </w:rPr>
              <w:t>m³</w:t>
            </w:r>
            <w:r>
              <w:rPr>
                <w:rFonts w:hint="default" w:ascii="Times New Roman" w:hAnsi="Times New Roman" w:eastAsia="宋体" w:cs="Times New Roman"/>
                <w:color w:val="auto"/>
                <w:sz w:val="24"/>
                <w:szCs w:val="24"/>
                <w:u w:val="none"/>
                <w:lang w:val="en-US" w:eastAsia="zh-CN"/>
              </w:rPr>
              <w:t>。废气处理设施（流式喷淋塔+除湿干燥装置+UV光氧催化设备+活性炭吸附装置）对有机废气的处理效率按</w:t>
            </w:r>
            <w:r>
              <w:rPr>
                <w:rFonts w:hint="eastAsia" w:ascii="Times New Roman" w:hAnsi="Times New Roman" w:cs="Times New Roman"/>
                <w:color w:val="auto"/>
                <w:sz w:val="24"/>
                <w:szCs w:val="24"/>
                <w:u w:val="none"/>
                <w:lang w:val="en-US" w:eastAsia="zh-CN"/>
              </w:rPr>
              <w:t>80</w:t>
            </w:r>
            <w:r>
              <w:rPr>
                <w:rFonts w:hint="default" w:ascii="Times New Roman" w:hAnsi="Times New Roman" w:eastAsia="宋体" w:cs="Times New Roman"/>
                <w:color w:val="auto"/>
                <w:sz w:val="24"/>
                <w:szCs w:val="24"/>
                <w:u w:val="none"/>
                <w:lang w:val="en-US" w:eastAsia="zh-CN"/>
              </w:rPr>
              <w:t>%计算，则经处理后非甲烷总烃排放量为</w:t>
            </w:r>
            <w:r>
              <w:rPr>
                <w:rFonts w:hint="eastAsia" w:ascii="Times New Roman" w:hAnsi="Times New Roman" w:cs="Times New Roman"/>
                <w:color w:val="auto"/>
                <w:sz w:val="24"/>
                <w:szCs w:val="24"/>
                <w:u w:val="none"/>
                <w:lang w:val="en-US" w:eastAsia="zh-CN"/>
              </w:rPr>
              <w:t>0.315</w:t>
            </w:r>
            <w:r>
              <w:rPr>
                <w:rFonts w:hint="default" w:ascii="Times New Roman" w:hAnsi="Times New Roman" w:eastAsia="宋体" w:cs="Times New Roman"/>
                <w:color w:val="auto"/>
                <w:sz w:val="24"/>
                <w:szCs w:val="24"/>
                <w:u w:val="none"/>
                <w:lang w:val="en-US" w:eastAsia="zh-CN"/>
              </w:rPr>
              <w:t>t/a，排放速率为</w:t>
            </w:r>
            <w:r>
              <w:rPr>
                <w:rFonts w:hint="eastAsia" w:ascii="Times New Roman" w:hAnsi="Times New Roman" w:cs="Times New Roman"/>
                <w:color w:val="auto"/>
                <w:sz w:val="24"/>
                <w:szCs w:val="24"/>
                <w:u w:val="none"/>
                <w:lang w:val="en-US" w:eastAsia="zh-CN"/>
              </w:rPr>
              <w:t>0.131</w:t>
            </w:r>
            <w:r>
              <w:rPr>
                <w:rFonts w:hint="default" w:ascii="Times New Roman" w:hAnsi="Times New Roman" w:eastAsia="宋体" w:cs="Times New Roman"/>
                <w:color w:val="auto"/>
                <w:sz w:val="24"/>
                <w:szCs w:val="24"/>
                <w:u w:val="none"/>
                <w:lang w:val="en-US" w:eastAsia="zh-CN"/>
              </w:rPr>
              <w:t>kg/h，排放浓度为</w:t>
            </w:r>
            <w:r>
              <w:rPr>
                <w:rFonts w:hint="eastAsia" w:ascii="Times New Roman" w:hAnsi="Times New Roman" w:cs="Times New Roman"/>
                <w:color w:val="auto"/>
                <w:sz w:val="24"/>
                <w:szCs w:val="24"/>
                <w:u w:val="none"/>
                <w:lang w:val="en-US" w:eastAsia="zh-CN"/>
              </w:rPr>
              <w:t>5.25</w:t>
            </w:r>
            <w:r>
              <w:rPr>
                <w:rFonts w:hint="default" w:ascii="Times New Roman" w:hAnsi="Times New Roman" w:eastAsia="宋体" w:cs="Times New Roman"/>
                <w:color w:val="auto"/>
                <w:sz w:val="24"/>
                <w:szCs w:val="24"/>
                <w:u w:val="none"/>
                <w:lang w:val="en-US" w:eastAsia="zh-CN"/>
              </w:rPr>
              <w:t>mg/</w:t>
            </w:r>
            <w:r>
              <w:rPr>
                <w:rFonts w:hint="eastAsia" w:ascii="Times New Roman" w:hAnsi="Times New Roman" w:cs="Times New Roman"/>
                <w:color w:val="auto"/>
                <w:sz w:val="24"/>
                <w:szCs w:val="24"/>
                <w:u w:val="none"/>
                <w:lang w:val="en-US" w:eastAsia="zh-CN"/>
              </w:rPr>
              <w:t>m³</w:t>
            </w:r>
            <w:r>
              <w:rPr>
                <w:rFonts w:hint="default" w:ascii="Times New Roman" w:hAnsi="Times New Roman" w:eastAsia="宋体" w:cs="Times New Roman"/>
                <w:color w:val="auto"/>
                <w:sz w:val="24"/>
                <w:szCs w:val="24"/>
                <w:u w:val="none"/>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50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熔融挤出过程未被收集的非甲烷总烃量为0.1</w:t>
            </w:r>
            <w:r>
              <w:rPr>
                <w:rFonts w:hint="eastAsia" w:ascii="Times New Roman" w:hAnsi="Times New Roman" w:cs="Times New Roman"/>
                <w:color w:val="auto"/>
                <w:sz w:val="24"/>
                <w:szCs w:val="24"/>
                <w:u w:val="none"/>
                <w:lang w:val="en-US" w:eastAsia="zh-CN"/>
              </w:rPr>
              <w:t>75</w:t>
            </w:r>
            <w:r>
              <w:rPr>
                <w:rFonts w:hint="default" w:ascii="Times New Roman" w:hAnsi="Times New Roman" w:eastAsia="宋体" w:cs="Times New Roman"/>
                <w:color w:val="auto"/>
                <w:sz w:val="24"/>
                <w:szCs w:val="24"/>
                <w:u w:val="none"/>
                <w:lang w:val="en-US" w:eastAsia="zh-CN"/>
              </w:rPr>
              <w:t>t/a（0.0</w:t>
            </w:r>
            <w:r>
              <w:rPr>
                <w:rFonts w:hint="eastAsia" w:ascii="Times New Roman" w:hAnsi="Times New Roman" w:cs="Times New Roman"/>
                <w:color w:val="auto"/>
                <w:sz w:val="24"/>
                <w:szCs w:val="24"/>
                <w:u w:val="none"/>
                <w:lang w:val="en-US" w:eastAsia="zh-CN"/>
              </w:rPr>
              <w:t>72</w:t>
            </w:r>
            <w:r>
              <w:rPr>
                <w:rFonts w:hint="default" w:ascii="Times New Roman" w:hAnsi="Times New Roman" w:eastAsia="宋体" w:cs="Times New Roman"/>
                <w:color w:val="auto"/>
                <w:sz w:val="24"/>
                <w:szCs w:val="24"/>
                <w:u w:val="none"/>
                <w:lang w:val="en-US" w:eastAsia="zh-CN"/>
              </w:rPr>
              <w:t>kg/h），以无组织形式排放。</w:t>
            </w:r>
          </w:p>
          <w:p>
            <w:pPr>
              <w:widowControl/>
              <w:adjustRightInd w:val="0"/>
              <w:snapToGrid w:val="0"/>
              <w:spacing w:line="360" w:lineRule="auto"/>
              <w:ind w:firstLine="482"/>
              <w:rPr>
                <w:color w:val="000000" w:themeColor="text1"/>
                <w:sz w:val="24"/>
                <w:u w:val="none"/>
                <w14:textFill>
                  <w14:solidFill>
                    <w14:schemeClr w14:val="tx1"/>
                  </w14:solidFill>
                </w14:textFill>
              </w:rPr>
            </w:pPr>
            <w:r>
              <w:rPr>
                <w:rFonts w:hint="eastAsia"/>
                <w:color w:val="000000" w:themeColor="text1"/>
                <w:sz w:val="24"/>
                <w:u w:val="none"/>
                <w14:textFill>
                  <w14:solidFill>
                    <w14:schemeClr w14:val="tx1"/>
                  </w14:solidFill>
                </w14:textFill>
              </w:rPr>
              <w:t>项目营运期废气产排情况</w:t>
            </w:r>
            <w:r>
              <w:rPr>
                <w:rFonts w:hint="eastAsia"/>
                <w:color w:val="000000" w:themeColor="text1"/>
                <w:sz w:val="24"/>
                <w:u w:val="none"/>
                <w:lang w:val="en-US" w:eastAsia="zh-CN"/>
                <w14:textFill>
                  <w14:solidFill>
                    <w14:schemeClr w14:val="tx1"/>
                  </w14:solidFill>
                </w14:textFill>
              </w:rPr>
              <w:t>及治理措施</w:t>
            </w:r>
            <w:r>
              <w:rPr>
                <w:rFonts w:hint="eastAsia"/>
                <w:color w:val="000000" w:themeColor="text1"/>
                <w:sz w:val="24"/>
                <w:u w:val="none"/>
                <w14:textFill>
                  <w14:solidFill>
                    <w14:schemeClr w14:val="tx1"/>
                  </w14:solidFill>
                </w14:textFill>
              </w:rPr>
              <w:t>见下表。</w:t>
            </w:r>
          </w:p>
          <w:p>
            <w:pPr>
              <w:bidi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表4-</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w:t>
            </w:r>
            <w:r>
              <w:rPr>
                <w:rFonts w:hint="default"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项目营运期废气产排情况</w:t>
            </w:r>
            <w:r>
              <w:rPr>
                <w:rFonts w:hint="default" w:ascii="Times New Roman" w:hAnsi="Times New Roman" w:eastAsia="宋体" w:cs="Times New Roman"/>
                <w:b/>
                <w:bCs/>
                <w:sz w:val="24"/>
                <w:szCs w:val="24"/>
                <w:lang w:val="en-US" w:eastAsia="zh-CN"/>
              </w:rPr>
              <w:t>及治理措施</w:t>
            </w:r>
            <w:r>
              <w:rPr>
                <w:rFonts w:hint="default" w:ascii="Times New Roman" w:hAnsi="Times New Roman" w:eastAsia="宋体" w:cs="Times New Roman"/>
                <w:b/>
                <w:bCs/>
                <w:sz w:val="24"/>
                <w:szCs w:val="24"/>
              </w:rPr>
              <w:t>一览表</w:t>
            </w:r>
          </w:p>
          <w:tbl>
            <w:tblPr>
              <w:tblStyle w:val="11"/>
              <w:tblW w:w="907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86"/>
              <w:gridCol w:w="975"/>
              <w:gridCol w:w="765"/>
              <w:gridCol w:w="810"/>
              <w:gridCol w:w="804"/>
              <w:gridCol w:w="2370"/>
              <w:gridCol w:w="989"/>
              <w:gridCol w:w="1035"/>
              <w:gridCol w:w="8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类型</w:t>
                  </w:r>
                </w:p>
              </w:tc>
              <w:tc>
                <w:tcPr>
                  <w:tcW w:w="97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产生源</w:t>
                  </w:r>
                </w:p>
              </w:tc>
              <w:tc>
                <w:tcPr>
                  <w:tcW w:w="76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污染物</w:t>
                  </w:r>
                </w:p>
              </w:tc>
              <w:tc>
                <w:tcPr>
                  <w:tcW w:w="161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产生源强</w:t>
                  </w:r>
                </w:p>
              </w:tc>
              <w:tc>
                <w:tcPr>
                  <w:tcW w:w="237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治理措施</w:t>
                  </w:r>
                </w:p>
              </w:tc>
              <w:tc>
                <w:tcPr>
                  <w:tcW w:w="2864" w:type="dxa"/>
                  <w:gridSpan w:val="3"/>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排放源强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p>
              </w:tc>
              <w:tc>
                <w:tcPr>
                  <w:tcW w:w="76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p>
              </w:tc>
              <w:tc>
                <w:tcPr>
                  <w:tcW w:w="8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浓度mg/m</w:t>
                  </w:r>
                  <w:r>
                    <w:rPr>
                      <w:rFonts w:hint="default" w:ascii="Times New Roman" w:hAnsi="Times New Roman" w:eastAsia="宋体" w:cs="Times New Roman"/>
                      <w:bCs/>
                      <w:color w:val="auto"/>
                      <w:sz w:val="21"/>
                      <w:szCs w:val="21"/>
                      <w:u w:val="none"/>
                      <w:vertAlign w:val="superscript"/>
                    </w:rPr>
                    <w:t>3</w:t>
                  </w:r>
                </w:p>
              </w:tc>
              <w:tc>
                <w:tcPr>
                  <w:tcW w:w="80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量t/a</w:t>
                  </w:r>
                </w:p>
              </w:tc>
              <w:tc>
                <w:tcPr>
                  <w:tcW w:w="237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p>
              </w:tc>
              <w:tc>
                <w:tcPr>
                  <w:tcW w:w="989"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浓度mg/m</w:t>
                  </w:r>
                  <w:r>
                    <w:rPr>
                      <w:rFonts w:hint="default" w:ascii="Times New Roman" w:hAnsi="Times New Roman" w:eastAsia="宋体" w:cs="Times New Roman"/>
                      <w:bCs/>
                      <w:color w:val="auto"/>
                      <w:sz w:val="21"/>
                      <w:szCs w:val="21"/>
                      <w:u w:val="none"/>
                      <w:vertAlign w:val="superscript"/>
                    </w:rPr>
                    <w:t>3</w:t>
                  </w: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速率kg/h</w:t>
                  </w:r>
                </w:p>
              </w:tc>
              <w:tc>
                <w:tcPr>
                  <w:tcW w:w="84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量t/a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5" w:hRule="atLeast"/>
                <w:jc w:val="center"/>
              </w:trPr>
              <w:tc>
                <w:tcPr>
                  <w:tcW w:w="48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有组织</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rPr>
                    <w:t>熔融挤出</w:t>
                  </w:r>
                  <w:r>
                    <w:rPr>
                      <w:rFonts w:hint="default" w:ascii="Times New Roman" w:hAnsi="Times New Roman" w:eastAsia="宋体" w:cs="Times New Roman"/>
                      <w:bCs/>
                      <w:color w:val="auto"/>
                      <w:sz w:val="21"/>
                      <w:szCs w:val="21"/>
                      <w:u w:val="none"/>
                      <w:lang w:val="en-US" w:eastAsia="zh-CN"/>
                    </w:rPr>
                    <w:t>过程</w:t>
                  </w:r>
                </w:p>
              </w:tc>
              <w:tc>
                <w:tcPr>
                  <w:tcW w:w="7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非甲烷总烃</w:t>
                  </w:r>
                </w:p>
              </w:tc>
              <w:tc>
                <w:tcPr>
                  <w:tcW w:w="8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26.24</w:t>
                  </w:r>
                </w:p>
              </w:tc>
              <w:tc>
                <w:tcPr>
                  <w:tcW w:w="80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1.575</w:t>
                  </w:r>
                </w:p>
              </w:tc>
              <w:tc>
                <w:tcPr>
                  <w:tcW w:w="237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分别在每台熔融机顶部强制排气口处安装负压集气管道、在每台挤出机挤出口设置半封闭集气罩，各工序有机废气经集气收集后通过管道集中引至流式喷淋塔+除湿干燥装置+UV光氧催化设备+活性炭吸附装置处理后经1根15m高排气筒DA001引至高空排放</w:t>
                  </w:r>
                  <w:r>
                    <w:rPr>
                      <w:rFonts w:hint="default" w:ascii="Times New Roman" w:hAnsi="Times New Roman" w:eastAsia="宋体" w:cs="Times New Roman"/>
                      <w:bCs/>
                      <w:color w:val="auto"/>
                      <w:sz w:val="21"/>
                      <w:szCs w:val="21"/>
                      <w:u w:val="none"/>
                      <w:lang w:eastAsia="zh-CN"/>
                    </w:rPr>
                    <w:t>，</w:t>
                  </w:r>
                  <w:r>
                    <w:rPr>
                      <w:rFonts w:hint="eastAsia" w:ascii="Times New Roman" w:hAnsi="Times New Roman" w:eastAsia="宋体" w:cs="Times New Roman"/>
                      <w:bCs/>
                      <w:color w:val="auto"/>
                      <w:sz w:val="21"/>
                      <w:szCs w:val="21"/>
                      <w:u w:val="none"/>
                      <w:lang w:eastAsia="zh-CN"/>
                    </w:rPr>
                    <w:t>风量</w:t>
                  </w:r>
                  <w:r>
                    <w:rPr>
                      <w:rFonts w:hint="eastAsia" w:ascii="Times New Roman" w:hAnsi="Times New Roman" w:eastAsia="宋体" w:cs="Times New Roman"/>
                      <w:bCs/>
                      <w:color w:val="auto"/>
                      <w:sz w:val="21"/>
                      <w:szCs w:val="21"/>
                      <w:u w:val="none"/>
                      <w:lang w:val="en-US" w:eastAsia="zh-CN"/>
                    </w:rPr>
                    <w:t>25000m³/h，</w:t>
                  </w:r>
                  <w:r>
                    <w:rPr>
                      <w:rFonts w:hint="default" w:ascii="Times New Roman" w:hAnsi="Times New Roman" w:eastAsia="宋体" w:cs="Times New Roman"/>
                      <w:bCs/>
                      <w:color w:val="auto"/>
                      <w:sz w:val="21"/>
                      <w:szCs w:val="21"/>
                      <w:u w:val="none"/>
                      <w:lang w:val="en-US" w:eastAsia="zh-CN"/>
                    </w:rPr>
                    <w:t>有机废气处理效率为</w:t>
                  </w:r>
                  <w:r>
                    <w:rPr>
                      <w:rFonts w:hint="eastAsia" w:ascii="Times New Roman" w:hAnsi="Times New Roman" w:cs="Times New Roman"/>
                      <w:bCs/>
                      <w:color w:val="auto"/>
                      <w:sz w:val="21"/>
                      <w:szCs w:val="21"/>
                      <w:u w:val="none"/>
                      <w:lang w:val="en-US" w:eastAsia="zh-CN"/>
                    </w:rPr>
                    <w:t>80</w:t>
                  </w:r>
                  <w:r>
                    <w:rPr>
                      <w:rFonts w:hint="default" w:ascii="Times New Roman" w:hAnsi="Times New Roman" w:eastAsia="宋体" w:cs="Times New Roman"/>
                      <w:bCs/>
                      <w:color w:val="auto"/>
                      <w:sz w:val="21"/>
                      <w:szCs w:val="21"/>
                      <w:u w:val="none"/>
                      <w:lang w:val="en-US" w:eastAsia="zh-CN"/>
                    </w:rPr>
                    <w:t>%</w:t>
                  </w:r>
                </w:p>
              </w:tc>
              <w:tc>
                <w:tcPr>
                  <w:tcW w:w="989"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5.25</w:t>
                  </w:r>
                </w:p>
              </w:tc>
              <w:tc>
                <w:tcPr>
                  <w:tcW w:w="103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0.1</w:t>
                  </w:r>
                  <w:r>
                    <w:rPr>
                      <w:rFonts w:hint="eastAsia" w:ascii="Times New Roman" w:hAnsi="Times New Roman" w:cs="Times New Roman"/>
                      <w:bCs/>
                      <w:color w:val="auto"/>
                      <w:sz w:val="21"/>
                      <w:szCs w:val="21"/>
                      <w:u w:val="none"/>
                      <w:lang w:val="en-US" w:eastAsia="zh-CN"/>
                    </w:rPr>
                    <w:t>31</w:t>
                  </w:r>
                </w:p>
              </w:tc>
              <w:tc>
                <w:tcPr>
                  <w:tcW w:w="840"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0.3</w:t>
                  </w:r>
                  <w:r>
                    <w:rPr>
                      <w:rFonts w:hint="eastAsia" w:ascii="Times New Roman" w:hAnsi="Times New Roman" w:cs="Times New Roman"/>
                      <w:bCs/>
                      <w:color w:val="auto"/>
                      <w:sz w:val="21"/>
                      <w:szCs w:val="21"/>
                      <w:u w:val="none"/>
                      <w:lang w:val="en-US" w:eastAsia="zh-CN"/>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86"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无组织</w:t>
                  </w:r>
                </w:p>
              </w:tc>
              <w:tc>
                <w:tcPr>
                  <w:tcW w:w="97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熔融挤出</w:t>
                  </w:r>
                  <w:r>
                    <w:rPr>
                      <w:rFonts w:hint="default" w:ascii="Times New Roman" w:hAnsi="Times New Roman" w:eastAsia="宋体" w:cs="Times New Roman"/>
                      <w:bCs/>
                      <w:color w:val="auto"/>
                      <w:sz w:val="21"/>
                      <w:szCs w:val="21"/>
                      <w:u w:val="none"/>
                      <w:lang w:val="en-US" w:eastAsia="zh-CN"/>
                    </w:rPr>
                    <w:t>过程</w:t>
                  </w:r>
                  <w:r>
                    <w:rPr>
                      <w:rFonts w:hint="eastAsia" w:ascii="Times New Roman" w:hAnsi="Times New Roman" w:eastAsia="宋体" w:cs="Times New Roman"/>
                      <w:bCs/>
                      <w:color w:val="auto"/>
                      <w:sz w:val="21"/>
                      <w:szCs w:val="21"/>
                      <w:u w:val="none"/>
                      <w:lang w:val="en-US" w:eastAsia="zh-CN"/>
                    </w:rPr>
                    <w:t>未收集有机废气</w:t>
                  </w:r>
                </w:p>
              </w:tc>
              <w:tc>
                <w:tcPr>
                  <w:tcW w:w="76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非甲烷总烃</w:t>
                  </w:r>
                </w:p>
              </w:tc>
              <w:tc>
                <w:tcPr>
                  <w:tcW w:w="8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w:t>
                  </w:r>
                </w:p>
              </w:tc>
              <w:tc>
                <w:tcPr>
                  <w:tcW w:w="80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0.175</w:t>
                  </w:r>
                </w:p>
              </w:tc>
              <w:tc>
                <w:tcPr>
                  <w:tcW w:w="237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生产车间封闭，车间内加强管理</w:t>
                  </w:r>
                </w:p>
              </w:tc>
              <w:tc>
                <w:tcPr>
                  <w:tcW w:w="98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rPr>
                  </w:pPr>
                  <w:r>
                    <w:rPr>
                      <w:rFonts w:hint="default" w:ascii="Times New Roman" w:hAnsi="Times New Roman" w:eastAsia="宋体" w:cs="Times New Roman"/>
                      <w:bCs/>
                      <w:color w:val="auto"/>
                      <w:sz w:val="21"/>
                      <w:szCs w:val="21"/>
                      <w:u w:val="none"/>
                    </w:rPr>
                    <w:t>/</w:t>
                  </w: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0.072</w:t>
                  </w:r>
                </w:p>
              </w:tc>
              <w:tc>
                <w:tcPr>
                  <w:tcW w:w="84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0.175</w:t>
                  </w:r>
                </w:p>
              </w:tc>
            </w:tr>
          </w:tbl>
          <w:p>
            <w:pPr>
              <w:pStyle w:val="8"/>
              <w:spacing w:after="0"/>
              <w:ind w:left="0" w:leftChars="0" w:firstLine="0" w:firstLineChars="0"/>
              <w:jc w:val="center"/>
              <w:rPr>
                <w:rFonts w:hint="eastAsia" w:ascii="Times New Roman" w:hAnsi="Times New Roman"/>
                <w:b/>
                <w:color w:val="000000"/>
                <w:sz w:val="24"/>
              </w:rPr>
            </w:pPr>
            <w:r>
              <w:rPr>
                <w:rFonts w:hint="eastAsia" w:ascii="Times New Roman" w:hAnsi="Times New Roman"/>
                <w:b/>
                <w:color w:val="000000"/>
                <w:sz w:val="24"/>
              </w:rPr>
              <w:t>表4-</w:t>
            </w:r>
            <w:r>
              <w:rPr>
                <w:rFonts w:hint="eastAsia" w:ascii="Times New Roman" w:hAnsi="Times New Roman"/>
                <w:b/>
                <w:color w:val="000000"/>
                <w:sz w:val="24"/>
                <w:lang w:val="en-US" w:eastAsia="zh-CN"/>
              </w:rPr>
              <w:t>3</w:t>
            </w:r>
            <w:r>
              <w:rPr>
                <w:rFonts w:hint="eastAsia" w:ascii="Times New Roman" w:hAnsi="Times New Roman"/>
                <w:b/>
                <w:color w:val="000000"/>
                <w:sz w:val="24"/>
              </w:rPr>
              <w:t xml:space="preserve">     项目废气治理设施信息表</w:t>
            </w:r>
          </w:p>
          <w:tbl>
            <w:tblPr>
              <w:tblStyle w:val="11"/>
              <w:tblW w:w="87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153"/>
              <w:gridCol w:w="1960"/>
              <w:gridCol w:w="1755"/>
              <w:gridCol w:w="1140"/>
              <w:gridCol w:w="1106"/>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684" w:type="dxa"/>
                  <w:vAlign w:val="center"/>
                </w:tcPr>
                <w:p>
                  <w:pPr>
                    <w:spacing w:line="360" w:lineRule="auto"/>
                    <w:jc w:val="center"/>
                    <w:outlineLvl w:val="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序号</w:t>
                  </w:r>
                </w:p>
              </w:tc>
              <w:tc>
                <w:tcPr>
                  <w:tcW w:w="1153" w:type="dxa"/>
                  <w:vAlign w:val="center"/>
                </w:tcPr>
                <w:p>
                  <w:pPr>
                    <w:spacing w:line="360" w:lineRule="auto"/>
                    <w:jc w:val="center"/>
                    <w:outlineLvl w:val="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产污工序</w:t>
                  </w:r>
                </w:p>
              </w:tc>
              <w:tc>
                <w:tcPr>
                  <w:tcW w:w="1960" w:type="dxa"/>
                  <w:vAlign w:val="center"/>
                </w:tcPr>
                <w:p>
                  <w:pPr>
                    <w:spacing w:line="360" w:lineRule="auto"/>
                    <w:jc w:val="center"/>
                    <w:outlineLvl w:val="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治理措施</w:t>
                  </w:r>
                </w:p>
              </w:tc>
              <w:tc>
                <w:tcPr>
                  <w:tcW w:w="1755" w:type="dxa"/>
                  <w:vAlign w:val="center"/>
                </w:tcPr>
                <w:p>
                  <w:pPr>
                    <w:spacing w:line="360" w:lineRule="auto"/>
                    <w:jc w:val="center"/>
                    <w:outlineLvl w:val="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收集效率</w:t>
                  </w:r>
                </w:p>
              </w:tc>
              <w:tc>
                <w:tcPr>
                  <w:tcW w:w="1140" w:type="dxa"/>
                  <w:vAlign w:val="center"/>
                </w:tcPr>
                <w:p>
                  <w:pPr>
                    <w:spacing w:line="360" w:lineRule="auto"/>
                    <w:jc w:val="center"/>
                    <w:outlineLvl w:val="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处理效率</w:t>
                  </w:r>
                </w:p>
              </w:tc>
              <w:tc>
                <w:tcPr>
                  <w:tcW w:w="1106" w:type="dxa"/>
                  <w:vAlign w:val="center"/>
                </w:tcPr>
                <w:p>
                  <w:pPr>
                    <w:spacing w:line="360" w:lineRule="auto"/>
                    <w:jc w:val="center"/>
                    <w:outlineLvl w:val="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处理能力</w:t>
                  </w:r>
                </w:p>
              </w:tc>
              <w:tc>
                <w:tcPr>
                  <w:tcW w:w="919" w:type="dxa"/>
                  <w:vAlign w:val="top"/>
                </w:tcPr>
                <w:p>
                  <w:pPr>
                    <w:spacing w:line="360" w:lineRule="auto"/>
                    <w:jc w:val="center"/>
                    <w:outlineLvl w:val="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技术是否可行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jc w:val="center"/>
              </w:trPr>
              <w:tc>
                <w:tcPr>
                  <w:tcW w:w="684" w:type="dxa"/>
                  <w:vAlign w:val="center"/>
                </w:tcPr>
                <w:p>
                  <w:pPr>
                    <w:spacing w:line="360" w:lineRule="auto"/>
                    <w:jc w:val="center"/>
                    <w:outlineLvl w:val="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w:t>
                  </w:r>
                </w:p>
              </w:tc>
              <w:tc>
                <w:tcPr>
                  <w:tcW w:w="1153" w:type="dxa"/>
                  <w:vAlign w:val="center"/>
                </w:tcPr>
                <w:p>
                  <w:pPr>
                    <w:spacing w:line="360" w:lineRule="auto"/>
                    <w:jc w:val="center"/>
                    <w:outlineLvl w:val="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熔融挤出过程</w:t>
                  </w:r>
                </w:p>
              </w:tc>
              <w:tc>
                <w:tcPr>
                  <w:tcW w:w="1960" w:type="dxa"/>
                  <w:vAlign w:val="center"/>
                </w:tcPr>
                <w:p>
                  <w:pPr>
                    <w:spacing w:line="360" w:lineRule="auto"/>
                    <w:jc w:val="center"/>
                    <w:outlineLvl w:val="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集气设施</w:t>
                  </w:r>
                  <w:r>
                    <w:rPr>
                      <w:rFonts w:hint="default" w:ascii="Times New Roman" w:hAnsi="Times New Roman" w:eastAsia="宋体" w:cs="Times New Roman"/>
                      <w:color w:val="auto"/>
                      <w:sz w:val="21"/>
                      <w:szCs w:val="21"/>
                      <w:u w:val="none"/>
                    </w:rPr>
                    <w:t>+1套</w:t>
                  </w:r>
                  <w:r>
                    <w:rPr>
                      <w:rFonts w:hint="default" w:ascii="Times New Roman" w:hAnsi="Times New Roman" w:eastAsia="宋体" w:cs="Times New Roman"/>
                      <w:bCs/>
                      <w:color w:val="auto"/>
                      <w:sz w:val="21"/>
                      <w:szCs w:val="21"/>
                      <w:u w:val="none"/>
                    </w:rPr>
                    <w:t>流式喷淋塔+除湿干燥装置+UV光氧催化设备+活性炭吸附装置</w:t>
                  </w:r>
                  <w:r>
                    <w:rPr>
                      <w:rFonts w:hint="default" w:ascii="Times New Roman" w:hAnsi="Times New Roman" w:eastAsia="宋体" w:cs="Times New Roman"/>
                      <w:color w:val="auto"/>
                      <w:sz w:val="21"/>
                      <w:szCs w:val="21"/>
                      <w:u w:val="none"/>
                    </w:rPr>
                    <w:t>+</w:t>
                  </w:r>
                  <w:r>
                    <w:rPr>
                      <w:rFonts w:hint="default" w:ascii="Times New Roman" w:hAnsi="Times New Roman" w:eastAsia="宋体" w:cs="Times New Roman"/>
                      <w:color w:val="auto"/>
                      <w:sz w:val="21"/>
                      <w:szCs w:val="21"/>
                      <w:u w:val="none"/>
                      <w:lang w:val="en-US" w:eastAsia="zh-CN"/>
                    </w:rPr>
                    <w:t>1</w:t>
                  </w:r>
                  <w:r>
                    <w:rPr>
                      <w:rFonts w:hint="default" w:ascii="Times New Roman" w:hAnsi="Times New Roman" w:eastAsia="宋体" w:cs="Times New Roman"/>
                      <w:color w:val="auto"/>
                      <w:sz w:val="21"/>
                      <w:szCs w:val="21"/>
                      <w:u w:val="none"/>
                    </w:rPr>
                    <w:t>根15m高排气筒DA001</w:t>
                  </w:r>
                </w:p>
              </w:tc>
              <w:tc>
                <w:tcPr>
                  <w:tcW w:w="1755" w:type="dxa"/>
                  <w:vAlign w:val="center"/>
                </w:tcPr>
                <w:p>
                  <w:pPr>
                    <w:spacing w:line="360" w:lineRule="auto"/>
                    <w:jc w:val="center"/>
                    <w:outlineLvl w:val="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熔融挤出废气收集效率90</w:t>
                  </w:r>
                  <w:r>
                    <w:rPr>
                      <w:rFonts w:hint="default" w:ascii="Times New Roman" w:hAnsi="Times New Roman" w:eastAsia="宋体" w:cs="Times New Roman"/>
                      <w:color w:val="auto"/>
                      <w:sz w:val="21"/>
                      <w:szCs w:val="21"/>
                      <w:u w:val="none"/>
                    </w:rPr>
                    <w:t>%</w:t>
                  </w:r>
                </w:p>
              </w:tc>
              <w:tc>
                <w:tcPr>
                  <w:tcW w:w="1140" w:type="dxa"/>
                  <w:vAlign w:val="center"/>
                </w:tcPr>
                <w:p>
                  <w:pPr>
                    <w:spacing w:line="360" w:lineRule="auto"/>
                    <w:jc w:val="center"/>
                    <w:outlineLvl w:val="0"/>
                    <w:rPr>
                      <w:rFonts w:hint="default" w:ascii="Times New Roman" w:hAnsi="Times New Roman" w:eastAsia="宋体" w:cs="Times New Roman"/>
                      <w:color w:val="auto"/>
                      <w:sz w:val="21"/>
                      <w:szCs w:val="21"/>
                      <w:u w:val="none"/>
                    </w:rPr>
                  </w:pPr>
                  <w:r>
                    <w:rPr>
                      <w:rFonts w:hint="eastAsia" w:ascii="Times New Roman" w:hAnsi="Times New Roman" w:cs="Times New Roman"/>
                      <w:color w:val="auto"/>
                      <w:sz w:val="21"/>
                      <w:szCs w:val="21"/>
                      <w:u w:val="none"/>
                      <w:lang w:val="en-US" w:eastAsia="zh-CN"/>
                    </w:rPr>
                    <w:t>80</w:t>
                  </w:r>
                  <w:r>
                    <w:rPr>
                      <w:rFonts w:hint="default" w:ascii="Times New Roman" w:hAnsi="Times New Roman" w:eastAsia="宋体" w:cs="Times New Roman"/>
                      <w:color w:val="auto"/>
                      <w:sz w:val="21"/>
                      <w:szCs w:val="21"/>
                      <w:u w:val="none"/>
                    </w:rPr>
                    <w:t>%</w:t>
                  </w:r>
                </w:p>
              </w:tc>
              <w:tc>
                <w:tcPr>
                  <w:tcW w:w="1106" w:type="dxa"/>
                  <w:vAlign w:val="center"/>
                </w:tcPr>
                <w:p>
                  <w:pPr>
                    <w:spacing w:line="360" w:lineRule="auto"/>
                    <w:jc w:val="center"/>
                    <w:outlineLvl w:val="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2</w:t>
                  </w:r>
                  <w:r>
                    <w:rPr>
                      <w:rFonts w:hint="default" w:ascii="Times New Roman" w:hAnsi="Times New Roman" w:eastAsia="宋体" w:cs="Times New Roman"/>
                      <w:color w:val="auto"/>
                      <w:sz w:val="21"/>
                      <w:szCs w:val="21"/>
                      <w:u w:val="none"/>
                    </w:rPr>
                    <w:t>5000m</w:t>
                  </w:r>
                  <w:r>
                    <w:rPr>
                      <w:rFonts w:hint="default" w:ascii="Times New Roman" w:hAnsi="Times New Roman" w:eastAsia="宋体" w:cs="Times New Roman"/>
                      <w:color w:val="auto"/>
                      <w:sz w:val="21"/>
                      <w:szCs w:val="21"/>
                      <w:u w:val="none"/>
                      <w:vertAlign w:val="superscript"/>
                    </w:rPr>
                    <w:t>3</w:t>
                  </w:r>
                  <w:r>
                    <w:rPr>
                      <w:rFonts w:hint="default" w:ascii="Times New Roman" w:hAnsi="Times New Roman" w:eastAsia="宋体" w:cs="Times New Roman"/>
                      <w:color w:val="auto"/>
                      <w:sz w:val="21"/>
                      <w:szCs w:val="21"/>
                      <w:u w:val="none"/>
                    </w:rPr>
                    <w:t>/h</w:t>
                  </w:r>
                </w:p>
              </w:tc>
              <w:tc>
                <w:tcPr>
                  <w:tcW w:w="919" w:type="dxa"/>
                  <w:vAlign w:val="center"/>
                </w:tcPr>
                <w:p>
                  <w:pPr>
                    <w:spacing w:line="360" w:lineRule="auto"/>
                    <w:jc w:val="center"/>
                    <w:outlineLvl w:val="0"/>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可行</w:t>
                  </w:r>
                </w:p>
              </w:tc>
            </w:tr>
          </w:tbl>
          <w:p>
            <w:pPr>
              <w:pStyle w:val="8"/>
              <w:spacing w:after="0"/>
              <w:ind w:left="0" w:leftChars="0" w:firstLine="0" w:firstLineChars="0"/>
              <w:jc w:val="center"/>
              <w:rPr>
                <w:rFonts w:hint="eastAsia" w:ascii="Times New Roman" w:hAnsi="Times New Roman"/>
                <w:b/>
                <w:color w:val="000000"/>
                <w:sz w:val="24"/>
              </w:rPr>
            </w:pPr>
            <w:r>
              <w:rPr>
                <w:rFonts w:hint="eastAsia" w:ascii="Times New Roman" w:hAnsi="Times New Roman"/>
                <w:b/>
                <w:color w:val="000000"/>
                <w:sz w:val="24"/>
              </w:rPr>
              <w:t>表4-</w:t>
            </w:r>
            <w:r>
              <w:rPr>
                <w:rFonts w:hint="eastAsia" w:ascii="Times New Roman" w:hAnsi="Times New Roman"/>
                <w:b/>
                <w:color w:val="000000"/>
                <w:sz w:val="24"/>
                <w:lang w:val="en-US" w:eastAsia="zh-CN"/>
              </w:rPr>
              <w:t>4</w:t>
            </w:r>
            <w:r>
              <w:rPr>
                <w:rFonts w:hint="eastAsia" w:ascii="Times New Roman" w:hAnsi="Times New Roman"/>
                <w:b/>
                <w:color w:val="000000"/>
                <w:sz w:val="24"/>
              </w:rPr>
              <w:t xml:space="preserve">    </w:t>
            </w:r>
            <w:r>
              <w:rPr>
                <w:rFonts w:hint="eastAsia" w:ascii="Times New Roman" w:hAnsi="Times New Roman"/>
                <w:b/>
                <w:color w:val="000000"/>
                <w:sz w:val="24"/>
                <w:lang w:val="en-US" w:eastAsia="zh-CN"/>
              </w:rPr>
              <w:t xml:space="preserve"> </w:t>
            </w:r>
            <w:r>
              <w:rPr>
                <w:rFonts w:hint="eastAsia" w:ascii="Times New Roman" w:hAnsi="Times New Roman"/>
                <w:b/>
                <w:color w:val="000000"/>
                <w:sz w:val="24"/>
              </w:rPr>
              <w:t>项目</w:t>
            </w:r>
            <w:r>
              <w:rPr>
                <w:rFonts w:hint="eastAsia" w:ascii="Times New Roman" w:hAnsi="Times New Roman"/>
                <w:b/>
                <w:color w:val="000000"/>
                <w:sz w:val="24"/>
                <w:lang w:val="en-US" w:eastAsia="zh-CN"/>
              </w:rPr>
              <w:t>有组织</w:t>
            </w:r>
            <w:r>
              <w:rPr>
                <w:rFonts w:hint="eastAsia"/>
                <w:b/>
                <w:bCs/>
                <w:color w:val="000000"/>
                <w:kern w:val="0"/>
                <w:sz w:val="24"/>
              </w:rPr>
              <w:t>废气排放口情况</w:t>
            </w:r>
            <w:r>
              <w:rPr>
                <w:b/>
                <w:bCs/>
                <w:color w:val="000000"/>
                <w:kern w:val="0"/>
                <w:sz w:val="24"/>
              </w:rPr>
              <w:t>一览表</w:t>
            </w:r>
          </w:p>
          <w:tbl>
            <w:tblPr>
              <w:tblStyle w:val="11"/>
              <w:tblW w:w="88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855"/>
              <w:gridCol w:w="945"/>
              <w:gridCol w:w="630"/>
              <w:gridCol w:w="555"/>
              <w:gridCol w:w="720"/>
              <w:gridCol w:w="870"/>
              <w:gridCol w:w="795"/>
              <w:gridCol w:w="914"/>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151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000000"/>
                      <w:spacing w:val="-10"/>
                      <w:sz w:val="21"/>
                      <w:szCs w:val="21"/>
                    </w:rPr>
                  </w:pPr>
                  <w:r>
                    <w:rPr>
                      <w:rFonts w:hint="default" w:ascii="Times New Roman" w:hAnsi="Times New Roman" w:eastAsia="宋体" w:cs="Times New Roman"/>
                      <w:color w:val="000000"/>
                      <w:sz w:val="21"/>
                      <w:szCs w:val="21"/>
                    </w:rPr>
                    <w:t>排污口名称</w:t>
                  </w:r>
                </w:p>
              </w:tc>
              <w:tc>
                <w:tcPr>
                  <w:tcW w:w="85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000000"/>
                      <w:spacing w:val="-10"/>
                      <w:sz w:val="21"/>
                      <w:szCs w:val="21"/>
                    </w:rPr>
                  </w:pPr>
                  <w:r>
                    <w:rPr>
                      <w:rFonts w:hint="default" w:ascii="Times New Roman" w:hAnsi="Times New Roman" w:eastAsia="宋体" w:cs="Times New Roman"/>
                      <w:color w:val="000000"/>
                      <w:sz w:val="21"/>
                      <w:szCs w:val="21"/>
                    </w:rPr>
                    <w:t>排污口编号</w:t>
                  </w:r>
                </w:p>
              </w:tc>
              <w:tc>
                <w:tcPr>
                  <w:tcW w:w="94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污染物种类</w:t>
                  </w:r>
                </w:p>
              </w:tc>
              <w:tc>
                <w:tcPr>
                  <w:tcW w:w="4484" w:type="dxa"/>
                  <w:gridSpan w:val="6"/>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排放口基本情况</w:t>
                  </w:r>
                </w:p>
              </w:tc>
              <w:tc>
                <w:tcPr>
                  <w:tcW w:w="104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排放标准mg/m</w:t>
                  </w:r>
                  <w:r>
                    <w:rPr>
                      <w:rFonts w:hint="default" w:ascii="Times New Roman" w:hAnsi="Times New Roman" w:eastAsia="宋体"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519"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p>
              </w:tc>
              <w:tc>
                <w:tcPr>
                  <w:tcW w:w="85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p>
              </w:tc>
              <w:tc>
                <w:tcPr>
                  <w:tcW w:w="94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p>
              </w:tc>
              <w:tc>
                <w:tcPr>
                  <w:tcW w:w="63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000000"/>
                      <w:spacing w:val="-10"/>
                      <w:sz w:val="21"/>
                      <w:szCs w:val="21"/>
                    </w:rPr>
                  </w:pPr>
                  <w:r>
                    <w:rPr>
                      <w:rFonts w:hint="default" w:ascii="Times New Roman" w:hAnsi="Times New Roman" w:eastAsia="宋体" w:cs="Times New Roman"/>
                      <w:color w:val="000000"/>
                      <w:sz w:val="21"/>
                      <w:szCs w:val="21"/>
                    </w:rPr>
                    <w:t>高度/m</w:t>
                  </w:r>
                </w:p>
              </w:tc>
              <w:tc>
                <w:tcPr>
                  <w:tcW w:w="55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内径/m</w:t>
                  </w:r>
                </w:p>
              </w:tc>
              <w:tc>
                <w:tcPr>
                  <w:tcW w:w="72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温度/℃</w:t>
                  </w:r>
                </w:p>
              </w:tc>
              <w:tc>
                <w:tcPr>
                  <w:tcW w:w="1665" w:type="dxa"/>
                  <w:gridSpan w:val="2"/>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坐标</w:t>
                  </w:r>
                </w:p>
              </w:tc>
              <w:tc>
                <w:tcPr>
                  <w:tcW w:w="914" w:type="dxa"/>
                  <w:vMerge w:val="restart"/>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类型</w:t>
                  </w:r>
                </w:p>
              </w:tc>
              <w:tc>
                <w:tcPr>
                  <w:tcW w:w="104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 w:hRule="atLeast"/>
                <w:jc w:val="center"/>
              </w:trPr>
              <w:tc>
                <w:tcPr>
                  <w:tcW w:w="1519"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p>
              </w:tc>
              <w:tc>
                <w:tcPr>
                  <w:tcW w:w="85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p>
              </w:tc>
              <w:tc>
                <w:tcPr>
                  <w:tcW w:w="94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p>
              </w:tc>
              <w:tc>
                <w:tcPr>
                  <w:tcW w:w="63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p>
              </w:tc>
              <w:tc>
                <w:tcPr>
                  <w:tcW w:w="55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000000"/>
                      <w:sz w:val="21"/>
                      <w:szCs w:val="21"/>
                    </w:rPr>
                  </w:pPr>
                </w:p>
              </w:tc>
              <w:tc>
                <w:tcPr>
                  <w:tcW w:w="72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000000"/>
                      <w:sz w:val="21"/>
                      <w:szCs w:val="21"/>
                    </w:rPr>
                  </w:pPr>
                </w:p>
              </w:tc>
              <w:tc>
                <w:tcPr>
                  <w:tcW w:w="87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Y</w:t>
                  </w:r>
                </w:p>
              </w:tc>
              <w:tc>
                <w:tcPr>
                  <w:tcW w:w="79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X</w:t>
                  </w:r>
                </w:p>
              </w:tc>
              <w:tc>
                <w:tcPr>
                  <w:tcW w:w="91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p>
              </w:tc>
              <w:tc>
                <w:tcPr>
                  <w:tcW w:w="104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1519"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有机废气治理设施</w:t>
                  </w:r>
                  <w:r>
                    <w:rPr>
                      <w:rFonts w:hint="default" w:ascii="Times New Roman" w:hAnsi="Times New Roman" w:eastAsia="宋体" w:cs="Times New Roman"/>
                      <w:color w:val="000000"/>
                      <w:sz w:val="21"/>
                      <w:szCs w:val="21"/>
                      <w:lang w:val="en-US" w:eastAsia="zh-CN"/>
                    </w:rPr>
                    <w:t>排气筒</w:t>
                  </w:r>
                </w:p>
              </w:tc>
              <w:tc>
                <w:tcPr>
                  <w:tcW w:w="855"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DA001</w:t>
                  </w:r>
                </w:p>
              </w:tc>
              <w:tc>
                <w:tcPr>
                  <w:tcW w:w="945"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非甲烷总烃</w:t>
                  </w:r>
                </w:p>
              </w:tc>
              <w:tc>
                <w:tcPr>
                  <w:tcW w:w="63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15</w:t>
                  </w:r>
                </w:p>
              </w:tc>
              <w:tc>
                <w:tcPr>
                  <w:tcW w:w="555"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val="en-US" w:eastAsia="zh-CN"/>
                    </w:rPr>
                    <w:t>1</w:t>
                  </w:r>
                </w:p>
              </w:tc>
              <w:tc>
                <w:tcPr>
                  <w:tcW w:w="72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u w:val="none"/>
                      <w:lang w:val="en-US" w:eastAsia="zh-CN"/>
                    </w:rPr>
                    <w:t>50</w:t>
                  </w:r>
                </w:p>
              </w:tc>
              <w:tc>
                <w:tcPr>
                  <w:tcW w:w="87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112.7566766</w:t>
                  </w:r>
                </w:p>
              </w:tc>
              <w:tc>
                <w:tcPr>
                  <w:tcW w:w="795" w:type="dxa"/>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33.2549909</w:t>
                  </w:r>
                </w:p>
              </w:tc>
              <w:tc>
                <w:tcPr>
                  <w:tcW w:w="914" w:type="dxa"/>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一般排放口</w:t>
                  </w:r>
                </w:p>
              </w:tc>
              <w:tc>
                <w:tcPr>
                  <w:tcW w:w="104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500"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1.2措施可行性分析及其影响分析</w:t>
            </w:r>
          </w:p>
          <w:p>
            <w:pPr>
              <w:tabs>
                <w:tab w:val="left" w:pos="1081"/>
              </w:tabs>
              <w:adjustRightInd w:val="0"/>
              <w:snapToGrid w:val="0"/>
              <w:spacing w:line="360" w:lineRule="auto"/>
              <w:ind w:firstLine="500" w:firstLineChars="200"/>
              <w:rPr>
                <w:rFonts w:hint="default" w:ascii="Times New Roman" w:hAnsi="Times New Roman" w:eastAsia="宋体" w:cs="Times New Roman"/>
                <w:color w:val="000000"/>
                <w:sz w:val="24"/>
                <w:u w:val="none"/>
              </w:rPr>
            </w:pPr>
            <w:r>
              <w:rPr>
                <w:rFonts w:hint="default" w:ascii="Times New Roman" w:hAnsi="Times New Roman" w:eastAsia="宋体" w:cs="Times New Roman"/>
                <w:color w:val="000000"/>
                <w:sz w:val="24"/>
                <w:u w:val="none"/>
              </w:rPr>
              <w:t>项目熔融挤出工序会产生有机废气，分别在每台熔融机顶部强制排气口处安装负压集气管道、在每台挤出机挤出口设置半封闭集气罩，各工序有机废气经集气收集后通过管道集中引至1套流式喷淋塔+除湿干燥装置+UV光氧催化设备+活性炭吸附装置处理后经1根15m高排气筒DA001引至高空排放</w:t>
            </w:r>
            <w:r>
              <w:rPr>
                <w:rFonts w:hint="default" w:ascii="Times New Roman" w:hAnsi="Times New Roman" w:eastAsia="宋体" w:cs="Times New Roman"/>
                <w:color w:val="000000"/>
                <w:sz w:val="24"/>
                <w:u w:val="none"/>
                <w:lang w:eastAsia="zh-CN"/>
              </w:rPr>
              <w:t>。</w:t>
            </w:r>
            <w:r>
              <w:rPr>
                <w:rFonts w:hint="default" w:ascii="Times New Roman" w:hAnsi="Times New Roman" w:eastAsia="宋体" w:cs="Times New Roman"/>
                <w:color w:val="000000"/>
                <w:sz w:val="24"/>
                <w:u w:val="none"/>
              </w:rPr>
              <w:t>项目各工序废气收集措施均可保证废气收集效率，废气集气效率可达9</w:t>
            </w:r>
            <w:r>
              <w:rPr>
                <w:rFonts w:hint="default" w:ascii="Times New Roman" w:hAnsi="Times New Roman" w:eastAsia="宋体" w:cs="Times New Roman"/>
                <w:color w:val="000000"/>
                <w:sz w:val="24"/>
                <w:u w:val="none"/>
                <w:lang w:val="en-US" w:eastAsia="zh-CN"/>
              </w:rPr>
              <w:t>0</w:t>
            </w:r>
            <w:r>
              <w:rPr>
                <w:rFonts w:hint="default" w:ascii="Times New Roman" w:hAnsi="Times New Roman" w:eastAsia="宋体" w:cs="Times New Roman"/>
                <w:color w:val="000000"/>
                <w:sz w:val="24"/>
                <w:u w:val="none"/>
              </w:rPr>
              <w:t>%以上。</w:t>
            </w:r>
          </w:p>
          <w:p>
            <w:pPr>
              <w:adjustRightInd w:val="0"/>
              <w:snapToGrid w:val="0"/>
              <w:spacing w:line="360" w:lineRule="auto"/>
              <w:ind w:firstLine="500" w:firstLineChars="200"/>
              <w:rPr>
                <w:rFonts w:hint="default" w:ascii="Times New Roman" w:hAnsi="Times New Roman" w:eastAsia="宋体" w:cs="Times New Roman"/>
                <w:bCs/>
                <w:color w:val="000000"/>
                <w:sz w:val="24"/>
                <w:lang w:val="en-US" w:eastAsia="zh-CN"/>
              </w:rPr>
            </w:pPr>
            <w:r>
              <w:rPr>
                <w:rFonts w:hint="eastAsia" w:ascii="Times New Roman" w:hAnsi="Times New Roman" w:cs="Times New Roman"/>
                <w:b/>
                <w:bCs w:val="0"/>
                <w:color w:val="000000"/>
                <w:sz w:val="24"/>
                <w:lang w:val="en-US" w:eastAsia="zh-CN"/>
              </w:rPr>
              <w:t>喷淋塔工作原理：</w:t>
            </w:r>
            <w:r>
              <w:rPr>
                <w:rFonts w:hint="eastAsia" w:ascii="Times New Roman" w:hAnsi="Times New Roman" w:cs="Times New Roman"/>
                <w:bCs/>
                <w:color w:val="000000"/>
                <w:sz w:val="24"/>
                <w:lang w:val="en-US" w:eastAsia="zh-CN"/>
              </w:rPr>
              <w:t>废气由集气罩预先收集，由风机连续输送到喷淋塔，再由通风管道的送作用输送到系统的喷淋塔，在此气体被酸性洗涤液(碱性洗涤液)喷淋洗涤。废气有机气体成分与酸性(碱性)水雾充分接触混合，发生中和反应，形成良好的气液交汇。喷出的水雾在喷淋塔的填料层中形成具有大的多孔接触面的处理层，进一步处理有机废气。</w:t>
            </w:r>
          </w:p>
          <w:p>
            <w:pPr>
              <w:adjustRightInd w:val="0"/>
              <w:snapToGrid w:val="0"/>
              <w:spacing w:line="360" w:lineRule="auto"/>
              <w:ind w:firstLine="500" w:firstLineChars="200"/>
              <w:rPr>
                <w:rFonts w:hint="default" w:ascii="Times New Roman" w:hAnsi="Times New Roman" w:eastAsia="宋体" w:cs="Times New Roman"/>
                <w:bCs/>
                <w:color w:val="000000"/>
                <w:sz w:val="24"/>
              </w:rPr>
            </w:pPr>
            <w:r>
              <w:rPr>
                <w:rFonts w:hint="default" w:ascii="Times New Roman" w:hAnsi="Times New Roman" w:eastAsia="宋体" w:cs="Times New Roman"/>
                <w:b/>
                <w:bCs w:val="0"/>
                <w:color w:val="000000"/>
                <w:sz w:val="24"/>
                <w:lang w:val="en-US" w:eastAsia="zh-CN"/>
              </w:rPr>
              <w:t>UV光氧催化</w:t>
            </w:r>
            <w:r>
              <w:rPr>
                <w:rFonts w:hint="default" w:ascii="Times New Roman" w:hAnsi="Times New Roman" w:eastAsia="宋体" w:cs="Times New Roman"/>
                <w:b/>
                <w:bCs w:val="0"/>
                <w:color w:val="000000"/>
                <w:sz w:val="24"/>
              </w:rPr>
              <w:t>设备原理</w:t>
            </w:r>
            <w:r>
              <w:rPr>
                <w:rFonts w:hint="default" w:ascii="Times New Roman" w:hAnsi="Times New Roman" w:eastAsia="宋体" w:cs="Times New Roman"/>
                <w:b/>
                <w:bCs w:val="0"/>
                <w:color w:val="000000"/>
                <w:sz w:val="24"/>
                <w:lang w:eastAsia="zh-CN"/>
              </w:rPr>
              <w:t>：</w:t>
            </w:r>
            <w:r>
              <w:rPr>
                <w:rFonts w:hint="default" w:ascii="Times New Roman" w:hAnsi="Times New Roman" w:eastAsia="宋体" w:cs="Times New Roman"/>
                <w:bCs/>
                <w:color w:val="000000"/>
                <w:sz w:val="24"/>
              </w:rPr>
              <w:t>UV光氧催化原理：光氧催化器由机壳，紫外线灯管，电控箱组成。利用高能高臭氧UV紫外线光束（发出的波长主要为182nm及254nm）照射有机气体</w:t>
            </w:r>
            <w:r>
              <w:rPr>
                <w:rFonts w:hint="default" w:ascii="Times New Roman" w:hAnsi="Times New Roman" w:eastAsia="宋体" w:cs="Times New Roman"/>
                <w:bCs/>
                <w:color w:val="000000"/>
                <w:sz w:val="24"/>
                <w:lang w:eastAsia="zh-CN"/>
              </w:rPr>
              <w:t>，</w:t>
            </w:r>
            <w:r>
              <w:rPr>
                <w:rFonts w:hint="default" w:ascii="Times New Roman" w:hAnsi="Times New Roman" w:eastAsia="宋体" w:cs="Times New Roman"/>
                <w:bCs/>
                <w:color w:val="000000"/>
                <w:sz w:val="24"/>
              </w:rPr>
              <w:t>裂解有机废气（VOC类）苯、甲苯、二甲苯等分子链结构，使有机化合物分子链</w:t>
            </w:r>
            <w:r>
              <w:rPr>
                <w:rFonts w:hint="default" w:ascii="Times New Roman" w:hAnsi="Times New Roman" w:eastAsia="宋体" w:cs="Times New Roman"/>
                <w:bCs/>
                <w:color w:val="000000"/>
                <w:sz w:val="24"/>
                <w:lang w:eastAsia="zh-CN"/>
              </w:rPr>
              <w:t>，</w:t>
            </w:r>
            <w:r>
              <w:rPr>
                <w:rFonts w:hint="default" w:ascii="Times New Roman" w:hAnsi="Times New Roman" w:eastAsia="宋体" w:cs="Times New Roman"/>
                <w:bCs/>
                <w:color w:val="000000"/>
                <w:sz w:val="24"/>
              </w:rPr>
              <w:t>在高能紫外线光束照射下，降解转变成低分子化合物，如CO2、H2O等。高能高臭氧紫外线光束分解空气中的氧分子产生游离氧，即活性氧，因游离氧所携正负电子不平衡所以需与氧分子结合，进而产生臭氧。</w:t>
            </w:r>
          </w:p>
          <w:p>
            <w:pPr>
              <w:adjustRightInd w:val="0"/>
              <w:snapToGrid w:val="0"/>
              <w:spacing w:line="360" w:lineRule="auto"/>
              <w:ind w:firstLine="500" w:firstLineChars="200"/>
              <w:rPr>
                <w:rFonts w:hint="default" w:ascii="Times New Roman" w:hAnsi="Times New Roman" w:eastAsia="宋体" w:cs="Times New Roman"/>
                <w:bCs/>
                <w:color w:val="000000"/>
                <w:sz w:val="24"/>
              </w:rPr>
            </w:pPr>
            <w:r>
              <w:rPr>
                <w:rFonts w:hint="default" w:ascii="Times New Roman" w:hAnsi="Times New Roman" w:eastAsia="宋体" w:cs="Times New Roman"/>
                <w:bCs/>
                <w:color w:val="000000"/>
                <w:sz w:val="24"/>
              </w:rPr>
              <w:t>UV+O</w:t>
            </w:r>
            <w:r>
              <w:rPr>
                <w:rFonts w:hint="default" w:ascii="Times New Roman" w:hAnsi="Times New Roman" w:eastAsia="宋体" w:cs="Times New Roman"/>
                <w:bCs/>
                <w:color w:val="000000"/>
                <w:sz w:val="24"/>
                <w:vertAlign w:val="subscript"/>
              </w:rPr>
              <w:t>2</w:t>
            </w:r>
            <w:r>
              <w:rPr>
                <w:rFonts w:hint="default" w:ascii="Times New Roman" w:hAnsi="Times New Roman" w:eastAsia="宋体" w:cs="Times New Roman"/>
                <w:bCs/>
                <w:color w:val="000000"/>
                <w:sz w:val="24"/>
              </w:rPr>
              <w:t>→O-+O*（活性氧）O+O</w:t>
            </w:r>
            <w:r>
              <w:rPr>
                <w:rFonts w:hint="default" w:ascii="Times New Roman" w:hAnsi="Times New Roman" w:eastAsia="宋体" w:cs="Times New Roman"/>
                <w:bCs/>
                <w:color w:val="000000"/>
                <w:sz w:val="24"/>
                <w:vertAlign w:val="subscript"/>
              </w:rPr>
              <w:t>2</w:t>
            </w:r>
            <w:r>
              <w:rPr>
                <w:rFonts w:hint="default" w:ascii="Times New Roman" w:hAnsi="Times New Roman" w:eastAsia="宋体" w:cs="Times New Roman"/>
                <w:bCs/>
                <w:color w:val="000000"/>
                <w:sz w:val="24"/>
              </w:rPr>
              <w:t>→O</w:t>
            </w:r>
            <w:r>
              <w:rPr>
                <w:rFonts w:hint="default" w:ascii="Times New Roman" w:hAnsi="Times New Roman" w:eastAsia="宋体" w:cs="Times New Roman"/>
                <w:bCs/>
                <w:color w:val="000000"/>
                <w:sz w:val="24"/>
                <w:vertAlign w:val="subscript"/>
              </w:rPr>
              <w:t>3</w:t>
            </w:r>
            <w:r>
              <w:rPr>
                <w:rFonts w:hint="default" w:ascii="Times New Roman" w:hAnsi="Times New Roman" w:eastAsia="宋体" w:cs="Times New Roman"/>
                <w:bCs/>
                <w:color w:val="000000"/>
                <w:sz w:val="24"/>
              </w:rPr>
              <w:t>（臭氧），臭氧对有机物具有极强的氧化作用，对有机气体及其它刺激性异味有立竿见影的清除效果。灯管两边的催化层（催化剂纳米二氧化钛）在受到紫外线光照射时生成化学活泼性很强的超氧化物阴离子自由基和氢氧自由基，攻击有机物，达到降解有机物的作用。二氧化钛属于非溶出型材料，在彻底分解有机污染物的同时，自身不分解、不溶出，光催化作用持久，并具有持久的降解污染物效果。有机气体通过管道进入本净化设备后，净化设备运用高能紫外线光束及臭氧对有机气体进行协同分解氧化反应，使有机气体物质降解转化成低分子化合物、水和二氧化碳。</w:t>
            </w:r>
          </w:p>
          <w:p>
            <w:pPr>
              <w:widowControl/>
              <w:snapToGrid w:val="0"/>
              <w:spacing w:line="360" w:lineRule="auto"/>
              <w:ind w:firstLine="482"/>
              <w:rPr>
                <w:rFonts w:hint="default" w:ascii="Times New Roman" w:hAnsi="Times New Roman" w:eastAsia="宋体" w:cs="Times New Roman"/>
                <w:bCs/>
                <w:color w:val="000000"/>
                <w:sz w:val="24"/>
              </w:rPr>
            </w:pPr>
            <w:r>
              <w:rPr>
                <w:rFonts w:hint="default" w:ascii="Times New Roman" w:hAnsi="Times New Roman" w:eastAsia="宋体" w:cs="Times New Roman"/>
                <w:color w:val="000000"/>
                <w:sz w:val="24"/>
              </w:rPr>
              <w:t>活性炭吸附原理：活性炭是一种很细小的炭粒，有很大的表面积，而且炭粒中还有更细小的孔——毛细管。这种毛细管具有很强的吸附能力，由于炭粒的表面积很大，所以能与气体（有机废气）充分接触，当这些气体（有机废气）碰到毛细管就被吸附起净化作用。当废气由风机提供动力，负压进入吸附箱后进入活性炭吸附层，由于活性炭吸附剂表面上存在着未平衡和未饱和的分子引力或化学键力，因此当活性炭吸附剂的表面与气体接触时，就能吸引气体分子，使其浓聚并保持在活性炭表面，此现象称为吸附。利用活性炭吸附剂表面的吸附能力，使废气与大表面的多孔性活性炭吸附剂相接触，废气中的污染物被吸附在活性炭表面上，使其与气体混合物分离，净化后的气体高空排放</w:t>
            </w:r>
            <w:r>
              <w:rPr>
                <w:rFonts w:hint="default" w:ascii="Times New Roman" w:hAnsi="Times New Roman" w:eastAsia="宋体" w:cs="Times New Roman"/>
                <w:bCs/>
                <w:color w:val="000000"/>
                <w:sz w:val="24"/>
              </w:rPr>
              <w:t>。查询资料，根据废气组分的不同</w:t>
            </w:r>
            <w:r>
              <w:rPr>
                <w:rFonts w:hint="default" w:ascii="Times New Roman" w:hAnsi="Times New Roman" w:eastAsia="宋体" w:cs="Times New Roman"/>
                <w:bCs/>
                <w:color w:val="000000"/>
                <w:sz w:val="24"/>
                <w:lang w:eastAsia="zh-CN"/>
              </w:rPr>
              <w:t>，</w:t>
            </w:r>
            <w:r>
              <w:rPr>
                <w:rFonts w:hint="default" w:ascii="Times New Roman" w:hAnsi="Times New Roman" w:eastAsia="宋体" w:cs="Times New Roman"/>
                <w:bCs/>
                <w:color w:val="000000"/>
                <w:sz w:val="24"/>
              </w:rPr>
              <w:t>一级活性炭处理效率一般在 60%~70%。</w:t>
            </w:r>
          </w:p>
          <w:p>
            <w:pPr>
              <w:widowControl/>
              <w:snapToGrid w:val="0"/>
              <w:spacing w:line="360" w:lineRule="auto"/>
              <w:ind w:firstLine="482"/>
              <w:jc w:val="both"/>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lang w:val="en-US" w:eastAsia="zh-CN"/>
              </w:rPr>
              <w:t>本</w:t>
            </w:r>
            <w:r>
              <w:rPr>
                <w:rFonts w:hint="default" w:ascii="Times New Roman" w:hAnsi="Times New Roman" w:eastAsia="宋体" w:cs="Times New Roman"/>
                <w:color w:val="000000"/>
                <w:sz w:val="24"/>
              </w:rPr>
              <w:t>项目</w:t>
            </w:r>
            <w:r>
              <w:rPr>
                <w:rFonts w:hint="default" w:ascii="Times New Roman" w:hAnsi="Times New Roman" w:eastAsia="宋体" w:cs="Times New Roman"/>
                <w:color w:val="000000"/>
                <w:sz w:val="24"/>
                <w:lang w:val="en-US" w:eastAsia="zh-CN"/>
              </w:rPr>
              <w:t>有机</w:t>
            </w:r>
            <w:r>
              <w:rPr>
                <w:rFonts w:hint="default" w:ascii="Times New Roman" w:hAnsi="Times New Roman" w:eastAsia="宋体" w:cs="Times New Roman"/>
                <w:color w:val="000000"/>
                <w:sz w:val="24"/>
              </w:rPr>
              <w:t>废气采用</w:t>
            </w:r>
            <w:r>
              <w:rPr>
                <w:rFonts w:hint="default" w:ascii="Times New Roman" w:hAnsi="Times New Roman" w:eastAsia="宋体" w:cs="Times New Roman"/>
                <w:color w:val="000000"/>
                <w:sz w:val="24"/>
                <w:lang w:val="en-US" w:eastAsia="zh-CN"/>
              </w:rPr>
              <w:t>旋流式喷淋塔+除湿干燥装置+UV光氧催化设备+活性炭吸附装置</w:t>
            </w:r>
            <w:r>
              <w:rPr>
                <w:rFonts w:hint="default" w:ascii="Times New Roman" w:hAnsi="Times New Roman" w:eastAsia="宋体" w:cs="Times New Roman"/>
                <w:color w:val="000000"/>
                <w:sz w:val="24"/>
              </w:rPr>
              <w:t>组合工艺</w:t>
            </w:r>
            <w:r>
              <w:rPr>
                <w:rFonts w:hint="default" w:ascii="Times New Roman" w:hAnsi="Times New Roman" w:eastAsia="宋体" w:cs="Times New Roman"/>
                <w:color w:val="000000"/>
                <w:sz w:val="24"/>
                <w:lang w:val="en-US" w:eastAsia="zh-CN"/>
              </w:rPr>
              <w:t>处理</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有机废气</w:t>
            </w:r>
            <w:r>
              <w:rPr>
                <w:rFonts w:hint="eastAsia" w:ascii="Times New Roman" w:hAnsi="Times New Roman" w:cs="Times New Roman"/>
                <w:color w:val="000000"/>
                <w:sz w:val="24"/>
                <w:lang w:eastAsia="zh-CN"/>
              </w:rPr>
              <w:t>先经</w:t>
            </w:r>
            <w:r>
              <w:rPr>
                <w:rFonts w:hint="default" w:ascii="Times New Roman" w:hAnsi="Times New Roman" w:eastAsia="宋体" w:cs="Times New Roman"/>
                <w:color w:val="000000"/>
                <w:sz w:val="24"/>
                <w:lang w:val="en-US" w:eastAsia="zh-CN"/>
              </w:rPr>
              <w:t>旋流式喷淋塔</w:t>
            </w:r>
            <w:r>
              <w:rPr>
                <w:rFonts w:hint="eastAsia" w:ascii="Times New Roman" w:hAnsi="Times New Roman" w:cs="Times New Roman"/>
                <w:color w:val="000000"/>
                <w:sz w:val="24"/>
                <w:lang w:val="en-US" w:eastAsia="zh-CN"/>
              </w:rPr>
              <w:t>去除，再</w:t>
            </w:r>
            <w:r>
              <w:rPr>
                <w:rFonts w:hint="default" w:ascii="Times New Roman" w:hAnsi="Times New Roman" w:eastAsia="宋体" w:cs="Times New Roman"/>
                <w:color w:val="000000"/>
                <w:sz w:val="24"/>
              </w:rPr>
              <w:t>经</w:t>
            </w:r>
            <w:r>
              <w:rPr>
                <w:rFonts w:hint="default" w:ascii="Times New Roman" w:hAnsi="Times New Roman" w:eastAsia="宋体" w:cs="Times New Roman"/>
                <w:color w:val="000000"/>
                <w:sz w:val="24"/>
                <w:lang w:val="en-US" w:eastAsia="zh-CN"/>
              </w:rPr>
              <w:t>活性炭</w:t>
            </w:r>
            <w:r>
              <w:rPr>
                <w:rFonts w:hint="default" w:ascii="Times New Roman" w:hAnsi="Times New Roman" w:eastAsia="宋体" w:cs="Times New Roman"/>
                <w:color w:val="000000"/>
                <w:sz w:val="24"/>
              </w:rPr>
              <w:t>吸附</w:t>
            </w:r>
            <w:r>
              <w:rPr>
                <w:rFonts w:hint="default" w:ascii="Times New Roman" w:hAnsi="Times New Roman" w:eastAsia="宋体" w:cs="Times New Roman"/>
                <w:color w:val="000000"/>
                <w:sz w:val="24"/>
                <w:lang w:val="en-US" w:eastAsia="zh-CN"/>
              </w:rPr>
              <w:t>去除</w:t>
            </w:r>
            <w:r>
              <w:rPr>
                <w:rFonts w:hint="default" w:ascii="Times New Roman" w:hAnsi="Times New Roman" w:eastAsia="宋体" w:cs="Times New Roman"/>
                <w:color w:val="000000"/>
                <w:sz w:val="24"/>
              </w:rPr>
              <w:t>，</w:t>
            </w:r>
            <w:r>
              <w:rPr>
                <w:rFonts w:hint="eastAsia" w:ascii="Times New Roman" w:hAnsi="Times New Roman" w:cs="Times New Roman"/>
                <w:color w:val="000000"/>
                <w:sz w:val="24"/>
                <w:lang w:eastAsia="zh-CN"/>
              </w:rPr>
              <w:t>最后</w:t>
            </w:r>
            <w:r>
              <w:rPr>
                <w:rFonts w:hint="default" w:ascii="Times New Roman" w:hAnsi="Times New Roman" w:eastAsia="宋体" w:cs="Times New Roman"/>
                <w:color w:val="000000"/>
                <w:sz w:val="24"/>
              </w:rPr>
              <w:t>再进入UV光氧催化设备进一步处理，利用光催化氧化技术</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采用TiO</w:t>
            </w:r>
            <w:r>
              <w:rPr>
                <w:rFonts w:hint="default" w:ascii="Times New Roman" w:hAnsi="Times New Roman" w:eastAsia="宋体" w:cs="Times New Roman"/>
                <w:color w:val="000000"/>
                <w:sz w:val="24"/>
                <w:vertAlign w:val="subscript"/>
              </w:rPr>
              <w:t>2</w:t>
            </w:r>
            <w:r>
              <w:rPr>
                <w:rFonts w:hint="default" w:ascii="Times New Roman" w:hAnsi="Times New Roman" w:eastAsia="宋体" w:cs="Times New Roman"/>
                <w:color w:val="000000"/>
                <w:sz w:val="24"/>
              </w:rPr>
              <w:t>作为催化剂</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将有机废气氧化生产H</w:t>
            </w:r>
            <w:r>
              <w:rPr>
                <w:rFonts w:hint="default" w:ascii="Times New Roman" w:hAnsi="Times New Roman" w:eastAsia="宋体" w:cs="Times New Roman"/>
                <w:color w:val="000000"/>
                <w:sz w:val="24"/>
                <w:vertAlign w:val="subscript"/>
              </w:rPr>
              <w:t>2</w:t>
            </w:r>
            <w:r>
              <w:rPr>
                <w:rFonts w:hint="default" w:ascii="Times New Roman" w:hAnsi="Times New Roman" w:eastAsia="宋体" w:cs="Times New Roman"/>
                <w:color w:val="000000"/>
                <w:sz w:val="24"/>
              </w:rPr>
              <w:t>O和CO</w:t>
            </w:r>
            <w:r>
              <w:rPr>
                <w:rFonts w:hint="default" w:ascii="Times New Roman" w:hAnsi="Times New Roman" w:eastAsia="宋体" w:cs="Times New Roman"/>
                <w:color w:val="000000"/>
                <w:sz w:val="24"/>
                <w:vertAlign w:val="subscript"/>
              </w:rPr>
              <w:t>2</w:t>
            </w:r>
            <w:r>
              <w:rPr>
                <w:rFonts w:hint="default" w:ascii="Times New Roman" w:hAnsi="Times New Roman" w:eastAsia="宋体" w:cs="Times New Roman"/>
                <w:color w:val="000000"/>
                <w:sz w:val="24"/>
                <w:vertAlign w:val="baseline"/>
                <w:lang w:eastAsia="zh-CN"/>
              </w:rPr>
              <w:t>，</w:t>
            </w:r>
            <w:r>
              <w:rPr>
                <w:rFonts w:hint="default" w:ascii="Times New Roman" w:hAnsi="Times New Roman" w:eastAsia="宋体" w:cs="Times New Roman"/>
                <w:color w:val="000000"/>
                <w:sz w:val="24"/>
              </w:rPr>
              <w:t>可彻底将有机废气净化</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达到其他单独工艺无法达到的效果</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对非甲烷总烃的</w:t>
            </w:r>
            <w:r>
              <w:rPr>
                <w:rFonts w:hint="default" w:ascii="Times New Roman" w:hAnsi="Times New Roman" w:eastAsia="宋体" w:cs="Times New Roman"/>
                <w:color w:val="000000"/>
                <w:sz w:val="24"/>
                <w:lang w:val="en-US" w:eastAsia="zh-CN"/>
              </w:rPr>
              <w:t>综合</w:t>
            </w:r>
            <w:r>
              <w:rPr>
                <w:rFonts w:hint="default" w:ascii="Times New Roman" w:hAnsi="Times New Roman" w:eastAsia="宋体" w:cs="Times New Roman"/>
                <w:color w:val="000000"/>
                <w:sz w:val="24"/>
              </w:rPr>
              <w:t>去除效率</w:t>
            </w:r>
            <w:r>
              <w:rPr>
                <w:rFonts w:hint="default" w:ascii="Times New Roman" w:hAnsi="Times New Roman" w:eastAsia="宋体" w:cs="Times New Roman"/>
                <w:color w:val="000000"/>
                <w:sz w:val="24"/>
                <w:lang w:val="en-US" w:eastAsia="zh-CN"/>
              </w:rPr>
              <w:t>达到</w:t>
            </w:r>
            <w:r>
              <w:rPr>
                <w:rFonts w:hint="eastAsia" w:ascii="Times New Roman" w:hAnsi="Times New Roman" w:cs="Times New Roman"/>
                <w:color w:val="000000"/>
                <w:sz w:val="24"/>
                <w:lang w:val="en-US" w:eastAsia="zh-CN"/>
              </w:rPr>
              <w:t>80</w:t>
            </w:r>
            <w:r>
              <w:rPr>
                <w:rFonts w:hint="default" w:ascii="Times New Roman" w:hAnsi="Times New Roman" w:eastAsia="宋体" w:cs="Times New Roman"/>
                <w:color w:val="000000"/>
                <w:sz w:val="24"/>
              </w:rPr>
              <w:t>%以上。</w:t>
            </w:r>
          </w:p>
          <w:p>
            <w:pPr>
              <w:widowControl/>
              <w:snapToGrid w:val="0"/>
              <w:spacing w:line="360" w:lineRule="auto"/>
              <w:ind w:firstLine="482"/>
              <w:rPr>
                <w:rFonts w:hint="default" w:ascii="Times New Roman" w:hAnsi="Times New Roman" w:eastAsia="宋体" w:cs="Times New Roman"/>
                <w:color w:val="000000"/>
                <w:kern w:val="0"/>
                <w:sz w:val="24"/>
                <w:u w:val="single"/>
              </w:rPr>
            </w:pPr>
            <w:r>
              <w:rPr>
                <w:rFonts w:hint="default" w:ascii="Times New Roman" w:hAnsi="Times New Roman" w:eastAsia="宋体" w:cs="Times New Roman"/>
                <w:color w:val="auto"/>
                <w:sz w:val="24"/>
                <w:u w:val="none"/>
                <w:lang w:val="en-US" w:eastAsia="zh-CN"/>
              </w:rPr>
              <w:t>“旋流式喷淋塔+除湿干燥装置+UV光氧催化设备+活性炭吸附装置”对项目有机废气的去除效率按</w:t>
            </w:r>
            <w:r>
              <w:rPr>
                <w:rFonts w:hint="eastAsia" w:ascii="Times New Roman" w:hAnsi="Times New Roman" w:cs="Times New Roman"/>
                <w:color w:val="auto"/>
                <w:sz w:val="24"/>
                <w:u w:val="none"/>
                <w:lang w:val="en-US" w:eastAsia="zh-CN"/>
              </w:rPr>
              <w:t>80</w:t>
            </w:r>
            <w:r>
              <w:rPr>
                <w:rFonts w:hint="default" w:ascii="Times New Roman" w:hAnsi="Times New Roman" w:eastAsia="宋体" w:cs="Times New Roman"/>
                <w:color w:val="auto"/>
                <w:sz w:val="24"/>
                <w:u w:val="none"/>
                <w:lang w:val="en-US" w:eastAsia="zh-CN"/>
              </w:rPr>
              <w:t>%计算，经</w:t>
            </w:r>
            <w:r>
              <w:rPr>
                <w:rFonts w:hint="default" w:ascii="Times New Roman" w:hAnsi="Times New Roman" w:eastAsia="宋体" w:cs="Times New Roman"/>
                <w:color w:val="auto"/>
                <w:kern w:val="0"/>
                <w:sz w:val="24"/>
                <w:u w:val="none"/>
              </w:rPr>
              <w:t>处理后非甲烷总烃排放速率为</w:t>
            </w:r>
            <w:r>
              <w:rPr>
                <w:rFonts w:hint="eastAsia" w:ascii="Times New Roman" w:hAnsi="Times New Roman" w:eastAsia="宋体" w:cs="Times New Roman"/>
                <w:color w:val="auto"/>
                <w:kern w:val="0"/>
                <w:sz w:val="24"/>
                <w:u w:val="none"/>
                <w:lang w:val="en-US" w:eastAsia="zh-CN"/>
              </w:rPr>
              <w:t>0.1</w:t>
            </w:r>
            <w:r>
              <w:rPr>
                <w:rFonts w:hint="eastAsia" w:ascii="Times New Roman" w:hAnsi="Times New Roman" w:cs="Times New Roman"/>
                <w:color w:val="auto"/>
                <w:kern w:val="0"/>
                <w:sz w:val="24"/>
                <w:u w:val="none"/>
                <w:lang w:val="en-US" w:eastAsia="zh-CN"/>
              </w:rPr>
              <w:t>31</w:t>
            </w:r>
            <w:r>
              <w:rPr>
                <w:rFonts w:hint="default" w:ascii="Times New Roman" w:hAnsi="Times New Roman" w:eastAsia="宋体" w:cs="Times New Roman"/>
                <w:color w:val="auto"/>
                <w:kern w:val="0"/>
                <w:sz w:val="24"/>
                <w:u w:val="none"/>
              </w:rPr>
              <w:t>kg/h，排放浓度为</w:t>
            </w:r>
            <w:r>
              <w:rPr>
                <w:rFonts w:hint="eastAsia" w:ascii="Times New Roman" w:hAnsi="Times New Roman" w:cs="Times New Roman"/>
                <w:color w:val="auto"/>
                <w:kern w:val="0"/>
                <w:sz w:val="24"/>
                <w:u w:val="none"/>
                <w:lang w:val="en-US" w:eastAsia="zh-CN"/>
              </w:rPr>
              <w:t>5.25</w:t>
            </w:r>
            <w:r>
              <w:rPr>
                <w:rFonts w:hint="default" w:ascii="Times New Roman" w:hAnsi="Times New Roman" w:eastAsia="宋体" w:cs="Times New Roman"/>
                <w:color w:val="auto"/>
                <w:kern w:val="0"/>
                <w:sz w:val="24"/>
                <w:u w:val="none"/>
              </w:rPr>
              <w:t>mg/m</w:t>
            </w:r>
            <w:r>
              <w:rPr>
                <w:rFonts w:hint="default" w:ascii="Times New Roman" w:hAnsi="Times New Roman" w:eastAsia="宋体" w:cs="Times New Roman"/>
                <w:color w:val="auto"/>
                <w:kern w:val="0"/>
                <w:sz w:val="24"/>
                <w:u w:val="none"/>
                <w:vertAlign w:val="superscript"/>
              </w:rPr>
              <w:t>3</w:t>
            </w:r>
            <w:r>
              <w:rPr>
                <w:rFonts w:hint="default" w:ascii="Times New Roman" w:hAnsi="Times New Roman" w:eastAsia="宋体" w:cs="Times New Roman"/>
                <w:color w:val="auto"/>
                <w:kern w:val="0"/>
                <w:sz w:val="24"/>
                <w:u w:val="none"/>
              </w:rPr>
              <w:t>，</w:t>
            </w:r>
            <w:r>
              <w:rPr>
                <w:rFonts w:hint="default" w:ascii="Times New Roman" w:hAnsi="Times New Roman" w:eastAsia="宋体" w:cs="Times New Roman"/>
                <w:color w:val="000000"/>
                <w:kern w:val="0"/>
                <w:sz w:val="24"/>
                <w:u w:val="none"/>
              </w:rPr>
              <w:t>可以满足《合成树脂工业污染物排放标准》（GB31572-2015）中表4标准</w:t>
            </w:r>
            <w:r>
              <w:rPr>
                <w:rFonts w:hint="eastAsia" w:ascii="Times New Roman" w:hAnsi="Times New Roman" w:eastAsia="宋体" w:cs="Times New Roman"/>
                <w:color w:val="000000"/>
                <w:kern w:val="0"/>
                <w:sz w:val="24"/>
                <w:u w:val="none"/>
                <w:lang w:eastAsia="zh-CN"/>
              </w:rPr>
              <w:t>，同时满足</w:t>
            </w:r>
            <w:r>
              <w:rPr>
                <w:rFonts w:hint="default" w:ascii="Times New Roman" w:hAnsi="Times New Roman" w:eastAsia="宋体" w:cs="Times New Roman"/>
                <w:color w:val="000000"/>
                <w:kern w:val="0"/>
                <w:sz w:val="24"/>
                <w:u w:val="none"/>
              </w:rPr>
              <w:t>《关于全省开展工业企业挥发性有机物专项治理工作中排放建议值的通知》（豫环攻坚办[2017]162号）中“其他行业”非甲烷总烃最高排放限值要求，废气处理措施可行，同时环评要求建设单位定期维护、监测，确保废气稳定达标排放。</w:t>
            </w:r>
          </w:p>
          <w:p>
            <w:pPr>
              <w:keepNext w:val="0"/>
              <w:keepLines w:val="0"/>
              <w:pageBreakBefore w:val="0"/>
              <w:widowControl w:val="0"/>
              <w:kinsoku/>
              <w:wordWrap/>
              <w:overflowPunct/>
              <w:topLinePunct w:val="0"/>
              <w:autoSpaceDE/>
              <w:autoSpaceDN/>
              <w:bidi w:val="0"/>
              <w:adjustRightInd/>
              <w:snapToGrid/>
              <w:spacing w:line="360" w:lineRule="auto"/>
              <w:ind w:firstLine="50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val="en-US" w:eastAsia="zh-CN"/>
              </w:rPr>
              <w:t>项目生产车间全封闭，除物料和成品进出外，车间大门均处于关闭状态</w:t>
            </w:r>
            <w:r>
              <w:rPr>
                <w:rFonts w:hint="default" w:ascii="Times New Roman" w:hAnsi="Times New Roman" w:eastAsia="宋体" w:cs="Times New Roman"/>
                <w:color w:val="auto"/>
                <w:sz w:val="24"/>
                <w:szCs w:val="24"/>
                <w:u w:val="none"/>
              </w:rPr>
              <w:t>，预计厂界</w:t>
            </w:r>
            <w:r>
              <w:rPr>
                <w:rFonts w:hint="default" w:ascii="Times New Roman" w:hAnsi="Times New Roman" w:eastAsia="宋体" w:cs="Times New Roman"/>
                <w:color w:val="auto"/>
                <w:sz w:val="24"/>
                <w:szCs w:val="24"/>
                <w:u w:val="none"/>
                <w:lang w:val="en-US" w:eastAsia="zh-CN"/>
              </w:rPr>
              <w:t>非甲烷总烃无组织排放</w:t>
            </w:r>
            <w:r>
              <w:rPr>
                <w:rFonts w:hint="default" w:ascii="Times New Roman" w:hAnsi="Times New Roman" w:eastAsia="宋体" w:cs="Times New Roman"/>
                <w:color w:val="auto"/>
                <w:sz w:val="24"/>
                <w:szCs w:val="24"/>
                <w:u w:val="none"/>
              </w:rPr>
              <w:t>可满足《全省开展工业企业挥发性有机物专项治理工作中排放建议值》（豫环攻坚办[2017]162 号）</w:t>
            </w:r>
            <w:r>
              <w:rPr>
                <w:rFonts w:hint="default" w:ascii="Times New Roman" w:hAnsi="Times New Roman" w:eastAsia="宋体" w:cs="Times New Roman"/>
                <w:color w:val="auto"/>
                <w:sz w:val="24"/>
                <w:szCs w:val="24"/>
                <w:u w:val="none"/>
                <w:lang w:val="en-US" w:eastAsia="zh-CN"/>
              </w:rPr>
              <w:t>中其他行业工业企业边界2.0</w:t>
            </w:r>
            <w:r>
              <w:rPr>
                <w:rFonts w:hint="default" w:ascii="Times New Roman" w:hAnsi="Times New Roman" w:eastAsia="宋体" w:cs="Times New Roman"/>
                <w:color w:val="auto"/>
                <w:sz w:val="24"/>
                <w:szCs w:val="24"/>
                <w:u w:val="none"/>
              </w:rPr>
              <w:t>mg/m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rPr>
              <w:t>要求</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措施可行。</w:t>
            </w:r>
          </w:p>
          <w:p>
            <w:pPr>
              <w:keepNext w:val="0"/>
              <w:keepLines w:val="0"/>
              <w:pageBreakBefore w:val="0"/>
              <w:widowControl w:val="0"/>
              <w:kinsoku/>
              <w:wordWrap/>
              <w:overflowPunct/>
              <w:topLinePunct w:val="0"/>
              <w:autoSpaceDE/>
              <w:autoSpaceDN/>
              <w:bidi w:val="0"/>
              <w:adjustRightInd/>
              <w:snapToGrid/>
              <w:spacing w:line="360" w:lineRule="auto"/>
              <w:ind w:firstLine="50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综上所述，本项目运营期产生的废气经采取合理、有效的控制措施后可满足相应排放标准，项目废气对周围空气环境质量影响较小。</w:t>
            </w:r>
          </w:p>
          <w:p>
            <w:pPr>
              <w:keepNext w:val="0"/>
              <w:keepLines w:val="0"/>
              <w:pageBreakBefore w:val="0"/>
              <w:widowControl w:val="0"/>
              <w:kinsoku/>
              <w:wordWrap/>
              <w:overflowPunct/>
              <w:topLinePunct w:val="0"/>
              <w:autoSpaceDE/>
              <w:autoSpaceDN/>
              <w:bidi w:val="0"/>
              <w:adjustRightInd/>
              <w:snapToGrid/>
              <w:spacing w:line="360" w:lineRule="auto"/>
              <w:ind w:firstLine="50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1.3废气排放量核算</w:t>
            </w:r>
          </w:p>
          <w:p>
            <w:pPr>
              <w:keepNext w:val="0"/>
              <w:keepLines w:val="0"/>
              <w:pageBreakBefore w:val="0"/>
              <w:widowControl w:val="0"/>
              <w:kinsoku/>
              <w:wordWrap/>
              <w:overflowPunct/>
              <w:topLinePunct w:val="0"/>
              <w:autoSpaceDE/>
              <w:autoSpaceDN/>
              <w:bidi w:val="0"/>
              <w:adjustRightInd/>
              <w:snapToGrid/>
              <w:spacing w:line="360" w:lineRule="auto"/>
              <w:ind w:firstLine="50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本项目大气污染物排放量核算见下表。</w:t>
            </w:r>
          </w:p>
          <w:p>
            <w:pPr>
              <w:keepNext w:val="0"/>
              <w:keepLines w:val="0"/>
              <w:pageBreakBefore w:val="0"/>
              <w:widowControl w:val="0"/>
              <w:kinsoku/>
              <w:wordWrap/>
              <w:overflowPunct/>
              <w:topLinePunct w:val="0"/>
              <w:autoSpaceDE/>
              <w:autoSpaceDN/>
              <w:bidi w:val="0"/>
              <w:adjustRightInd/>
              <w:snapToGrid/>
              <w:spacing w:line="360" w:lineRule="auto"/>
              <w:ind w:firstLine="2125" w:firstLineChars="850"/>
              <w:textAlignment w:val="auto"/>
              <w:rPr>
                <w:rFonts w:hint="default" w:ascii="Times New Roman" w:hAnsi="Times New Roman" w:eastAsia="宋体" w:cs="Times New Roman"/>
                <w:b/>
                <w:bCs/>
                <w:color w:val="auto"/>
                <w:sz w:val="24"/>
                <w:szCs w:val="24"/>
                <w:u w:val="none"/>
              </w:rPr>
            </w:pPr>
            <w:r>
              <w:rPr>
                <w:rFonts w:hint="default" w:ascii="Times New Roman" w:hAnsi="Times New Roman" w:eastAsia="宋体" w:cs="Times New Roman"/>
                <w:b/>
                <w:bCs/>
                <w:color w:val="auto"/>
                <w:sz w:val="24"/>
                <w:szCs w:val="24"/>
                <w:u w:val="none"/>
              </w:rPr>
              <w:t>表4-</w:t>
            </w:r>
            <w:r>
              <w:rPr>
                <w:rFonts w:hint="eastAsia" w:ascii="Times New Roman" w:hAnsi="Times New Roman" w:cs="Times New Roman"/>
                <w:b/>
                <w:bCs/>
                <w:color w:val="auto"/>
                <w:sz w:val="24"/>
                <w:szCs w:val="24"/>
                <w:u w:val="none"/>
                <w:lang w:val="en-US" w:eastAsia="zh-CN"/>
              </w:rPr>
              <w:t>5</w:t>
            </w:r>
            <w:r>
              <w:rPr>
                <w:rFonts w:hint="default" w:ascii="Times New Roman" w:hAnsi="Times New Roman" w:eastAsia="宋体" w:cs="Times New Roman"/>
                <w:b/>
                <w:bCs/>
                <w:color w:val="auto"/>
                <w:sz w:val="24"/>
                <w:szCs w:val="24"/>
                <w:u w:val="none"/>
              </w:rPr>
              <w:t xml:space="preserve">   大气污染物有组织排放量核算表</w:t>
            </w:r>
          </w:p>
          <w:tbl>
            <w:tblPr>
              <w:tblStyle w:val="11"/>
              <w:tblW w:w="8387" w:type="dxa"/>
              <w:jc w:val="center"/>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3261"/>
              <w:gridCol w:w="1319"/>
              <w:gridCol w:w="1351"/>
              <w:gridCol w:w="1228"/>
              <w:gridCol w:w="1228"/>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85" w:hRule="atLeast"/>
                <w:jc w:val="center"/>
              </w:trPr>
              <w:tc>
                <w:tcPr>
                  <w:tcW w:w="3261" w:type="dxa"/>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c>
                <w:tcPr>
                  <w:tcW w:w="1319" w:type="dxa"/>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351" w:type="dxa"/>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228" w:type="dxa"/>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核算排放速率（kg/h）</w:t>
                  </w:r>
                </w:p>
              </w:tc>
              <w:tc>
                <w:tcPr>
                  <w:tcW w:w="1228" w:type="dxa"/>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核算年排放量（t/a）</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290" w:hRule="atLeast"/>
                <w:jc w:val="center"/>
              </w:trPr>
              <w:tc>
                <w:tcPr>
                  <w:tcW w:w="8387" w:type="dxa"/>
                  <w:gridSpan w:val="5"/>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主要排放口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22" w:hRule="atLeast"/>
                <w:jc w:val="center"/>
              </w:trPr>
              <w:tc>
                <w:tcPr>
                  <w:tcW w:w="3261" w:type="dxa"/>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19" w:type="dxa"/>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351" w:type="dxa"/>
                  <w:vAlign w:val="center"/>
                </w:tcPr>
                <w:p>
                  <w:pPr>
                    <w:spacing w:line="360" w:lineRule="auto"/>
                    <w:ind w:firstLine="110" w:firstLine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28" w:type="dxa"/>
                  <w:vAlign w:val="center"/>
                </w:tcPr>
                <w:p>
                  <w:pPr>
                    <w:spacing w:line="360" w:lineRule="auto"/>
                    <w:ind w:firstLine="110" w:firstLine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28" w:type="dxa"/>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245" w:hRule="atLeast"/>
                <w:jc w:val="center"/>
              </w:trPr>
              <w:tc>
                <w:tcPr>
                  <w:tcW w:w="3261" w:type="dxa"/>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主要排放口合计</w:t>
                  </w:r>
                </w:p>
              </w:tc>
              <w:tc>
                <w:tcPr>
                  <w:tcW w:w="3898" w:type="dxa"/>
                  <w:gridSpan w:val="3"/>
                  <w:vAlign w:val="center"/>
                </w:tcPr>
                <w:p>
                  <w:pPr>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28" w:type="dxa"/>
                  <w:vAlign w:val="center"/>
                </w:tcPr>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52" w:hRule="atLeast"/>
                <w:jc w:val="center"/>
              </w:trPr>
              <w:tc>
                <w:tcPr>
                  <w:tcW w:w="8387" w:type="dxa"/>
                  <w:gridSpan w:val="5"/>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一般排放口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85" w:hRule="atLeast"/>
                <w:jc w:val="center"/>
              </w:trPr>
              <w:tc>
                <w:tcPr>
                  <w:tcW w:w="3261" w:type="dxa"/>
                  <w:vAlign w:val="center"/>
                </w:tcPr>
                <w:p>
                  <w:pPr>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车间熔融工序排气筒</w:t>
                  </w:r>
                </w:p>
              </w:tc>
              <w:tc>
                <w:tcPr>
                  <w:tcW w:w="1319" w:type="dxa"/>
                  <w:vAlign w:val="center"/>
                </w:tcPr>
                <w:p>
                  <w:pPr>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1351" w:type="dxa"/>
                  <w:vAlign w:val="center"/>
                </w:tcPr>
                <w:p>
                  <w:pPr>
                    <w:autoSpaceDE w:val="0"/>
                    <w:autoSpaceDN w:val="0"/>
                    <w:snapToGrid w:val="0"/>
                    <w:spacing w:line="36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5.25</w:t>
                  </w:r>
                </w:p>
              </w:tc>
              <w:tc>
                <w:tcPr>
                  <w:tcW w:w="1228" w:type="dxa"/>
                  <w:vAlign w:val="center"/>
                </w:tcPr>
                <w:p>
                  <w:pPr>
                    <w:autoSpaceDE w:val="0"/>
                    <w:autoSpaceDN w:val="0"/>
                    <w:snapToGrid w:val="0"/>
                    <w:spacing w:line="360" w:lineRule="auto"/>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r>
                    <w:rPr>
                      <w:rFonts w:hint="eastAsia" w:ascii="Times New Roman" w:hAnsi="Times New Roman" w:cs="Times New Roman"/>
                      <w:color w:val="auto"/>
                      <w:sz w:val="21"/>
                      <w:szCs w:val="21"/>
                      <w:lang w:val="en-US" w:eastAsia="zh-CN"/>
                    </w:rPr>
                    <w:t>31</w:t>
                  </w:r>
                </w:p>
              </w:tc>
              <w:tc>
                <w:tcPr>
                  <w:tcW w:w="1228" w:type="dxa"/>
                  <w:vAlign w:val="center"/>
                </w:tcPr>
                <w:p>
                  <w:pPr>
                    <w:snapToGrid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0.315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85" w:hRule="atLeast"/>
                <w:jc w:val="center"/>
              </w:trPr>
              <w:tc>
                <w:tcPr>
                  <w:tcW w:w="3261" w:type="dxa"/>
                  <w:vAlign w:val="center"/>
                </w:tcPr>
                <w:p>
                  <w:pPr>
                    <w:spacing w:line="360" w:lineRule="auto"/>
                    <w:jc w:val="center"/>
                    <w:rPr>
                      <w:rFonts w:hint="default" w:ascii="Times New Roman" w:hAnsi="Times New Roman" w:eastAsia="宋体" w:cs="Times New Roman"/>
                      <w:color w:val="auto"/>
                      <w:sz w:val="21"/>
                      <w:szCs w:val="21"/>
                      <w:lang w:val="en-US" w:eastAsia="zh-CN"/>
                    </w:rPr>
                  </w:pPr>
                </w:p>
              </w:tc>
              <w:tc>
                <w:tcPr>
                  <w:tcW w:w="1319" w:type="dxa"/>
                  <w:vAlign w:val="center"/>
                </w:tcPr>
                <w:p>
                  <w:pPr>
                    <w:snapToGrid w:val="0"/>
                    <w:spacing w:line="360" w:lineRule="auto"/>
                    <w:jc w:val="center"/>
                    <w:rPr>
                      <w:rFonts w:hint="default" w:ascii="Times New Roman" w:hAnsi="Times New Roman" w:eastAsia="宋体" w:cs="Times New Roman"/>
                      <w:color w:val="auto"/>
                      <w:kern w:val="2"/>
                      <w:sz w:val="21"/>
                      <w:szCs w:val="21"/>
                      <w:lang w:val="en-US" w:eastAsia="zh-CN" w:bidi="ar-SA"/>
                    </w:rPr>
                  </w:pPr>
                </w:p>
              </w:tc>
              <w:tc>
                <w:tcPr>
                  <w:tcW w:w="1351" w:type="dxa"/>
                  <w:vAlign w:val="center"/>
                </w:tcPr>
                <w:p>
                  <w:pPr>
                    <w:autoSpaceDE w:val="0"/>
                    <w:autoSpaceDN w:val="0"/>
                    <w:snapToGrid w:val="0"/>
                    <w:spacing w:line="360" w:lineRule="auto"/>
                    <w:jc w:val="center"/>
                    <w:textAlignment w:val="bottom"/>
                    <w:rPr>
                      <w:rFonts w:hint="default" w:ascii="Times New Roman" w:hAnsi="Times New Roman" w:eastAsia="宋体" w:cs="Times New Roman"/>
                      <w:color w:val="auto"/>
                      <w:kern w:val="2"/>
                      <w:sz w:val="21"/>
                      <w:szCs w:val="21"/>
                      <w:lang w:val="en-US" w:eastAsia="zh-CN" w:bidi="ar-SA"/>
                    </w:rPr>
                  </w:pPr>
                </w:p>
              </w:tc>
              <w:tc>
                <w:tcPr>
                  <w:tcW w:w="1228" w:type="dxa"/>
                  <w:vAlign w:val="center"/>
                </w:tcPr>
                <w:p>
                  <w:pPr>
                    <w:autoSpaceDE w:val="0"/>
                    <w:autoSpaceDN w:val="0"/>
                    <w:snapToGrid w:val="0"/>
                    <w:spacing w:line="360" w:lineRule="auto"/>
                    <w:jc w:val="center"/>
                    <w:textAlignment w:val="bottom"/>
                    <w:rPr>
                      <w:rFonts w:hint="default" w:ascii="Times New Roman" w:hAnsi="Times New Roman" w:eastAsia="宋体" w:cs="Times New Roman"/>
                      <w:color w:val="auto"/>
                      <w:kern w:val="2"/>
                      <w:sz w:val="21"/>
                      <w:szCs w:val="21"/>
                      <w:lang w:val="en-US" w:eastAsia="zh-CN" w:bidi="ar-SA"/>
                    </w:rPr>
                  </w:pPr>
                </w:p>
              </w:tc>
              <w:tc>
                <w:tcPr>
                  <w:tcW w:w="1228" w:type="dxa"/>
                  <w:vAlign w:val="center"/>
                </w:tcPr>
                <w:p>
                  <w:pPr>
                    <w:snapToGrid w:val="0"/>
                    <w:spacing w:line="360" w:lineRule="auto"/>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259" w:hRule="atLeast"/>
                <w:jc w:val="center"/>
              </w:trPr>
              <w:tc>
                <w:tcPr>
                  <w:tcW w:w="8387" w:type="dxa"/>
                  <w:gridSpan w:val="5"/>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有组织排放总计</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3261" w:type="dxa"/>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有组织排放总计</w:t>
                  </w:r>
                </w:p>
              </w:tc>
              <w:tc>
                <w:tcPr>
                  <w:tcW w:w="3898" w:type="dxa"/>
                  <w:gridSpan w:val="3"/>
                  <w:vAlign w:val="center"/>
                </w:tcPr>
                <w:p>
                  <w:pPr>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1228" w:type="dxa"/>
                  <w:vAlign w:val="center"/>
                </w:tcPr>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w:t>
                  </w:r>
                  <w:r>
                    <w:rPr>
                      <w:rFonts w:hint="eastAsia" w:ascii="Times New Roman" w:hAnsi="Times New Roman" w:cs="Times New Roman"/>
                      <w:color w:val="auto"/>
                      <w:sz w:val="21"/>
                      <w:szCs w:val="21"/>
                      <w:lang w:val="en-US" w:eastAsia="zh-CN"/>
                    </w:rPr>
                    <w:t>15</w:t>
                  </w:r>
                </w:p>
              </w:tc>
            </w:tr>
          </w:tbl>
          <w:p>
            <w:pPr>
              <w:spacing w:line="360" w:lineRule="auto"/>
              <w:ind w:firstLine="2125" w:firstLineChars="85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cs="Times New Roman"/>
                <w:b/>
                <w:bCs/>
                <w:color w:val="auto"/>
                <w:sz w:val="24"/>
                <w:szCs w:val="24"/>
                <w:lang w:val="en-US" w:eastAsia="zh-CN"/>
              </w:rPr>
              <w:t>6</w:t>
            </w:r>
            <w:r>
              <w:rPr>
                <w:rFonts w:hint="default" w:ascii="Times New Roman" w:hAnsi="Times New Roman" w:eastAsia="宋体" w:cs="Times New Roman"/>
                <w:b/>
                <w:bCs/>
                <w:color w:val="auto"/>
                <w:sz w:val="24"/>
                <w:szCs w:val="24"/>
              </w:rPr>
              <w:t xml:space="preserve">     大气污染物无组织排放量核算表 </w:t>
            </w:r>
          </w:p>
          <w:tbl>
            <w:tblPr>
              <w:tblStyle w:val="11"/>
              <w:tblW w:w="90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
              <w:gridCol w:w="750"/>
              <w:gridCol w:w="625"/>
              <w:gridCol w:w="650"/>
              <w:gridCol w:w="339"/>
              <w:gridCol w:w="798"/>
              <w:gridCol w:w="3228"/>
              <w:gridCol w:w="1438"/>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327" w:type="dxa"/>
                  <w:vMerge w:val="restart"/>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750" w:type="dxa"/>
                  <w:vMerge w:val="restart"/>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tc>
              <w:tc>
                <w:tcPr>
                  <w:tcW w:w="625" w:type="dxa"/>
                  <w:vMerge w:val="restart"/>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产污环节</w:t>
                  </w:r>
                </w:p>
              </w:tc>
              <w:tc>
                <w:tcPr>
                  <w:tcW w:w="650" w:type="dxa"/>
                  <w:vMerge w:val="restart"/>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137" w:type="dxa"/>
                  <w:gridSpan w:val="2"/>
                  <w:vMerge w:val="restart"/>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主要污染防治措施</w:t>
                  </w:r>
                </w:p>
              </w:tc>
              <w:tc>
                <w:tcPr>
                  <w:tcW w:w="4666" w:type="dxa"/>
                  <w:gridSpan w:val="2"/>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国家或地方污染物排放标准</w:t>
                  </w:r>
                </w:p>
              </w:tc>
              <w:tc>
                <w:tcPr>
                  <w:tcW w:w="862" w:type="dxa"/>
                  <w:vMerge w:val="restart"/>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327" w:type="dxa"/>
                  <w:vMerge w:val="continue"/>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750" w:type="dxa"/>
                  <w:vMerge w:val="continue"/>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625" w:type="dxa"/>
                  <w:vMerge w:val="continue"/>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650" w:type="dxa"/>
                  <w:vMerge w:val="continue"/>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1137" w:type="dxa"/>
                  <w:gridSpan w:val="2"/>
                  <w:vMerge w:val="continue"/>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3228" w:type="dxa"/>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标准名称</w:t>
                  </w:r>
                </w:p>
              </w:tc>
              <w:tc>
                <w:tcPr>
                  <w:tcW w:w="1438" w:type="dxa"/>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限值（mg /m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862" w:type="dxa"/>
                  <w:vMerge w:val="continue"/>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jc w:val="center"/>
              </w:trPr>
              <w:tc>
                <w:tcPr>
                  <w:tcW w:w="327" w:type="dxa"/>
                  <w:vAlign w:val="center"/>
                </w:tcPr>
                <w:p>
                  <w:pPr>
                    <w:adjustRightInd w:val="0"/>
                    <w:snapToGrid w:val="0"/>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750" w:type="dxa"/>
                  <w:vAlign w:val="center"/>
                </w:tcPr>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w:t>
                  </w:r>
                </w:p>
              </w:tc>
              <w:tc>
                <w:tcPr>
                  <w:tcW w:w="625" w:type="dxa"/>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生产逸散</w:t>
                  </w:r>
                </w:p>
              </w:tc>
              <w:tc>
                <w:tcPr>
                  <w:tcW w:w="650" w:type="dxa"/>
                  <w:vAlign w:val="center"/>
                </w:tcPr>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1137" w:type="dxa"/>
                  <w:gridSpan w:val="2"/>
                  <w:vAlign w:val="center"/>
                </w:tcPr>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车间密闭，加强管理，规范操作</w:t>
                  </w:r>
                </w:p>
              </w:tc>
              <w:tc>
                <w:tcPr>
                  <w:tcW w:w="3228" w:type="dxa"/>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《全省开展工业企业挥发性有机物专项治理工作中排放建议值》（豫环攻坚办[2017]162 号）</w:t>
                  </w:r>
                  <w:r>
                    <w:rPr>
                      <w:rFonts w:hint="default" w:ascii="Times New Roman" w:hAnsi="Times New Roman" w:eastAsia="宋体" w:cs="Times New Roman"/>
                      <w:color w:val="auto"/>
                      <w:sz w:val="21"/>
                      <w:szCs w:val="21"/>
                      <w:lang w:val="en-US" w:eastAsia="zh-CN"/>
                    </w:rPr>
                    <w:t>中其他行业</w:t>
                  </w:r>
                </w:p>
              </w:tc>
              <w:tc>
                <w:tcPr>
                  <w:tcW w:w="1438" w:type="dxa"/>
                  <w:vAlign w:val="center"/>
                </w:tcPr>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862" w:type="dxa"/>
                  <w:vAlign w:val="center"/>
                </w:tcPr>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9017" w:type="dxa"/>
                  <w:gridSpan w:val="9"/>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2691" w:type="dxa"/>
                  <w:gridSpan w:val="5"/>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无组织排放总计</w:t>
                  </w:r>
                </w:p>
              </w:tc>
              <w:tc>
                <w:tcPr>
                  <w:tcW w:w="4026" w:type="dxa"/>
                  <w:gridSpan w:val="2"/>
                  <w:vAlign w:val="center"/>
                </w:tcPr>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2300" w:type="dxa"/>
                  <w:gridSpan w:val="2"/>
                  <w:vAlign w:val="center"/>
                </w:tcPr>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0.175</w:t>
                  </w:r>
                </w:p>
              </w:tc>
            </w:tr>
          </w:tbl>
          <w:p>
            <w:pPr>
              <w:keepNext w:val="0"/>
              <w:keepLines w:val="0"/>
              <w:pageBreakBefore w:val="0"/>
              <w:widowControl w:val="0"/>
              <w:kinsoku/>
              <w:wordWrap/>
              <w:overflowPunct/>
              <w:topLinePunct w:val="0"/>
              <w:autoSpaceDE/>
              <w:autoSpaceDN/>
              <w:bidi w:val="0"/>
              <w:adjustRightInd/>
              <w:snapToGrid/>
              <w:spacing w:line="360" w:lineRule="auto"/>
              <w:ind w:firstLine="2125" w:firstLineChars="85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cs="Times New Roman"/>
                <w:b/>
                <w:bCs/>
                <w:color w:val="auto"/>
                <w:sz w:val="24"/>
                <w:szCs w:val="24"/>
                <w:lang w:val="en-US" w:eastAsia="zh-CN"/>
              </w:rPr>
              <w:t>7</w:t>
            </w:r>
            <w:r>
              <w:rPr>
                <w:rFonts w:hint="default" w:ascii="Times New Roman" w:hAnsi="Times New Roman" w:eastAsia="宋体" w:cs="Times New Roman"/>
                <w:b/>
                <w:bCs/>
                <w:color w:val="auto"/>
                <w:sz w:val="24"/>
                <w:szCs w:val="24"/>
              </w:rPr>
              <w:t xml:space="preserve">     大气污染物年排放量核算表</w:t>
            </w:r>
            <w:r>
              <w:rPr>
                <w:rFonts w:hint="default" w:ascii="Times New Roman" w:hAnsi="Times New Roman" w:eastAsia="宋体" w:cs="Times New Roman"/>
                <w:color w:val="auto"/>
                <w:sz w:val="24"/>
                <w:szCs w:val="24"/>
              </w:rPr>
              <w:t xml:space="preserve"> </w:t>
            </w:r>
          </w:p>
          <w:tbl>
            <w:tblPr>
              <w:tblStyle w:val="12"/>
              <w:tblW w:w="72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2550"/>
              <w:gridCol w:w="2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9" w:type="dxa"/>
                  <w:vAlign w:val="center"/>
                </w:tcPr>
                <w:p>
                  <w:pPr>
                    <w:adjustRightInd w:val="0"/>
                    <w:snapToGrid w:val="0"/>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序号</w:t>
                  </w:r>
                </w:p>
              </w:tc>
              <w:tc>
                <w:tcPr>
                  <w:tcW w:w="2550" w:type="dxa"/>
                  <w:vAlign w:val="center"/>
                </w:tcPr>
                <w:p>
                  <w:pPr>
                    <w:adjustRightInd w:val="0"/>
                    <w:snapToGrid w:val="0"/>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污染物</w:t>
                  </w:r>
                </w:p>
              </w:tc>
              <w:tc>
                <w:tcPr>
                  <w:tcW w:w="2861" w:type="dxa"/>
                  <w:vAlign w:val="center"/>
                </w:tcPr>
                <w:p>
                  <w:pPr>
                    <w:adjustRightInd w:val="0"/>
                    <w:snapToGrid w:val="0"/>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9" w:type="dxa"/>
                  <w:vAlign w:val="center"/>
                </w:tcPr>
                <w:p>
                  <w:pPr>
                    <w:adjustRightInd w:val="0"/>
                    <w:snapToGrid w:val="0"/>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1</w:t>
                  </w:r>
                </w:p>
              </w:tc>
              <w:tc>
                <w:tcPr>
                  <w:tcW w:w="2550" w:type="dxa"/>
                  <w:vAlign w:val="center"/>
                </w:tcPr>
                <w:p>
                  <w:pPr>
                    <w:adjustRightInd w:val="0"/>
                    <w:snapToGrid w:val="0"/>
                    <w:spacing w:line="36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非甲烷总烃</w:t>
                  </w:r>
                </w:p>
              </w:tc>
              <w:tc>
                <w:tcPr>
                  <w:tcW w:w="2861" w:type="dxa"/>
                  <w:vAlign w:val="center"/>
                </w:tcPr>
                <w:p>
                  <w:pPr>
                    <w:adjustRightInd w:val="0"/>
                    <w:snapToGrid w:val="0"/>
                    <w:spacing w:line="360" w:lineRule="auto"/>
                    <w:jc w:val="center"/>
                    <w:rPr>
                      <w:rFonts w:hint="default" w:ascii="Times New Roman" w:hAnsi="Times New Roman" w:eastAsia="宋体" w:cs="Times New Roman"/>
                      <w:color w:val="auto"/>
                      <w:sz w:val="21"/>
                      <w:szCs w:val="21"/>
                      <w:vertAlign w:val="baseline"/>
                      <w:lang w:val="en-US"/>
                    </w:rPr>
                  </w:pPr>
                  <w:r>
                    <w:rPr>
                      <w:rFonts w:hint="eastAsia" w:ascii="Times New Roman" w:hAnsi="Times New Roman" w:cs="Times New Roman"/>
                      <w:color w:val="auto"/>
                      <w:sz w:val="21"/>
                      <w:szCs w:val="21"/>
                      <w:lang w:val="en-US" w:eastAsia="zh-CN"/>
                    </w:rPr>
                    <w:t>0.49</w:t>
                  </w:r>
                </w:p>
              </w:tc>
            </w:tr>
          </w:tbl>
          <w:p>
            <w:pPr>
              <w:keepNext w:val="0"/>
              <w:keepLines w:val="0"/>
              <w:pageBreakBefore w:val="0"/>
              <w:widowControl w:val="0"/>
              <w:tabs>
                <w:tab w:val="left" w:pos="0"/>
              </w:tabs>
              <w:kinsoku/>
              <w:wordWrap/>
              <w:overflowPunct/>
              <w:topLinePunct w:val="0"/>
              <w:autoSpaceDE/>
              <w:autoSpaceDN/>
              <w:bidi w:val="0"/>
              <w:adjustRightInd/>
              <w:snapToGrid w:val="0"/>
              <w:spacing w:line="360" w:lineRule="auto"/>
              <w:ind w:right="113" w:firstLine="50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w:t>
            </w:r>
            <w:r>
              <w:rPr>
                <w:rFonts w:hint="eastAsia" w:ascii="Times New Roman" w:hAnsi="Times New Roman" w:cs="Times New Roman"/>
                <w:b/>
                <w:bCs/>
                <w:color w:val="auto"/>
                <w:sz w:val="24"/>
                <w:szCs w:val="24"/>
                <w:lang w:val="en-US" w:eastAsia="zh-CN"/>
              </w:rPr>
              <w:t>4</w:t>
            </w:r>
            <w:r>
              <w:rPr>
                <w:rFonts w:hint="default" w:ascii="Times New Roman" w:hAnsi="Times New Roman" w:eastAsia="宋体" w:cs="Times New Roman"/>
                <w:b/>
                <w:bCs/>
                <w:color w:val="auto"/>
                <w:sz w:val="24"/>
                <w:szCs w:val="24"/>
              </w:rPr>
              <w:t>废气污染物排放执行标准</w:t>
            </w:r>
          </w:p>
          <w:p>
            <w:pPr>
              <w:keepNext w:val="0"/>
              <w:keepLines w:val="0"/>
              <w:pageBreakBefore w:val="0"/>
              <w:widowControl w:val="0"/>
              <w:tabs>
                <w:tab w:val="left" w:pos="0"/>
              </w:tabs>
              <w:kinsoku/>
              <w:wordWrap/>
              <w:overflowPunct/>
              <w:topLinePunct w:val="0"/>
              <w:autoSpaceDE/>
              <w:autoSpaceDN/>
              <w:bidi w:val="0"/>
              <w:adjustRightInd/>
              <w:snapToGrid w:val="0"/>
              <w:spacing w:line="360" w:lineRule="auto"/>
              <w:ind w:right="113"/>
              <w:jc w:val="center"/>
              <w:textAlignment w:val="auto"/>
              <w:rPr>
                <w:rFonts w:hint="eastAsia" w:ascii="Times New Roman" w:hAnsi="Times New Roman" w:eastAsia="宋体" w:cs="Times New Roman"/>
                <w:b/>
                <w:bCs/>
                <w:color w:val="auto"/>
                <w:sz w:val="24"/>
                <w:szCs w:val="24"/>
                <w:u w:val="none"/>
                <w:lang w:eastAsia="zh-CN"/>
              </w:rPr>
            </w:pPr>
            <w:r>
              <w:rPr>
                <w:rFonts w:hint="default" w:ascii="Times New Roman" w:hAnsi="Times New Roman" w:eastAsia="宋体" w:cs="Times New Roman"/>
                <w:b/>
                <w:bCs/>
                <w:color w:val="auto"/>
                <w:sz w:val="24"/>
                <w:szCs w:val="24"/>
                <w:u w:val="none"/>
              </w:rPr>
              <w:t>表4-</w:t>
            </w:r>
            <w:r>
              <w:rPr>
                <w:rFonts w:hint="eastAsia" w:ascii="Times New Roman" w:hAnsi="Times New Roman" w:cs="Times New Roman"/>
                <w:b/>
                <w:bCs/>
                <w:color w:val="auto"/>
                <w:sz w:val="24"/>
                <w:szCs w:val="24"/>
                <w:u w:val="none"/>
                <w:lang w:val="en-US" w:eastAsia="zh-CN"/>
              </w:rPr>
              <w:t>8</w:t>
            </w:r>
            <w:r>
              <w:rPr>
                <w:rFonts w:hint="default" w:ascii="Times New Roman" w:hAnsi="Times New Roman" w:eastAsia="宋体" w:cs="Times New Roman"/>
                <w:b/>
                <w:bCs/>
                <w:color w:val="auto"/>
                <w:sz w:val="24"/>
                <w:szCs w:val="24"/>
                <w:u w:val="none"/>
              </w:rPr>
              <w:t xml:space="preserve">  有组织废气污染物排放执行标准表</w:t>
            </w:r>
            <w:r>
              <w:rPr>
                <w:rFonts w:hint="eastAsia" w:ascii="Times New Roman" w:hAnsi="Times New Roman" w:cs="Times New Roman"/>
                <w:b/>
                <w:bCs/>
                <w:color w:val="auto"/>
                <w:sz w:val="24"/>
                <w:szCs w:val="24"/>
                <w:u w:val="none"/>
                <w:lang w:eastAsia="zh-CN"/>
              </w:rPr>
              <w:t>（执行最严标准）</w:t>
            </w:r>
          </w:p>
          <w:tbl>
            <w:tblPr>
              <w:tblStyle w:val="11"/>
              <w:tblW w:w="88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
              <w:gridCol w:w="800"/>
              <w:gridCol w:w="956"/>
              <w:gridCol w:w="915"/>
              <w:gridCol w:w="3645"/>
              <w:gridCol w:w="1209"/>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74" w:type="dxa"/>
                  <w:vMerge w:val="restart"/>
                  <w:vAlign w:val="center"/>
                </w:tcPr>
                <w:p>
                  <w:pPr>
                    <w:pStyle w:val="2"/>
                    <w:spacing w:before="0" w:after="0" w:line="360" w:lineRule="auto"/>
                    <w:ind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800" w:type="dxa"/>
                  <w:vMerge w:val="restart"/>
                  <w:vAlign w:val="center"/>
                </w:tcPr>
                <w:p>
                  <w:pPr>
                    <w:pStyle w:val="2"/>
                    <w:spacing w:before="0" w:after="0" w:line="360" w:lineRule="auto"/>
                    <w:ind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排放口编号</w:t>
                  </w:r>
                </w:p>
              </w:tc>
              <w:tc>
                <w:tcPr>
                  <w:tcW w:w="956" w:type="dxa"/>
                  <w:vMerge w:val="restart"/>
                  <w:vAlign w:val="center"/>
                </w:tcPr>
                <w:p>
                  <w:pPr>
                    <w:pStyle w:val="2"/>
                    <w:spacing w:before="0" w:after="0" w:line="360" w:lineRule="auto"/>
                    <w:ind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排放口名称</w:t>
                  </w:r>
                </w:p>
              </w:tc>
              <w:tc>
                <w:tcPr>
                  <w:tcW w:w="915" w:type="dxa"/>
                  <w:vMerge w:val="restart"/>
                  <w:vAlign w:val="center"/>
                </w:tcPr>
                <w:p>
                  <w:pPr>
                    <w:pStyle w:val="2"/>
                    <w:spacing w:before="0" w:after="0" w:line="360" w:lineRule="auto"/>
                    <w:ind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污染物种类</w:t>
                  </w:r>
                </w:p>
              </w:tc>
              <w:tc>
                <w:tcPr>
                  <w:tcW w:w="3645" w:type="dxa"/>
                  <w:vMerge w:val="restart"/>
                  <w:vAlign w:val="center"/>
                </w:tcPr>
                <w:p>
                  <w:pPr>
                    <w:pStyle w:val="2"/>
                    <w:spacing w:before="0" w:after="0" w:line="360" w:lineRule="auto"/>
                    <w:ind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国家或地方污染物排放标准</w:t>
                  </w:r>
                </w:p>
              </w:tc>
              <w:tc>
                <w:tcPr>
                  <w:tcW w:w="2176" w:type="dxa"/>
                  <w:gridSpan w:val="2"/>
                  <w:vAlign w:val="center"/>
                </w:tcPr>
                <w:p>
                  <w:pPr>
                    <w:pStyle w:val="2"/>
                    <w:spacing w:before="0" w:after="0" w:line="360" w:lineRule="auto"/>
                    <w:ind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374" w:type="dxa"/>
                  <w:vMerge w:val="continue"/>
                  <w:vAlign w:val="center"/>
                </w:tcPr>
                <w:p>
                  <w:pPr>
                    <w:pStyle w:val="2"/>
                    <w:spacing w:line="360" w:lineRule="auto"/>
                    <w:jc w:val="center"/>
                    <w:rPr>
                      <w:rFonts w:hint="default" w:ascii="Times New Roman" w:hAnsi="Times New Roman" w:eastAsia="宋体" w:cs="Times New Roman"/>
                      <w:color w:val="auto"/>
                      <w:sz w:val="21"/>
                      <w:szCs w:val="21"/>
                      <w:lang w:val="en-US" w:eastAsia="zh-CN"/>
                    </w:rPr>
                  </w:pPr>
                </w:p>
              </w:tc>
              <w:tc>
                <w:tcPr>
                  <w:tcW w:w="800" w:type="dxa"/>
                  <w:vMerge w:val="continue"/>
                  <w:vAlign w:val="center"/>
                </w:tcPr>
                <w:p>
                  <w:pPr>
                    <w:pStyle w:val="2"/>
                    <w:spacing w:line="360" w:lineRule="auto"/>
                    <w:jc w:val="center"/>
                    <w:rPr>
                      <w:rFonts w:hint="default" w:ascii="Times New Roman" w:hAnsi="Times New Roman" w:eastAsia="宋体" w:cs="Times New Roman"/>
                      <w:color w:val="auto"/>
                      <w:sz w:val="21"/>
                      <w:szCs w:val="21"/>
                      <w:lang w:val="en-US" w:eastAsia="zh-CN"/>
                    </w:rPr>
                  </w:pPr>
                </w:p>
              </w:tc>
              <w:tc>
                <w:tcPr>
                  <w:tcW w:w="956" w:type="dxa"/>
                  <w:vMerge w:val="continue"/>
                  <w:vAlign w:val="center"/>
                </w:tcPr>
                <w:p>
                  <w:pPr>
                    <w:pStyle w:val="2"/>
                    <w:spacing w:line="360" w:lineRule="auto"/>
                    <w:jc w:val="center"/>
                    <w:rPr>
                      <w:rFonts w:hint="default" w:ascii="Times New Roman" w:hAnsi="Times New Roman" w:eastAsia="宋体" w:cs="Times New Roman"/>
                      <w:color w:val="auto"/>
                      <w:sz w:val="21"/>
                      <w:szCs w:val="21"/>
                      <w:lang w:val="en-US" w:eastAsia="zh-CN"/>
                    </w:rPr>
                  </w:pPr>
                </w:p>
              </w:tc>
              <w:tc>
                <w:tcPr>
                  <w:tcW w:w="915" w:type="dxa"/>
                  <w:vMerge w:val="continue"/>
                  <w:vAlign w:val="center"/>
                </w:tcPr>
                <w:p>
                  <w:pPr>
                    <w:pStyle w:val="2"/>
                    <w:spacing w:line="360" w:lineRule="auto"/>
                    <w:jc w:val="center"/>
                    <w:rPr>
                      <w:rFonts w:hint="default" w:ascii="Times New Roman" w:hAnsi="Times New Roman" w:eastAsia="宋体" w:cs="Times New Roman"/>
                      <w:color w:val="auto"/>
                      <w:sz w:val="21"/>
                      <w:szCs w:val="21"/>
                      <w:lang w:val="en-US" w:eastAsia="zh-CN"/>
                    </w:rPr>
                  </w:pPr>
                </w:p>
              </w:tc>
              <w:tc>
                <w:tcPr>
                  <w:tcW w:w="3645" w:type="dxa"/>
                  <w:vMerge w:val="continue"/>
                  <w:vAlign w:val="center"/>
                </w:tcPr>
                <w:p>
                  <w:pPr>
                    <w:pStyle w:val="2"/>
                    <w:spacing w:line="360" w:lineRule="auto"/>
                    <w:rPr>
                      <w:rFonts w:hint="default" w:ascii="Times New Roman" w:hAnsi="Times New Roman" w:eastAsia="宋体" w:cs="Times New Roman"/>
                      <w:color w:val="auto"/>
                      <w:sz w:val="21"/>
                      <w:szCs w:val="21"/>
                      <w:lang w:val="en-US" w:eastAsia="zh-CN"/>
                    </w:rPr>
                  </w:pPr>
                </w:p>
              </w:tc>
              <w:tc>
                <w:tcPr>
                  <w:tcW w:w="1209" w:type="dxa"/>
                  <w:vAlign w:val="center"/>
                </w:tcPr>
                <w:p>
                  <w:pPr>
                    <w:pStyle w:val="2"/>
                    <w:spacing w:before="0" w:after="0" w:line="360" w:lineRule="auto"/>
                    <w:ind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排放限值（mg/m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967" w:type="dxa"/>
                  <w:vAlign w:val="center"/>
                </w:tcPr>
                <w:p>
                  <w:pPr>
                    <w:pStyle w:val="2"/>
                    <w:spacing w:before="0" w:after="0" w:line="360" w:lineRule="auto"/>
                    <w:ind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速率限值（kg/h）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374" w:type="dxa"/>
                  <w:vMerge w:val="restart"/>
                  <w:vAlign w:val="center"/>
                </w:tcPr>
                <w:p>
                  <w:pPr>
                    <w:pStyle w:val="2"/>
                    <w:keepNext w:val="0"/>
                    <w:keepLines w:val="0"/>
                    <w:pageBreakBefore w:val="0"/>
                    <w:kinsoku/>
                    <w:wordWrap/>
                    <w:overflowPunct/>
                    <w:topLinePunct w:val="0"/>
                    <w:autoSpaceDE/>
                    <w:autoSpaceDN/>
                    <w:bidi w:val="0"/>
                    <w:adjustRightInd/>
                    <w:spacing w:before="0" w:after="0" w:line="36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800" w:type="dxa"/>
                  <w:vMerge w:val="restart"/>
                  <w:vAlign w:val="center"/>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1</w:t>
                  </w:r>
                </w:p>
              </w:tc>
              <w:tc>
                <w:tcPr>
                  <w:tcW w:w="956" w:type="dxa"/>
                  <w:vMerge w:val="restart"/>
                  <w:vAlign w:val="center"/>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车间熔融挤出工序排气筒</w:t>
                  </w:r>
                </w:p>
              </w:tc>
              <w:tc>
                <w:tcPr>
                  <w:tcW w:w="915" w:type="dxa"/>
                  <w:vMerge w:val="restart"/>
                  <w:vAlign w:val="center"/>
                </w:tcPr>
                <w:p>
                  <w:pPr>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3645"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360" w:lineRule="auto"/>
                    <w:ind w:right="113"/>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《合成树脂工业污染物排放标准》（GB31572-2015）</w:t>
                  </w:r>
                </w:p>
              </w:tc>
              <w:tc>
                <w:tcPr>
                  <w:tcW w:w="1209"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360" w:lineRule="auto"/>
                    <w:ind w:right="113"/>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967"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360" w:lineRule="auto"/>
                    <w:ind w:right="113"/>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374" w:type="dxa"/>
                  <w:vMerge w:val="continue"/>
                  <w:vAlign w:val="center"/>
                </w:tcPr>
                <w:p>
                  <w:pPr>
                    <w:pStyle w:val="2"/>
                    <w:keepNext w:val="0"/>
                    <w:keepLines w:val="0"/>
                    <w:pageBreakBefore w:val="0"/>
                    <w:kinsoku/>
                    <w:wordWrap/>
                    <w:overflowPunct/>
                    <w:topLinePunct w:val="0"/>
                    <w:autoSpaceDE/>
                    <w:autoSpaceDN/>
                    <w:bidi w:val="0"/>
                    <w:adjustRightInd/>
                    <w:spacing w:before="0" w:after="0" w:line="360" w:lineRule="auto"/>
                    <w:ind w:right="0"/>
                    <w:jc w:val="center"/>
                    <w:textAlignment w:val="auto"/>
                    <w:rPr>
                      <w:rFonts w:hint="eastAsia" w:ascii="Times New Roman" w:hAnsi="Times New Roman" w:eastAsia="宋体" w:cs="Times New Roman"/>
                      <w:color w:val="auto"/>
                      <w:sz w:val="21"/>
                      <w:szCs w:val="21"/>
                      <w:lang w:val="en-US" w:eastAsia="zh-CN"/>
                    </w:rPr>
                  </w:pPr>
                </w:p>
              </w:tc>
              <w:tc>
                <w:tcPr>
                  <w:tcW w:w="800" w:type="dxa"/>
                  <w:vMerge w:val="continue"/>
                  <w:vAlign w:val="center"/>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21"/>
                      <w:szCs w:val="21"/>
                    </w:rPr>
                  </w:pPr>
                </w:p>
              </w:tc>
              <w:tc>
                <w:tcPr>
                  <w:tcW w:w="956" w:type="dxa"/>
                  <w:vMerge w:val="continue"/>
                  <w:vAlign w:val="center"/>
                </w:tcPr>
                <w:p>
                  <w:pPr>
                    <w:keepNext w:val="0"/>
                    <w:keepLines w:val="0"/>
                    <w:pageBreakBefore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915" w:type="dxa"/>
                  <w:vMerge w:val="continue"/>
                  <w:vAlign w:val="center"/>
                </w:tcPr>
                <w:p>
                  <w:pPr>
                    <w:snapToGrid w:val="0"/>
                    <w:spacing w:line="360" w:lineRule="auto"/>
                    <w:jc w:val="center"/>
                    <w:rPr>
                      <w:rFonts w:hint="default" w:ascii="Times New Roman" w:hAnsi="Times New Roman" w:eastAsia="宋体" w:cs="Times New Roman"/>
                      <w:color w:val="auto"/>
                      <w:sz w:val="21"/>
                      <w:szCs w:val="21"/>
                      <w:lang w:val="en-US" w:eastAsia="zh-CN"/>
                    </w:rPr>
                  </w:pPr>
                </w:p>
              </w:tc>
              <w:tc>
                <w:tcPr>
                  <w:tcW w:w="3645"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《全省开展工业企业挥发性有机物专项治理工作中排放建议值》（豫环攻坚办[2017]162 号）</w:t>
                  </w:r>
                  <w:r>
                    <w:rPr>
                      <w:rFonts w:hint="default" w:ascii="Times New Roman" w:hAnsi="Times New Roman" w:eastAsia="宋体" w:cs="Times New Roman"/>
                      <w:color w:val="auto"/>
                      <w:sz w:val="21"/>
                      <w:szCs w:val="21"/>
                      <w:lang w:val="en-US" w:eastAsia="zh-CN"/>
                    </w:rPr>
                    <w:t>中其他行业</w:t>
                  </w:r>
                </w:p>
              </w:tc>
              <w:tc>
                <w:tcPr>
                  <w:tcW w:w="1209"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967"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keepNext w:val="0"/>
              <w:keepLines w:val="0"/>
              <w:pageBreakBefore w:val="0"/>
              <w:widowControl w:val="0"/>
              <w:tabs>
                <w:tab w:val="left" w:pos="0"/>
              </w:tabs>
              <w:kinsoku/>
              <w:wordWrap/>
              <w:overflowPunct/>
              <w:topLinePunct w:val="0"/>
              <w:autoSpaceDE/>
              <w:autoSpaceDN/>
              <w:bidi w:val="0"/>
              <w:adjustRightInd/>
              <w:snapToGrid w:val="0"/>
              <w:spacing w:line="360" w:lineRule="auto"/>
              <w:ind w:right="113"/>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cs="Times New Roman"/>
                <w:b/>
                <w:bCs/>
                <w:color w:val="auto"/>
                <w:sz w:val="24"/>
                <w:szCs w:val="24"/>
                <w:lang w:val="en-US" w:eastAsia="zh-CN"/>
              </w:rPr>
              <w:t>9</w:t>
            </w:r>
            <w:r>
              <w:rPr>
                <w:rFonts w:hint="default" w:ascii="Times New Roman" w:hAnsi="Times New Roman" w:eastAsia="宋体" w:cs="Times New Roman"/>
                <w:b/>
                <w:bCs/>
                <w:color w:val="auto"/>
                <w:sz w:val="24"/>
                <w:szCs w:val="24"/>
              </w:rPr>
              <w:t xml:space="preserve">  无组织废气污染物排放执行标准表</w:t>
            </w:r>
            <w:r>
              <w:rPr>
                <w:rFonts w:hint="eastAsia" w:ascii="Times New Roman" w:hAnsi="Times New Roman" w:cs="Times New Roman"/>
                <w:b/>
                <w:bCs/>
                <w:color w:val="auto"/>
                <w:sz w:val="24"/>
                <w:szCs w:val="24"/>
                <w:u w:val="none"/>
                <w:lang w:eastAsia="zh-CN"/>
              </w:rPr>
              <w:t>（执行最严标准）</w:t>
            </w:r>
          </w:p>
          <w:tbl>
            <w:tblPr>
              <w:tblStyle w:val="11"/>
              <w:tblW w:w="87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1"/>
              <w:gridCol w:w="1395"/>
              <w:gridCol w:w="990"/>
              <w:gridCol w:w="4140"/>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23" w:hRule="atLeast"/>
                <w:tblHeader/>
                <w:jc w:val="center"/>
              </w:trPr>
              <w:tc>
                <w:tcPr>
                  <w:tcW w:w="631" w:type="dxa"/>
                  <w:vMerge w:val="restart"/>
                  <w:vAlign w:val="center"/>
                </w:tcPr>
                <w:p>
                  <w:pPr>
                    <w:pStyle w:val="21"/>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395" w:type="dxa"/>
                  <w:vMerge w:val="restart"/>
                  <w:vAlign w:val="center"/>
                </w:tcPr>
                <w:p>
                  <w:pPr>
                    <w:pStyle w:val="21"/>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生产设施编号/无组织排放编号</w:t>
                  </w:r>
                </w:p>
              </w:tc>
              <w:tc>
                <w:tcPr>
                  <w:tcW w:w="990" w:type="dxa"/>
                  <w:vMerge w:val="restart"/>
                  <w:vAlign w:val="center"/>
                </w:tcPr>
                <w:p>
                  <w:pPr>
                    <w:pStyle w:val="21"/>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污染物种类</w:t>
                  </w:r>
                </w:p>
              </w:tc>
              <w:tc>
                <w:tcPr>
                  <w:tcW w:w="5731" w:type="dxa"/>
                  <w:gridSpan w:val="2"/>
                  <w:vAlign w:val="center"/>
                </w:tcPr>
                <w:p>
                  <w:pPr>
                    <w:pStyle w:val="21"/>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国家或地方污染物排放标准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3" w:hRule="atLeast"/>
                <w:tblHeader/>
                <w:jc w:val="center"/>
              </w:trPr>
              <w:tc>
                <w:tcPr>
                  <w:tcW w:w="631" w:type="dxa"/>
                  <w:vMerge w:val="continue"/>
                  <w:vAlign w:val="center"/>
                </w:tcPr>
                <w:p>
                  <w:pPr>
                    <w:pStyle w:val="21"/>
                    <w:adjustRightInd w:val="0"/>
                    <w:snapToGrid w:val="0"/>
                    <w:spacing w:line="360" w:lineRule="auto"/>
                    <w:jc w:val="center"/>
                    <w:rPr>
                      <w:rFonts w:hint="default" w:ascii="Times New Roman" w:hAnsi="Times New Roman" w:eastAsia="宋体" w:cs="Times New Roman"/>
                      <w:color w:val="auto"/>
                      <w:sz w:val="21"/>
                      <w:szCs w:val="21"/>
                    </w:rPr>
                  </w:pPr>
                </w:p>
              </w:tc>
              <w:tc>
                <w:tcPr>
                  <w:tcW w:w="1395" w:type="dxa"/>
                  <w:vMerge w:val="continue"/>
                  <w:vAlign w:val="center"/>
                </w:tcPr>
                <w:p>
                  <w:pPr>
                    <w:pStyle w:val="21"/>
                    <w:adjustRightInd w:val="0"/>
                    <w:snapToGrid w:val="0"/>
                    <w:spacing w:line="360" w:lineRule="auto"/>
                    <w:jc w:val="center"/>
                    <w:rPr>
                      <w:rFonts w:hint="default" w:ascii="Times New Roman" w:hAnsi="Times New Roman" w:eastAsia="宋体" w:cs="Times New Roman"/>
                      <w:color w:val="auto"/>
                      <w:sz w:val="21"/>
                      <w:szCs w:val="21"/>
                    </w:rPr>
                  </w:pPr>
                </w:p>
              </w:tc>
              <w:tc>
                <w:tcPr>
                  <w:tcW w:w="990" w:type="dxa"/>
                  <w:vMerge w:val="continue"/>
                  <w:vAlign w:val="center"/>
                </w:tcPr>
                <w:p>
                  <w:pPr>
                    <w:pStyle w:val="21"/>
                    <w:adjustRightInd w:val="0"/>
                    <w:snapToGrid w:val="0"/>
                    <w:spacing w:line="360" w:lineRule="auto"/>
                    <w:jc w:val="center"/>
                    <w:rPr>
                      <w:rFonts w:hint="default" w:ascii="Times New Roman" w:hAnsi="Times New Roman" w:eastAsia="宋体" w:cs="Times New Roman"/>
                      <w:color w:val="auto"/>
                      <w:sz w:val="21"/>
                      <w:szCs w:val="21"/>
                    </w:rPr>
                  </w:pPr>
                </w:p>
              </w:tc>
              <w:tc>
                <w:tcPr>
                  <w:tcW w:w="4140" w:type="dxa"/>
                  <w:vAlign w:val="center"/>
                </w:tcPr>
                <w:p>
                  <w:pPr>
                    <w:pStyle w:val="21"/>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591" w:type="dxa"/>
                  <w:vAlign w:val="center"/>
                </w:tcPr>
                <w:p>
                  <w:pPr>
                    <w:pStyle w:val="21"/>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3" w:hRule="atLeast"/>
                <w:tblHeader/>
                <w:jc w:val="center"/>
              </w:trPr>
              <w:tc>
                <w:tcPr>
                  <w:tcW w:w="631" w:type="dxa"/>
                  <w:vMerge w:val="restart"/>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95" w:type="dxa"/>
                  <w:vMerge w:val="restart"/>
                  <w:vAlign w:val="center"/>
                </w:tcPr>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车间</w:t>
                  </w:r>
                </w:p>
              </w:tc>
              <w:tc>
                <w:tcPr>
                  <w:tcW w:w="990" w:type="dxa"/>
                  <w:vMerge w:val="restart"/>
                  <w:vAlign w:val="center"/>
                </w:tcPr>
                <w:p>
                  <w:pPr>
                    <w:pStyle w:val="21"/>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4140" w:type="dxa"/>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《全省开展工业企业挥发性有机物专项治理工作中排放建议值》（豫环攻坚办[2017]162 号）</w:t>
                  </w:r>
                  <w:r>
                    <w:rPr>
                      <w:rFonts w:hint="default" w:ascii="Times New Roman" w:hAnsi="Times New Roman" w:eastAsia="宋体" w:cs="Times New Roman"/>
                      <w:color w:val="auto"/>
                      <w:sz w:val="21"/>
                      <w:szCs w:val="21"/>
                      <w:lang w:val="en-US" w:eastAsia="zh-CN"/>
                    </w:rPr>
                    <w:t>中其他行业</w:t>
                  </w:r>
                </w:p>
              </w:tc>
              <w:tc>
                <w:tcPr>
                  <w:tcW w:w="1591" w:type="dxa"/>
                  <w:vAlign w:val="center"/>
                </w:tcPr>
                <w:p>
                  <w:pPr>
                    <w:pStyle w:val="21"/>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3" w:hRule="atLeast"/>
                <w:tblHeader/>
                <w:jc w:val="center"/>
              </w:trPr>
              <w:tc>
                <w:tcPr>
                  <w:tcW w:w="631" w:type="dxa"/>
                  <w:vMerge w:val="continue"/>
                  <w:vAlign w:val="center"/>
                </w:tcPr>
                <w:p>
                  <w:pPr>
                    <w:adjustRightInd w:val="0"/>
                    <w:snapToGrid w:val="0"/>
                    <w:spacing w:line="360" w:lineRule="auto"/>
                    <w:jc w:val="center"/>
                    <w:rPr>
                      <w:rFonts w:hint="default" w:ascii="Times New Roman" w:hAnsi="Times New Roman" w:eastAsia="宋体" w:cs="Times New Roman"/>
                      <w:color w:val="auto"/>
                      <w:sz w:val="21"/>
                      <w:szCs w:val="21"/>
                    </w:rPr>
                  </w:pPr>
                </w:p>
              </w:tc>
              <w:tc>
                <w:tcPr>
                  <w:tcW w:w="1395" w:type="dxa"/>
                  <w:vMerge w:val="continue"/>
                  <w:vAlign w:val="center"/>
                </w:tcPr>
                <w:p>
                  <w:pPr>
                    <w:adjustRightInd w:val="0"/>
                    <w:snapToGrid w:val="0"/>
                    <w:spacing w:line="360" w:lineRule="auto"/>
                    <w:jc w:val="center"/>
                    <w:rPr>
                      <w:rFonts w:hint="default" w:ascii="Times New Roman" w:hAnsi="Times New Roman" w:eastAsia="宋体" w:cs="Times New Roman"/>
                      <w:color w:val="auto"/>
                      <w:sz w:val="21"/>
                      <w:szCs w:val="21"/>
                      <w:lang w:val="en-US" w:eastAsia="zh-CN"/>
                    </w:rPr>
                  </w:pPr>
                </w:p>
              </w:tc>
              <w:tc>
                <w:tcPr>
                  <w:tcW w:w="990" w:type="dxa"/>
                  <w:vMerge w:val="continue"/>
                  <w:vAlign w:val="center"/>
                </w:tcPr>
                <w:p>
                  <w:pPr>
                    <w:pStyle w:val="21"/>
                    <w:adjustRightInd w:val="0"/>
                    <w:snapToGrid w:val="0"/>
                    <w:spacing w:line="360" w:lineRule="auto"/>
                    <w:jc w:val="center"/>
                    <w:rPr>
                      <w:rFonts w:hint="default" w:ascii="Times New Roman" w:hAnsi="Times New Roman" w:eastAsia="宋体" w:cs="Times New Roman"/>
                      <w:color w:val="auto"/>
                      <w:sz w:val="21"/>
                      <w:szCs w:val="21"/>
                      <w:lang w:val="en-US" w:eastAsia="zh-CN"/>
                    </w:rPr>
                  </w:pPr>
                </w:p>
              </w:tc>
              <w:tc>
                <w:tcPr>
                  <w:tcW w:w="4140" w:type="dxa"/>
                  <w:vAlign w:val="center"/>
                </w:tcPr>
                <w:p>
                  <w:pPr>
                    <w:adjustRightInd w:val="0"/>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《合成树脂工业污染物排放标准》（GB31572-2015）</w:t>
                  </w:r>
                </w:p>
              </w:tc>
              <w:tc>
                <w:tcPr>
                  <w:tcW w:w="1591" w:type="dxa"/>
                  <w:vAlign w:val="center"/>
                </w:tcPr>
                <w:p>
                  <w:pPr>
                    <w:pStyle w:val="21"/>
                    <w:adjustRightInd w:val="0"/>
                    <w:snapToGrid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r>
          </w:tbl>
          <w:p>
            <w:pPr>
              <w:keepNext w:val="0"/>
              <w:keepLines w:val="0"/>
              <w:pageBreakBefore w:val="0"/>
              <w:widowControl w:val="0"/>
              <w:kinsoku/>
              <w:wordWrap/>
              <w:overflowPunct/>
              <w:topLinePunct w:val="0"/>
              <w:autoSpaceDE/>
              <w:autoSpaceDN/>
              <w:bidi w:val="0"/>
              <w:adjustRightInd/>
              <w:snapToGrid/>
              <w:spacing w:line="360" w:lineRule="auto"/>
              <w:ind w:firstLine="50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w:t>
            </w:r>
            <w:r>
              <w:rPr>
                <w:rFonts w:hint="eastAsia" w:ascii="Times New Roman" w:hAnsi="Times New Roman" w:cs="Times New Roman"/>
                <w:b/>
                <w:bCs/>
                <w:color w:val="auto"/>
                <w:sz w:val="24"/>
                <w:szCs w:val="24"/>
                <w:lang w:val="en-US" w:eastAsia="zh-CN"/>
              </w:rPr>
              <w:t>5</w:t>
            </w:r>
            <w:r>
              <w:rPr>
                <w:rFonts w:hint="default" w:ascii="Times New Roman" w:hAnsi="Times New Roman" w:eastAsia="宋体" w:cs="Times New Roman"/>
                <w:b/>
                <w:bCs/>
                <w:color w:val="auto"/>
                <w:sz w:val="24"/>
                <w:szCs w:val="24"/>
              </w:rPr>
              <w:t>项目营运期废气排放监测计划</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u w:val="none"/>
              </w:rPr>
            </w:pPr>
            <w:r>
              <w:rPr>
                <w:rFonts w:hint="default" w:ascii="Times New Roman" w:hAnsi="Times New Roman" w:eastAsia="宋体" w:cs="Times New Roman"/>
                <w:b/>
                <w:bCs/>
                <w:color w:val="auto"/>
                <w:sz w:val="24"/>
                <w:szCs w:val="24"/>
                <w:u w:val="none"/>
              </w:rPr>
              <w:t>表4-</w:t>
            </w:r>
            <w:r>
              <w:rPr>
                <w:rFonts w:hint="eastAsia" w:ascii="Times New Roman" w:hAnsi="Times New Roman" w:cs="Times New Roman"/>
                <w:b/>
                <w:bCs/>
                <w:color w:val="auto"/>
                <w:sz w:val="24"/>
                <w:szCs w:val="24"/>
                <w:u w:val="none"/>
                <w:lang w:val="en-US" w:eastAsia="zh-CN"/>
              </w:rPr>
              <w:t>10</w:t>
            </w:r>
            <w:r>
              <w:rPr>
                <w:rFonts w:hint="default" w:ascii="Times New Roman" w:hAnsi="Times New Roman" w:eastAsia="宋体" w:cs="Times New Roman"/>
                <w:b/>
                <w:bCs/>
                <w:color w:val="auto"/>
                <w:sz w:val="24"/>
                <w:szCs w:val="24"/>
                <w:u w:val="none"/>
              </w:rPr>
              <w:t xml:space="preserve">   营运期废气排放监测计划</w:t>
            </w:r>
          </w:p>
          <w:tbl>
            <w:tblPr>
              <w:tblStyle w:val="11"/>
              <w:tblW w:w="89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47"/>
              <w:gridCol w:w="911"/>
              <w:gridCol w:w="2662"/>
              <w:gridCol w:w="1944"/>
              <w:gridCol w:w="1011"/>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825"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时段</w:t>
                  </w:r>
                </w:p>
              </w:tc>
              <w:tc>
                <w:tcPr>
                  <w:tcW w:w="1458" w:type="dxa"/>
                  <w:gridSpan w:val="2"/>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2662"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1944"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1011"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监测时间与频率</w:t>
                  </w:r>
                </w:p>
              </w:tc>
              <w:tc>
                <w:tcPr>
                  <w:tcW w:w="1092"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25" w:type="dxa"/>
                  <w:vMerge w:val="restart"/>
                  <w:vAlign w:val="center"/>
                </w:tcPr>
                <w:p>
                  <w:pPr>
                    <w:autoSpaceDE w:val="0"/>
                    <w:autoSpaceDN w:val="0"/>
                    <w:adjustRightIn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营运期</w:t>
                  </w:r>
                </w:p>
              </w:tc>
              <w:tc>
                <w:tcPr>
                  <w:tcW w:w="547" w:type="dxa"/>
                  <w:vMerge w:val="restart"/>
                  <w:vAlign w:val="center"/>
                </w:tcPr>
                <w:p>
                  <w:pPr>
                    <w:autoSpaceDE w:val="0"/>
                    <w:autoSpaceDN w:val="0"/>
                    <w:adjustRightIn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911" w:type="dxa"/>
                  <w:vMerge w:val="restart"/>
                  <w:vAlign w:val="center"/>
                </w:tcPr>
                <w:p>
                  <w:pPr>
                    <w:autoSpaceDE w:val="0"/>
                    <w:autoSpaceDN w:val="0"/>
                    <w:adjustRightIn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排放监测</w:t>
                  </w:r>
                </w:p>
              </w:tc>
              <w:tc>
                <w:tcPr>
                  <w:tcW w:w="2662" w:type="dxa"/>
                  <w:vAlign w:val="center"/>
                </w:tcPr>
                <w:p>
                  <w:pPr>
                    <w:autoSpaceDE w:val="0"/>
                    <w:autoSpaceDN w:val="0"/>
                    <w:adjustRightInd w:val="0"/>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废气流量、流速、</w:t>
                  </w:r>
                  <w:r>
                    <w:rPr>
                      <w:rFonts w:hint="default" w:ascii="Times New Roman" w:hAnsi="Times New Roman" w:eastAsia="宋体" w:cs="Times New Roman"/>
                      <w:color w:val="auto"/>
                      <w:sz w:val="21"/>
                      <w:szCs w:val="21"/>
                      <w:lang w:val="en-US" w:eastAsia="zh-CN"/>
                    </w:rPr>
                    <w:t>非甲烷总烃</w:t>
                  </w:r>
                </w:p>
              </w:tc>
              <w:tc>
                <w:tcPr>
                  <w:tcW w:w="1944" w:type="dxa"/>
                  <w:vAlign w:val="center"/>
                </w:tcPr>
                <w:p>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车间熔融挤出工序排气筒</w:t>
                  </w:r>
                  <w:r>
                    <w:rPr>
                      <w:rFonts w:hint="default" w:ascii="Times New Roman" w:hAnsi="Times New Roman" w:eastAsia="宋体" w:cs="Times New Roman"/>
                      <w:color w:val="auto"/>
                      <w:sz w:val="21"/>
                      <w:szCs w:val="21"/>
                    </w:rPr>
                    <w:t>DA00</w:t>
                  </w:r>
                  <w:r>
                    <w:rPr>
                      <w:rFonts w:hint="eastAsia" w:ascii="Times New Roman" w:hAnsi="Times New Roman" w:eastAsia="宋体" w:cs="Times New Roman"/>
                      <w:color w:val="auto"/>
                      <w:sz w:val="21"/>
                      <w:szCs w:val="21"/>
                      <w:lang w:val="en-US" w:eastAsia="zh-CN"/>
                    </w:rPr>
                    <w:t>1</w:t>
                  </w:r>
                </w:p>
              </w:tc>
              <w:tc>
                <w:tcPr>
                  <w:tcW w:w="1011" w:type="dxa"/>
                  <w:vAlign w:val="center"/>
                </w:tcPr>
                <w:p>
                  <w:pPr>
                    <w:autoSpaceDE w:val="0"/>
                    <w:autoSpaceDN w:val="0"/>
                    <w:adjustRightInd w:val="0"/>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次/</w:t>
                  </w:r>
                  <w:r>
                    <w:rPr>
                      <w:rFonts w:hint="eastAsia" w:ascii="Times New Roman" w:hAnsi="Times New Roman" w:eastAsia="宋体" w:cs="Times New Roman"/>
                      <w:color w:val="auto"/>
                      <w:sz w:val="21"/>
                      <w:szCs w:val="21"/>
                      <w:lang w:eastAsia="zh-CN"/>
                    </w:rPr>
                    <w:t>半</w:t>
                  </w:r>
                  <w:r>
                    <w:rPr>
                      <w:rFonts w:hint="default" w:ascii="Times New Roman" w:hAnsi="Times New Roman" w:eastAsia="宋体" w:cs="Times New Roman"/>
                      <w:color w:val="auto"/>
                      <w:sz w:val="21"/>
                      <w:szCs w:val="21"/>
                      <w:lang w:val="en-US" w:eastAsia="zh-CN"/>
                    </w:rPr>
                    <w:t>年</w:t>
                  </w:r>
                </w:p>
              </w:tc>
              <w:tc>
                <w:tcPr>
                  <w:tcW w:w="1092" w:type="dxa"/>
                  <w:vMerge w:val="restart"/>
                  <w:vAlign w:val="center"/>
                </w:tcPr>
                <w:p>
                  <w:pPr>
                    <w:autoSpaceDE w:val="0"/>
                    <w:autoSpaceDN w:val="0"/>
                    <w:adjustRightIn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委托有资质的环境监测单位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5" w:type="dxa"/>
                  <w:vMerge w:val="continue"/>
                  <w:vAlign w:val="center"/>
                </w:tcPr>
                <w:p>
                  <w:pPr>
                    <w:autoSpaceDE w:val="0"/>
                    <w:autoSpaceDN w:val="0"/>
                    <w:adjustRightInd w:val="0"/>
                    <w:spacing w:line="360" w:lineRule="auto"/>
                    <w:jc w:val="center"/>
                    <w:rPr>
                      <w:rFonts w:hint="default" w:ascii="Times New Roman" w:hAnsi="Times New Roman" w:eastAsia="宋体" w:cs="Times New Roman"/>
                      <w:color w:val="auto"/>
                      <w:sz w:val="21"/>
                      <w:szCs w:val="21"/>
                    </w:rPr>
                  </w:pPr>
                </w:p>
              </w:tc>
              <w:tc>
                <w:tcPr>
                  <w:tcW w:w="547" w:type="dxa"/>
                  <w:vMerge w:val="continue"/>
                  <w:vAlign w:val="center"/>
                </w:tcPr>
                <w:p>
                  <w:pPr>
                    <w:autoSpaceDE w:val="0"/>
                    <w:autoSpaceDN w:val="0"/>
                    <w:adjustRightInd w:val="0"/>
                    <w:spacing w:line="360" w:lineRule="auto"/>
                    <w:jc w:val="center"/>
                    <w:rPr>
                      <w:rFonts w:hint="default" w:ascii="Times New Roman" w:hAnsi="Times New Roman" w:eastAsia="宋体" w:cs="Times New Roman"/>
                      <w:color w:val="auto"/>
                      <w:sz w:val="21"/>
                      <w:szCs w:val="21"/>
                    </w:rPr>
                  </w:pPr>
                </w:p>
              </w:tc>
              <w:tc>
                <w:tcPr>
                  <w:tcW w:w="911" w:type="dxa"/>
                  <w:vMerge w:val="continue"/>
                  <w:vAlign w:val="center"/>
                </w:tcPr>
                <w:p>
                  <w:pPr>
                    <w:autoSpaceDE w:val="0"/>
                    <w:autoSpaceDN w:val="0"/>
                    <w:adjustRightInd w:val="0"/>
                    <w:spacing w:line="360" w:lineRule="auto"/>
                    <w:jc w:val="center"/>
                    <w:rPr>
                      <w:rFonts w:hint="default" w:ascii="Times New Roman" w:hAnsi="Times New Roman" w:eastAsia="宋体" w:cs="Times New Roman"/>
                      <w:color w:val="auto"/>
                      <w:sz w:val="21"/>
                      <w:szCs w:val="21"/>
                    </w:rPr>
                  </w:pPr>
                </w:p>
              </w:tc>
              <w:tc>
                <w:tcPr>
                  <w:tcW w:w="2662" w:type="dxa"/>
                  <w:vAlign w:val="center"/>
                </w:tcPr>
                <w:p>
                  <w:pPr>
                    <w:autoSpaceDE w:val="0"/>
                    <w:autoSpaceDN w:val="0"/>
                    <w:adjustRightInd w:val="0"/>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p>
              </w:tc>
              <w:tc>
                <w:tcPr>
                  <w:tcW w:w="1944" w:type="dxa"/>
                  <w:vAlign w:val="center"/>
                </w:tcPr>
                <w:p>
                  <w:pPr>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厂界四周</w:t>
                  </w:r>
                </w:p>
              </w:tc>
              <w:tc>
                <w:tcPr>
                  <w:tcW w:w="1011" w:type="dxa"/>
                  <w:vAlign w:val="center"/>
                </w:tcPr>
                <w:p>
                  <w:pPr>
                    <w:autoSpaceDE w:val="0"/>
                    <w:autoSpaceDN w:val="0"/>
                    <w:adjustRightInd w:val="0"/>
                    <w:spacing w:line="36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次/</w:t>
                  </w:r>
                  <w:r>
                    <w:rPr>
                      <w:rFonts w:hint="default" w:ascii="Times New Roman" w:hAnsi="Times New Roman" w:eastAsia="宋体" w:cs="Times New Roman"/>
                      <w:color w:val="auto"/>
                      <w:sz w:val="21"/>
                      <w:szCs w:val="21"/>
                      <w:lang w:val="en-US" w:eastAsia="zh-CN"/>
                    </w:rPr>
                    <w:t>年</w:t>
                  </w:r>
                </w:p>
              </w:tc>
              <w:tc>
                <w:tcPr>
                  <w:tcW w:w="1092" w:type="dxa"/>
                  <w:vMerge w:val="continue"/>
                  <w:vAlign w:val="center"/>
                </w:tcPr>
                <w:p>
                  <w:pPr>
                    <w:autoSpaceDE w:val="0"/>
                    <w:autoSpaceDN w:val="0"/>
                    <w:adjustRightInd w:val="0"/>
                    <w:spacing w:line="360" w:lineRule="auto"/>
                    <w:jc w:val="center"/>
                    <w:rPr>
                      <w:rFonts w:hint="default" w:ascii="Times New Roman" w:hAnsi="Times New Roman" w:eastAsia="宋体" w:cs="Times New Roman"/>
                      <w:color w:val="auto"/>
                      <w:sz w:val="21"/>
                      <w:szCs w:val="21"/>
                    </w:rPr>
                  </w:pPr>
                </w:p>
              </w:tc>
            </w:tr>
          </w:tbl>
          <w:p>
            <w:pPr>
              <w:adjustRightInd w:val="0"/>
              <w:snapToGrid w:val="0"/>
              <w:spacing w:line="360" w:lineRule="auto"/>
              <w:ind w:firstLine="500" w:firstLineChars="200"/>
              <w:rPr>
                <w:rFonts w:hint="default" w:ascii="Times New Roman" w:hAnsi="Times New Roman" w:eastAsia="宋体" w:cs="Times New Roman"/>
                <w:b/>
                <w:bCs w:val="0"/>
                <w:color w:val="000000" w:themeColor="text1"/>
                <w:sz w:val="24"/>
                <w14:textFill>
                  <w14:solidFill>
                    <w14:schemeClr w14:val="tx1"/>
                  </w14:solidFill>
                </w14:textFill>
              </w:rPr>
            </w:pPr>
            <w:r>
              <w:rPr>
                <w:rFonts w:hint="default" w:ascii="Times New Roman" w:hAnsi="Times New Roman" w:eastAsia="宋体" w:cs="Times New Roman"/>
                <w:b/>
                <w:bCs w:val="0"/>
                <w:color w:val="000000" w:themeColor="text1"/>
                <w:sz w:val="24"/>
                <w:lang w:val="en-US" w:eastAsia="zh-CN"/>
                <w14:textFill>
                  <w14:solidFill>
                    <w14:schemeClr w14:val="tx1"/>
                  </w14:solidFill>
                </w14:textFill>
              </w:rPr>
              <w:t>1.</w:t>
            </w: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6</w:t>
            </w:r>
            <w:r>
              <w:rPr>
                <w:rFonts w:hint="default" w:ascii="Times New Roman" w:hAnsi="Times New Roman" w:eastAsia="宋体" w:cs="Times New Roman"/>
                <w:b/>
                <w:bCs w:val="0"/>
                <w:color w:val="000000" w:themeColor="text1"/>
                <w:sz w:val="24"/>
                <w14:textFill>
                  <w14:solidFill>
                    <w14:schemeClr w14:val="tx1"/>
                  </w14:solidFill>
                </w14:textFill>
              </w:rPr>
              <w:t>非正常工况分析</w:t>
            </w:r>
          </w:p>
          <w:p>
            <w:pPr>
              <w:tabs>
                <w:tab w:val="left" w:pos="1081"/>
              </w:tabs>
              <w:adjustRightInd w:val="0"/>
              <w:snapToGrid w:val="0"/>
              <w:spacing w:line="360" w:lineRule="auto"/>
              <w:ind w:firstLine="50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非正常排放是指生产过程中开停（工、炉）、设备检修、工艺设备运转异常等非正常工况下的污染物排放，以及污染物排放控制措施达不到应有效率等情况下的排放。项目废气非正常工况排放主要为废气处理设施接近饱和或出现故障不能正常运行时，废气治理效率下降的状态进行估算，但废气收集系统可以正常运行，废气通过排气筒排放等情况，废气处理设施出现故障不能正常运行时，应立即停产进行维修，避免对周围环境造成污染。项目非正常工况下大气污染物的排放情况具体见下表。</w:t>
            </w:r>
          </w:p>
          <w:p>
            <w:pPr>
              <w:bidi w:val="0"/>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表4-</w:t>
            </w:r>
            <w:r>
              <w:rPr>
                <w:rFonts w:hint="default" w:ascii="Times New Roman" w:hAnsi="Times New Roman" w:cs="Times New Roman"/>
                <w:b/>
                <w:bCs/>
                <w:sz w:val="24"/>
                <w:szCs w:val="24"/>
                <w:lang w:val="en-US" w:eastAsia="zh-CN"/>
              </w:rPr>
              <w:t>1</w:t>
            </w:r>
            <w:r>
              <w:rPr>
                <w:rFonts w:hint="eastAsia" w:ascii="Times New Roman" w:hAnsi="Times New Roman" w:cs="Times New Roman"/>
                <w:b/>
                <w:bCs/>
                <w:sz w:val="24"/>
                <w:szCs w:val="24"/>
                <w:lang w:val="en-US" w:eastAsia="zh-CN"/>
              </w:rPr>
              <w:t>1</w:t>
            </w:r>
            <w:r>
              <w:rPr>
                <w:rFonts w:hint="default" w:ascii="Times New Roman" w:hAnsi="Times New Roman" w:cs="Times New Roman"/>
                <w:b/>
                <w:bCs/>
                <w:sz w:val="24"/>
                <w:szCs w:val="24"/>
              </w:rPr>
              <w:t xml:space="preserve">       非正常工况下废气排放情况一览表</w:t>
            </w:r>
          </w:p>
          <w:tbl>
            <w:tblPr>
              <w:tblStyle w:val="11"/>
              <w:tblW w:w="9049"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97"/>
              <w:gridCol w:w="1080"/>
              <w:gridCol w:w="2410"/>
              <w:gridCol w:w="849"/>
              <w:gridCol w:w="865"/>
              <w:gridCol w:w="1103"/>
              <w:gridCol w:w="19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00" w:hRule="atLeast"/>
                <w:jc w:val="center"/>
              </w:trPr>
              <w:tc>
                <w:tcPr>
                  <w:tcW w:w="797" w:type="dxa"/>
                  <w:vMerge w:val="restart"/>
                  <w:shd w:val="clear" w:color="auto" w:fill="auto"/>
                  <w:vAlign w:val="center"/>
                </w:tcPr>
                <w:p>
                  <w:pPr>
                    <w:spacing w:line="360" w:lineRule="auto"/>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污染源</w:t>
                  </w:r>
                </w:p>
              </w:tc>
              <w:tc>
                <w:tcPr>
                  <w:tcW w:w="1080" w:type="dxa"/>
                  <w:vMerge w:val="restart"/>
                  <w:shd w:val="clear" w:color="auto" w:fill="auto"/>
                  <w:vAlign w:val="center"/>
                </w:tcPr>
                <w:p>
                  <w:pPr>
                    <w:spacing w:line="360" w:lineRule="auto"/>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污染物</w:t>
                  </w:r>
                </w:p>
              </w:tc>
              <w:tc>
                <w:tcPr>
                  <w:tcW w:w="2410" w:type="dxa"/>
                  <w:vMerge w:val="restart"/>
                  <w:vAlign w:val="center"/>
                </w:tcPr>
                <w:p>
                  <w:pPr>
                    <w:spacing w:line="360" w:lineRule="auto"/>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非正常原因</w:t>
                  </w:r>
                </w:p>
              </w:tc>
              <w:tc>
                <w:tcPr>
                  <w:tcW w:w="2817" w:type="dxa"/>
                  <w:gridSpan w:val="3"/>
                  <w:tcBorders>
                    <w:right w:val="single" w:color="auto" w:sz="4" w:space="0"/>
                  </w:tcBorders>
                  <w:shd w:val="clear" w:color="auto" w:fill="auto"/>
                  <w:vAlign w:val="center"/>
                </w:tcPr>
                <w:p>
                  <w:pPr>
                    <w:spacing w:line="360" w:lineRule="auto"/>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非正常排放工况</w:t>
                  </w:r>
                </w:p>
              </w:tc>
              <w:tc>
                <w:tcPr>
                  <w:tcW w:w="1945" w:type="dxa"/>
                  <w:vMerge w:val="restart"/>
                </w:tcPr>
                <w:p>
                  <w:pPr>
                    <w:spacing w:line="360" w:lineRule="auto"/>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应对措施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90" w:hRule="atLeast"/>
                <w:jc w:val="center"/>
              </w:trPr>
              <w:tc>
                <w:tcPr>
                  <w:tcW w:w="797" w:type="dxa"/>
                  <w:vMerge w:val="continue"/>
                  <w:shd w:val="clear" w:color="auto" w:fill="auto"/>
                  <w:vAlign w:val="center"/>
                </w:tcPr>
                <w:p>
                  <w:pPr>
                    <w:spacing w:line="360" w:lineRule="auto"/>
                    <w:jc w:val="center"/>
                    <w:rPr>
                      <w:rFonts w:hint="default" w:ascii="Times New Roman" w:hAnsi="Times New Roman" w:eastAsia="宋体" w:cs="Times New Roman"/>
                      <w:color w:val="000000" w:themeColor="text1"/>
                      <w:sz w:val="21"/>
                      <w:szCs w:val="21"/>
                      <w:lang w:val="zh-CN"/>
                      <w14:textFill>
                        <w14:solidFill>
                          <w14:schemeClr w14:val="tx1"/>
                        </w14:solidFill>
                      </w14:textFill>
                    </w:rPr>
                  </w:pPr>
                </w:p>
              </w:tc>
              <w:tc>
                <w:tcPr>
                  <w:tcW w:w="1080" w:type="dxa"/>
                  <w:vMerge w:val="continue"/>
                  <w:shd w:val="clear" w:color="auto" w:fill="auto"/>
                  <w:vAlign w:val="center"/>
                </w:tcPr>
                <w:p>
                  <w:pPr>
                    <w:spacing w:line="360" w:lineRule="auto"/>
                    <w:jc w:val="center"/>
                    <w:rPr>
                      <w:rFonts w:hint="default" w:ascii="Times New Roman" w:hAnsi="Times New Roman" w:eastAsia="宋体" w:cs="Times New Roman"/>
                      <w:color w:val="000000" w:themeColor="text1"/>
                      <w:sz w:val="21"/>
                      <w:szCs w:val="21"/>
                      <w:lang w:val="zh-CN"/>
                      <w14:textFill>
                        <w14:solidFill>
                          <w14:schemeClr w14:val="tx1"/>
                        </w14:solidFill>
                      </w14:textFill>
                    </w:rPr>
                  </w:pPr>
                </w:p>
              </w:tc>
              <w:tc>
                <w:tcPr>
                  <w:tcW w:w="2410" w:type="dxa"/>
                  <w:vMerge w:val="continue"/>
                  <w:vAlign w:val="center"/>
                </w:tcPr>
                <w:p>
                  <w:pPr>
                    <w:spacing w:line="360" w:lineRule="auto"/>
                    <w:jc w:val="center"/>
                    <w:rPr>
                      <w:rFonts w:hint="default" w:ascii="Times New Roman" w:hAnsi="Times New Roman" w:eastAsia="宋体" w:cs="Times New Roman"/>
                      <w:color w:val="000000" w:themeColor="text1"/>
                      <w:sz w:val="21"/>
                      <w:szCs w:val="21"/>
                      <w:lang w:val="zh-CN"/>
                      <w14:textFill>
                        <w14:solidFill>
                          <w14:schemeClr w14:val="tx1"/>
                        </w14:solidFill>
                      </w14:textFill>
                    </w:rPr>
                  </w:pPr>
                </w:p>
              </w:tc>
              <w:tc>
                <w:tcPr>
                  <w:tcW w:w="849" w:type="dxa"/>
                  <w:shd w:val="clear" w:color="auto" w:fill="auto"/>
                  <w:vAlign w:val="center"/>
                </w:tcPr>
                <w:p>
                  <w:pPr>
                    <w:spacing w:line="360" w:lineRule="auto"/>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排放</w:t>
                  </w:r>
                </w:p>
                <w:p>
                  <w:pPr>
                    <w:spacing w:line="360" w:lineRule="auto"/>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浓度mg/m</w:t>
                  </w:r>
                  <w:r>
                    <w:rPr>
                      <w:rFonts w:hint="default" w:ascii="Times New Roman" w:hAnsi="Times New Roman" w:eastAsia="宋体" w:cs="Times New Roman"/>
                      <w:color w:val="000000" w:themeColor="text1"/>
                      <w:sz w:val="21"/>
                      <w:szCs w:val="21"/>
                      <w:vertAlign w:val="superscript"/>
                      <w:lang w:val="zh-CN"/>
                      <w14:textFill>
                        <w14:solidFill>
                          <w14:schemeClr w14:val="tx1"/>
                        </w14:solidFill>
                      </w14:textFill>
                    </w:rPr>
                    <w:t>3</w:t>
                  </w:r>
                </w:p>
              </w:tc>
              <w:tc>
                <w:tcPr>
                  <w:tcW w:w="865" w:type="dxa"/>
                  <w:shd w:val="clear" w:color="auto" w:fill="auto"/>
                  <w:vAlign w:val="center"/>
                </w:tcPr>
                <w:p>
                  <w:pPr>
                    <w:spacing w:line="360" w:lineRule="auto"/>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排放速率kg/h</w:t>
                  </w:r>
                </w:p>
              </w:tc>
              <w:tc>
                <w:tcPr>
                  <w:tcW w:w="1103" w:type="dxa"/>
                  <w:shd w:val="clear" w:color="auto" w:fill="auto"/>
                  <w:vAlign w:val="center"/>
                </w:tcPr>
                <w:p>
                  <w:pPr>
                    <w:spacing w:line="360" w:lineRule="auto"/>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频次及持续时间</w:t>
                  </w:r>
                </w:p>
              </w:tc>
              <w:tc>
                <w:tcPr>
                  <w:tcW w:w="1945" w:type="dxa"/>
                  <w:vMerge w:val="continue"/>
                  <w:vAlign w:val="center"/>
                </w:tcPr>
                <w:p>
                  <w:pPr>
                    <w:spacing w:line="360" w:lineRule="auto"/>
                    <w:jc w:val="center"/>
                    <w:rPr>
                      <w:rFonts w:hint="default" w:ascii="Times New Roman" w:hAnsi="Times New Roman" w:eastAsia="宋体" w:cs="Times New Roman"/>
                      <w:color w:val="000000" w:themeColor="text1"/>
                      <w:sz w:val="21"/>
                      <w:szCs w:val="21"/>
                      <w:lang w:val="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5" w:hRule="atLeast"/>
                <w:jc w:val="center"/>
              </w:trPr>
              <w:tc>
                <w:tcPr>
                  <w:tcW w:w="797" w:type="dxa"/>
                  <w:shd w:val="clear" w:color="auto" w:fill="auto"/>
                  <w:vAlign w:val="center"/>
                </w:tcPr>
                <w:p>
                  <w:pPr>
                    <w:spacing w:line="360" w:lineRule="auto"/>
                    <w:jc w:val="center"/>
                    <w:outlineLvl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DA001</w:t>
                  </w:r>
                </w:p>
              </w:tc>
              <w:tc>
                <w:tcPr>
                  <w:tcW w:w="1080" w:type="dxa"/>
                  <w:shd w:val="clear" w:color="auto" w:fill="auto"/>
                  <w:vAlign w:val="center"/>
                </w:tcPr>
                <w:p>
                  <w:pPr>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非甲烷总烃</w:t>
                  </w:r>
                </w:p>
              </w:tc>
              <w:tc>
                <w:tcPr>
                  <w:tcW w:w="2410" w:type="dxa"/>
                  <w:vAlign w:val="center"/>
                </w:tcPr>
                <w:p>
                  <w:pPr>
                    <w:spacing w:line="360" w:lineRule="auto"/>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废气处理设施故障，按最不利情况考虑，处理效率为0%</w:t>
                  </w:r>
                </w:p>
              </w:tc>
              <w:tc>
                <w:tcPr>
                  <w:tcW w:w="849" w:type="dxa"/>
                  <w:shd w:val="clear" w:color="auto" w:fill="auto"/>
                  <w:vAlign w:val="center"/>
                </w:tcPr>
                <w:p>
                  <w:pPr>
                    <w:spacing w:line="36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26.24</w:t>
                  </w:r>
                </w:p>
              </w:tc>
              <w:tc>
                <w:tcPr>
                  <w:tcW w:w="865" w:type="dxa"/>
                  <w:shd w:val="clear" w:color="auto" w:fill="auto"/>
                  <w:vAlign w:val="center"/>
                </w:tcPr>
                <w:p>
                  <w:pPr>
                    <w:spacing w:line="36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0.656</w:t>
                  </w:r>
                </w:p>
              </w:tc>
              <w:tc>
                <w:tcPr>
                  <w:tcW w:w="1103" w:type="dxa"/>
                  <w:shd w:val="clear" w:color="auto" w:fill="auto"/>
                  <w:vAlign w:val="center"/>
                </w:tcPr>
                <w:p>
                  <w:pPr>
                    <w:spacing w:line="360" w:lineRule="auto"/>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1-2次/a， 1h/次</w:t>
                  </w:r>
                </w:p>
              </w:tc>
              <w:tc>
                <w:tcPr>
                  <w:tcW w:w="1945" w:type="dxa"/>
                  <w:vAlign w:val="center"/>
                </w:tcPr>
                <w:p>
                  <w:pPr>
                    <w:spacing w:line="360" w:lineRule="auto"/>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sz w:val="21"/>
                      <w:szCs w:val="21"/>
                      <w:u w:val="none"/>
                    </w:rPr>
                    <w:t>立即停产，关闭排放阀，对设备进行检修</w:t>
                  </w:r>
                </w:p>
              </w:tc>
            </w:tr>
          </w:tbl>
          <w:p>
            <w:pPr>
              <w:tabs>
                <w:tab w:val="left" w:pos="1081"/>
              </w:tabs>
              <w:adjustRightInd w:val="0"/>
              <w:snapToGrid w:val="0"/>
              <w:spacing w:line="360" w:lineRule="auto"/>
              <w:ind w:firstLine="50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由上表可知，非正常工况下，</w:t>
            </w:r>
            <w:r>
              <w:rPr>
                <w:rFonts w:hint="default" w:ascii="Times New Roman" w:hAnsi="Times New Roman" w:cs="Times New Roman"/>
                <w:color w:val="000000" w:themeColor="text1"/>
                <w:sz w:val="24"/>
                <w:lang w:val="en-US" w:eastAsia="zh-CN"/>
                <w14:textFill>
                  <w14:solidFill>
                    <w14:schemeClr w14:val="tx1"/>
                  </w14:solidFill>
                </w14:textFill>
              </w:rPr>
              <w:t>排气筒</w:t>
            </w:r>
            <w:r>
              <w:rPr>
                <w:rFonts w:hint="default" w:ascii="Times New Roman" w:hAnsi="Times New Roman" w:cs="Times New Roman"/>
                <w:color w:val="000000" w:themeColor="text1"/>
                <w:sz w:val="24"/>
                <w14:textFill>
                  <w14:solidFill>
                    <w14:schemeClr w14:val="tx1"/>
                  </w14:solidFill>
                </w14:textFill>
              </w:rPr>
              <w:t>DA001非甲烷总烃排放浓度</w:t>
            </w:r>
            <w:r>
              <w:rPr>
                <w:rFonts w:hint="default" w:ascii="Times New Roman" w:hAnsi="Times New Roman" w:cs="Times New Roman"/>
                <w:color w:val="000000" w:themeColor="text1"/>
                <w:sz w:val="24"/>
                <w:lang w:val="en-US" w:eastAsia="zh-CN"/>
                <w14:textFill>
                  <w14:solidFill>
                    <w14:schemeClr w14:val="tx1"/>
                  </w14:solidFill>
                </w14:textFill>
              </w:rPr>
              <w:t>较正常排放时对周围环境的影响较大</w:t>
            </w:r>
            <w:r>
              <w:rPr>
                <w:rFonts w:hint="default" w:ascii="Times New Roman" w:hAnsi="Times New Roman" w:cs="Times New Roman"/>
                <w:color w:val="000000" w:themeColor="text1"/>
                <w:sz w:val="24"/>
                <w14:textFill>
                  <w14:solidFill>
                    <w14:schemeClr w14:val="tx1"/>
                  </w14:solidFill>
                </w14:textFill>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tabs>
                <w:tab w:val="left" w:pos="1081"/>
              </w:tabs>
              <w:adjustRightInd w:val="0"/>
              <w:snapToGrid w:val="0"/>
              <w:spacing w:line="360" w:lineRule="auto"/>
              <w:ind w:firstLine="50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①安排专人负责环保设备的日常维护和管理，每隔固定时间检查、汇报情况，及时发现废气处理设备的隐患，确保废气处理系统正常运行；</w:t>
            </w:r>
          </w:p>
          <w:p>
            <w:pPr>
              <w:tabs>
                <w:tab w:val="left" w:pos="1081"/>
              </w:tabs>
              <w:adjustRightInd w:val="0"/>
              <w:snapToGrid w:val="0"/>
              <w:spacing w:line="360" w:lineRule="auto"/>
              <w:ind w:firstLine="50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②建立健全的环保管理机构，对环保管理人员和技术人员进行岗位培训，委托具有专业资质的环境检测单位对项目排放的各类污染物进行定期检测；</w:t>
            </w:r>
          </w:p>
          <w:p>
            <w:pPr>
              <w:tabs>
                <w:tab w:val="left" w:pos="1081"/>
              </w:tabs>
              <w:adjustRightInd w:val="0"/>
              <w:snapToGrid w:val="0"/>
              <w:spacing w:line="360" w:lineRule="auto"/>
              <w:ind w:firstLine="50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③应定期维护、检修</w:t>
            </w:r>
            <w:r>
              <w:rPr>
                <w:rFonts w:hint="default" w:ascii="Times New Roman" w:hAnsi="Times New Roman" w:cs="Times New Roman"/>
                <w:color w:val="000000" w:themeColor="text1"/>
                <w:sz w:val="24"/>
                <w:lang w:val="en-US" w:eastAsia="zh-CN"/>
                <w14:textFill>
                  <w14:solidFill>
                    <w14:schemeClr w14:val="tx1"/>
                  </w14:solidFill>
                </w14:textFill>
              </w:rPr>
              <w:t>有机</w:t>
            </w:r>
            <w:r>
              <w:rPr>
                <w:rFonts w:hint="default" w:ascii="Times New Roman" w:hAnsi="Times New Roman" w:cs="Times New Roman"/>
                <w:color w:val="000000" w:themeColor="text1"/>
                <w:sz w:val="24"/>
                <w14:textFill>
                  <w14:solidFill>
                    <w14:schemeClr w14:val="tx1"/>
                  </w14:solidFill>
                </w14:textFill>
              </w:rPr>
              <w:t>废气</w:t>
            </w:r>
            <w:r>
              <w:rPr>
                <w:rFonts w:hint="default" w:ascii="Times New Roman" w:hAnsi="Times New Roman" w:cs="Times New Roman"/>
                <w:color w:val="000000" w:themeColor="text1"/>
                <w:sz w:val="24"/>
                <w:lang w:val="en-US" w:eastAsia="zh-CN"/>
                <w14:textFill>
                  <w14:solidFill>
                    <w14:schemeClr w14:val="tx1"/>
                  </w14:solidFill>
                </w14:textFill>
              </w:rPr>
              <w:t>净化装置</w:t>
            </w:r>
            <w:r>
              <w:rPr>
                <w:rFonts w:hint="default" w:ascii="Times New Roman" w:hAnsi="Times New Roman" w:cs="Times New Roman"/>
                <w:color w:val="000000" w:themeColor="text1"/>
                <w:sz w:val="24"/>
                <w14:textFill>
                  <w14:solidFill>
                    <w14:schemeClr w14:val="tx1"/>
                  </w14:solidFill>
                </w14:textFill>
              </w:rPr>
              <w:t>，以保持</w:t>
            </w:r>
            <w:r>
              <w:rPr>
                <w:rFonts w:hint="default" w:ascii="Times New Roman" w:hAnsi="Times New Roman" w:cs="Times New Roman"/>
                <w:color w:val="000000" w:themeColor="text1"/>
                <w:sz w:val="24"/>
                <w:lang w:val="en-US" w:eastAsia="zh-CN"/>
                <w14:textFill>
                  <w14:solidFill>
                    <w14:schemeClr w14:val="tx1"/>
                  </w14:solidFill>
                </w14:textFill>
              </w:rPr>
              <w:t>有机</w:t>
            </w:r>
            <w:r>
              <w:rPr>
                <w:rFonts w:hint="default" w:ascii="Times New Roman" w:hAnsi="Times New Roman" w:cs="Times New Roman"/>
                <w:color w:val="000000" w:themeColor="text1"/>
                <w:sz w:val="24"/>
                <w14:textFill>
                  <w14:solidFill>
                    <w14:schemeClr w14:val="tx1"/>
                  </w14:solidFill>
                </w14:textFill>
              </w:rPr>
              <w:t>废气处理装置的净化能力和净化容量。</w:t>
            </w:r>
          </w:p>
          <w:p>
            <w:pPr>
              <w:adjustRightInd w:val="0"/>
              <w:snapToGrid w:val="0"/>
              <w:spacing w:line="360" w:lineRule="auto"/>
              <w:ind w:firstLine="500" w:firstLineChars="200"/>
              <w:rPr>
                <w:rFonts w:hint="default" w:ascii="Times New Roman" w:hAnsi="Times New Roman" w:eastAsia="宋体" w:cs="Times New Roman"/>
                <w:b/>
                <w:bCs w:val="0"/>
                <w:color w:val="auto"/>
                <w:sz w:val="24"/>
                <w:u w:val="none"/>
                <w:lang w:val="en-US" w:eastAsia="zh-CN"/>
              </w:rPr>
            </w:pPr>
            <w:r>
              <w:rPr>
                <w:rFonts w:hint="default" w:ascii="Times New Roman" w:hAnsi="Times New Roman" w:eastAsia="宋体" w:cs="Times New Roman"/>
                <w:b/>
                <w:bCs w:val="0"/>
                <w:color w:val="auto"/>
                <w:sz w:val="24"/>
                <w:u w:val="none"/>
                <w:lang w:val="en-US" w:eastAsia="zh-CN"/>
              </w:rPr>
              <w:t>1.</w:t>
            </w:r>
            <w:r>
              <w:rPr>
                <w:rFonts w:hint="eastAsia" w:ascii="Times New Roman" w:hAnsi="Times New Roman" w:eastAsia="宋体" w:cs="Times New Roman"/>
                <w:b/>
                <w:bCs w:val="0"/>
                <w:color w:val="auto"/>
                <w:sz w:val="24"/>
                <w:u w:val="none"/>
                <w:lang w:val="en-US" w:eastAsia="zh-CN"/>
              </w:rPr>
              <w:t>7</w:t>
            </w:r>
            <w:r>
              <w:rPr>
                <w:rFonts w:hint="default" w:ascii="Times New Roman" w:hAnsi="Times New Roman" w:eastAsia="宋体" w:cs="Times New Roman"/>
                <w:b/>
                <w:bCs w:val="0"/>
                <w:color w:val="auto"/>
                <w:sz w:val="24"/>
                <w:u w:val="none"/>
                <w:lang w:val="en-US" w:eastAsia="zh-CN"/>
              </w:rPr>
              <w:t>大气环境影响评价结论</w:t>
            </w:r>
          </w:p>
          <w:p>
            <w:pPr>
              <w:spacing w:before="0" w:after="0" w:line="360" w:lineRule="auto"/>
              <w:ind w:firstLine="500" w:firstLineChars="200"/>
              <w:jc w:val="both"/>
              <w:rPr>
                <w:rFonts w:hint="default" w:ascii="Times New Roman" w:hAnsi="Times New Roman" w:eastAsia="宋体" w:cs="Times New Roman"/>
                <w:b w:val="0"/>
                <w:bCs/>
                <w:color w:val="auto"/>
                <w:sz w:val="24"/>
                <w:u w:val="none"/>
              </w:rPr>
            </w:pPr>
            <w:r>
              <w:rPr>
                <w:rFonts w:hint="default" w:ascii="Times New Roman" w:hAnsi="Times New Roman" w:eastAsia="宋体" w:cs="Times New Roman"/>
                <w:b w:val="0"/>
                <w:bCs/>
                <w:color w:val="auto"/>
                <w:sz w:val="24"/>
                <w:u w:val="none"/>
              </w:rPr>
              <w:t>综上所述</w:t>
            </w:r>
            <w:r>
              <w:rPr>
                <w:rFonts w:hint="default" w:ascii="Times New Roman" w:hAnsi="Times New Roman" w:eastAsia="宋体" w:cs="Times New Roman"/>
                <w:b w:val="0"/>
                <w:bCs/>
                <w:color w:val="auto"/>
                <w:sz w:val="24"/>
                <w:u w:val="none"/>
                <w:lang w:eastAsia="zh-CN"/>
              </w:rPr>
              <w:t>，</w:t>
            </w:r>
            <w:r>
              <w:rPr>
                <w:rFonts w:hint="default" w:ascii="Times New Roman" w:hAnsi="Times New Roman" w:eastAsia="宋体" w:cs="Times New Roman"/>
                <w:b w:val="0"/>
                <w:bCs/>
                <w:color w:val="auto"/>
                <w:sz w:val="24"/>
                <w:u w:val="none"/>
              </w:rPr>
              <w:t>本项目经采取上文提出的废气污染治理措施后，熔融挤出</w:t>
            </w:r>
            <w:r>
              <w:rPr>
                <w:rFonts w:hint="default" w:ascii="Times New Roman" w:hAnsi="Times New Roman" w:eastAsia="宋体" w:cs="Times New Roman"/>
                <w:b w:val="0"/>
                <w:bCs/>
                <w:color w:val="auto"/>
                <w:sz w:val="24"/>
                <w:u w:val="none"/>
                <w:lang w:eastAsia="zh-CN"/>
              </w:rPr>
              <w:t>工序</w:t>
            </w:r>
            <w:r>
              <w:rPr>
                <w:rFonts w:hint="default" w:ascii="Times New Roman" w:hAnsi="Times New Roman" w:eastAsia="宋体" w:cs="Times New Roman"/>
                <w:b w:val="0"/>
                <w:bCs/>
                <w:color w:val="auto"/>
                <w:sz w:val="24"/>
                <w:u w:val="none"/>
                <w:lang w:val="en-US" w:eastAsia="zh-CN"/>
              </w:rPr>
              <w:t>非甲烷总烃</w:t>
            </w:r>
            <w:r>
              <w:rPr>
                <w:rFonts w:hint="default" w:ascii="Times New Roman" w:hAnsi="Times New Roman" w:eastAsia="宋体" w:cs="Times New Roman"/>
                <w:b w:val="0"/>
                <w:bCs/>
                <w:color w:val="auto"/>
                <w:sz w:val="24"/>
                <w:u w:val="none"/>
              </w:rPr>
              <w:t>排放浓度可以</w:t>
            </w:r>
            <w:r>
              <w:rPr>
                <w:rFonts w:hint="default" w:ascii="Times New Roman" w:hAnsi="Times New Roman" w:eastAsia="宋体" w:cs="Times New Roman"/>
                <w:color w:val="auto"/>
                <w:kern w:val="0"/>
                <w:sz w:val="24"/>
                <w:u w:val="none"/>
              </w:rPr>
              <w:t>满足《合成树脂工业污染物排放标准》（GB31572-2015）中表4标准</w:t>
            </w:r>
            <w:r>
              <w:rPr>
                <w:rFonts w:hint="default" w:ascii="Times New Roman" w:hAnsi="Times New Roman" w:eastAsia="宋体" w:cs="Times New Roman"/>
                <w:color w:val="auto"/>
                <w:kern w:val="0"/>
                <w:sz w:val="24"/>
                <w:u w:val="none"/>
                <w:lang w:eastAsia="zh-CN"/>
              </w:rPr>
              <w:t>，同时满足</w:t>
            </w:r>
            <w:r>
              <w:rPr>
                <w:rFonts w:hint="default" w:ascii="Times New Roman" w:hAnsi="Times New Roman" w:eastAsia="宋体" w:cs="Times New Roman"/>
                <w:color w:val="auto"/>
                <w:kern w:val="0"/>
                <w:sz w:val="24"/>
                <w:u w:val="none"/>
              </w:rPr>
              <w:t>《关于全省开展工业企业挥发性有机物专项治理工作中排放建议值的通知》（豫环攻坚办[2017]162号）中“其他行业”非甲烷总烃最高排放限值要求</w:t>
            </w:r>
            <w:r>
              <w:rPr>
                <w:rFonts w:hint="default" w:ascii="Times New Roman" w:hAnsi="Times New Roman" w:eastAsia="宋体" w:cs="Times New Roman"/>
                <w:b w:val="0"/>
                <w:bCs/>
                <w:color w:val="auto"/>
                <w:sz w:val="24"/>
                <w:u w:val="none"/>
              </w:rPr>
              <w:t>，项目建设对区域大气环境不会产生明显不良影响。</w:t>
            </w:r>
          </w:p>
          <w:p>
            <w:pPr>
              <w:spacing w:before="0" w:after="0" w:line="360" w:lineRule="auto"/>
              <w:ind w:firstLine="500" w:firstLineChars="200"/>
              <w:jc w:val="both"/>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2</w:t>
            </w:r>
            <w:r>
              <w:rPr>
                <w:rFonts w:hint="eastAsia" w:ascii="Times New Roman" w:hAnsi="Times New Roman" w:cs="Times New Roman"/>
                <w:b/>
                <w:bCs/>
                <w:sz w:val="24"/>
                <w:szCs w:val="24"/>
                <w:lang w:eastAsia="zh-CN"/>
              </w:rPr>
              <w:t>、</w:t>
            </w:r>
            <w:r>
              <w:rPr>
                <w:rFonts w:hint="default" w:ascii="Times New Roman" w:hAnsi="Times New Roman" w:cs="Times New Roman"/>
                <w:b/>
                <w:bCs/>
                <w:sz w:val="24"/>
                <w:szCs w:val="24"/>
              </w:rPr>
              <w:t>水环境影响分析</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项目运营期用水主要是职工生活用水</w:t>
            </w:r>
            <w:r>
              <w:rPr>
                <w:rFonts w:hint="eastAsia" w:ascii="Times New Roman" w:hAnsi="Times New Roman" w:cs="Times New Roman"/>
                <w:sz w:val="24"/>
                <w:szCs w:val="24"/>
                <w:lang w:eastAsia="zh-CN"/>
              </w:rPr>
              <w:t>、冷却用水和喷淋塔用水</w:t>
            </w:r>
            <w:r>
              <w:rPr>
                <w:rFonts w:hint="default" w:ascii="Times New Roman" w:hAnsi="Times New Roman" w:cs="Times New Roman"/>
                <w:sz w:val="24"/>
                <w:szCs w:val="24"/>
              </w:rPr>
              <w:t>，产生的废水主要为职工生活废水</w:t>
            </w:r>
            <w:r>
              <w:rPr>
                <w:rFonts w:hint="eastAsia" w:ascii="Times New Roman" w:hAnsi="Times New Roman" w:cs="Times New Roman"/>
                <w:sz w:val="24"/>
                <w:szCs w:val="24"/>
                <w:lang w:eastAsia="zh-CN"/>
              </w:rPr>
              <w:t>、冷却废水和喷淋塔废水</w:t>
            </w:r>
            <w:r>
              <w:rPr>
                <w:rFonts w:hint="default" w:ascii="Times New Roman" w:hAnsi="Times New Roman" w:cs="Times New Roman"/>
                <w:sz w:val="24"/>
                <w:szCs w:val="24"/>
              </w:rPr>
              <w:t>。</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（1）职工生活废水</w:t>
            </w:r>
          </w:p>
          <w:p>
            <w:pPr>
              <w:spacing w:before="0" w:after="0" w:line="360" w:lineRule="auto"/>
              <w:ind w:firstLine="500" w:firstLineChars="200"/>
              <w:jc w:val="both"/>
              <w:rPr>
                <w:rFonts w:hint="default" w:ascii="Times New Roman" w:hAnsi="Times New Roman" w:cs="Times New Roman"/>
                <w:sz w:val="24"/>
                <w:szCs w:val="24"/>
                <w:lang w:eastAsia="zh-CN"/>
              </w:rPr>
            </w:pPr>
            <w:r>
              <w:rPr>
                <w:rFonts w:hint="default" w:ascii="Times New Roman" w:hAnsi="Times New Roman" w:cs="Times New Roman"/>
                <w:color w:val="auto"/>
                <w:sz w:val="24"/>
                <w:szCs w:val="24"/>
                <w:lang w:val="en-US" w:eastAsia="zh-CN"/>
              </w:rPr>
              <w:t>本项目劳动定员5人，均不在厂区食宿，根据《河南省地方标准 工业及城镇生活用水定额》（DB41/T385-2020），项目职工生活用水参照《定额》中表48中“公共管理、 社会保障和社会组织—机关用水定额—22</w:t>
            </w:r>
            <w:r>
              <w:rPr>
                <w:rFonts w:hint="eastAsia" w:ascii="Times New Roman" w:hAnsi="Times New Roman" w:cs="Times New Roman"/>
                <w:color w:val="auto"/>
                <w:sz w:val="24"/>
                <w:szCs w:val="24"/>
                <w:lang w:val="en-US" w:eastAsia="zh-CN"/>
              </w:rPr>
              <w:t>m³</w:t>
            </w:r>
            <w:r>
              <w:rPr>
                <w:rFonts w:hint="default" w:ascii="Times New Roman" w:hAnsi="Times New Roman" w:cs="Times New Roman"/>
                <w:color w:val="auto"/>
                <w:sz w:val="24"/>
                <w:szCs w:val="24"/>
                <w:lang w:val="en-US" w:eastAsia="zh-CN"/>
              </w:rPr>
              <w:t>/人•a（无食堂），折合73L/人•d，则项目职工生活用水量为</w:t>
            </w:r>
            <w:r>
              <w:rPr>
                <w:rFonts w:hint="eastAsia" w:ascii="Times New Roman" w:hAnsi="Times New Roman" w:cs="Times New Roman"/>
                <w:color w:val="auto"/>
                <w:sz w:val="24"/>
                <w:szCs w:val="24"/>
                <w:lang w:val="en-US" w:eastAsia="zh-CN"/>
              </w:rPr>
              <w:t>0.37m³</w:t>
            </w:r>
            <w:r>
              <w:rPr>
                <w:rFonts w:hint="default" w:ascii="Times New Roman" w:hAnsi="Times New Roman" w:cs="Times New Roman"/>
                <w:color w:val="auto"/>
                <w:sz w:val="24"/>
                <w:szCs w:val="24"/>
                <w:lang w:val="en-US" w:eastAsia="zh-CN"/>
              </w:rPr>
              <w:t>/d，废水产污系数取0.8，生活污水产生量为0.</w:t>
            </w:r>
            <w:r>
              <w:rPr>
                <w:rFonts w:hint="eastAsia" w:ascii="Times New Roman" w:hAnsi="Times New Roman" w:cs="Times New Roman"/>
                <w:color w:val="auto"/>
                <w:sz w:val="24"/>
                <w:szCs w:val="24"/>
                <w:lang w:val="en-US" w:eastAsia="zh-CN"/>
              </w:rPr>
              <w:t>3m³</w:t>
            </w:r>
            <w:r>
              <w:rPr>
                <w:rFonts w:hint="default"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val="en-US" w:eastAsia="zh-CN"/>
              </w:rPr>
              <w:t>生活废水经化粪池（10m³）处理后用于附近农田施肥，不外排。</w:t>
            </w:r>
          </w:p>
          <w:p>
            <w:pPr>
              <w:spacing w:before="0" w:after="0" w:line="360" w:lineRule="auto"/>
              <w:ind w:firstLine="500" w:firstLineChars="200"/>
              <w:jc w:val="both"/>
              <w:rPr>
                <w:rFonts w:hint="eastAsia" w:ascii="Times New Roman" w:hAnsi="Times New Roman" w:eastAsia="宋体" w:cs="Times New Roman"/>
                <w:b w:val="0"/>
                <w:bCs w:val="0"/>
                <w:sz w:val="24"/>
                <w:szCs w:val="24"/>
                <w:u w:val="none"/>
                <w:lang w:eastAsia="zh-CN"/>
              </w:rPr>
            </w:pPr>
            <w:r>
              <w:rPr>
                <w:rFonts w:hint="eastAsia" w:ascii="Times New Roman" w:hAnsi="Times New Roman" w:cs="Times New Roman"/>
                <w:b w:val="0"/>
                <w:bCs w:val="0"/>
                <w:sz w:val="24"/>
                <w:szCs w:val="24"/>
                <w:u w:val="none"/>
                <w:lang w:eastAsia="zh-CN"/>
              </w:rPr>
              <w:t>本项目生活废水产生量为</w:t>
            </w:r>
            <w:r>
              <w:rPr>
                <w:rFonts w:hint="eastAsia" w:ascii="Times New Roman" w:hAnsi="Times New Roman" w:cs="Times New Roman"/>
                <w:b w:val="0"/>
                <w:bCs w:val="0"/>
                <w:sz w:val="24"/>
                <w:szCs w:val="24"/>
                <w:u w:val="none"/>
                <w:lang w:val="en-US" w:eastAsia="zh-CN"/>
              </w:rPr>
              <w:t>0.3</w:t>
            </w:r>
            <w:r>
              <w:rPr>
                <w:rFonts w:hint="eastAsia" w:ascii="Times New Roman" w:hAnsi="Times New Roman" w:cs="Times New Roman"/>
                <w:color w:val="auto"/>
                <w:sz w:val="24"/>
                <w:szCs w:val="24"/>
                <w:lang w:val="en-US" w:eastAsia="zh-CN"/>
              </w:rPr>
              <w:t>m³</w:t>
            </w:r>
            <w:r>
              <w:rPr>
                <w:rFonts w:hint="default"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val="en-US" w:eastAsia="zh-CN"/>
              </w:rPr>
              <w:t>，10m³化粪池可以暂存33天的生活废水，另外</w:t>
            </w:r>
            <w:r>
              <w:rPr>
                <w:rFonts w:hint="eastAsia" w:ascii="Times New Roman" w:hAnsi="Times New Roman" w:cs="Times New Roman"/>
                <w:b w:val="0"/>
                <w:bCs w:val="0"/>
                <w:sz w:val="24"/>
                <w:szCs w:val="24"/>
                <w:u w:val="none"/>
                <w:lang w:eastAsia="zh-CN"/>
              </w:rPr>
              <w:t>本项目东、西和南侧均有大量农田，因此废水处理措施可行。</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eastAsia="zh-CN"/>
              </w:rPr>
              <w:t>冷却</w:t>
            </w:r>
            <w:r>
              <w:rPr>
                <w:rFonts w:hint="default" w:ascii="Times New Roman" w:hAnsi="Times New Roman" w:cs="Times New Roman"/>
                <w:sz w:val="24"/>
                <w:szCs w:val="24"/>
              </w:rPr>
              <w:t>废水</w:t>
            </w:r>
          </w:p>
          <w:p>
            <w:pPr>
              <w:spacing w:before="0" w:after="0" w:line="360" w:lineRule="auto"/>
              <w:ind w:firstLine="500" w:firstLineChars="200"/>
              <w:jc w:val="both"/>
              <w:rPr>
                <w:rFonts w:hint="default" w:ascii="Times New Roman" w:hAnsi="Times New Roman" w:eastAsia="宋体" w:cs="Times New Roman"/>
                <w:sz w:val="24"/>
                <w:szCs w:val="24"/>
                <w:u w:val="none"/>
                <w:lang w:eastAsia="zh-CN"/>
              </w:rPr>
            </w:pPr>
            <w:r>
              <w:rPr>
                <w:rFonts w:hint="eastAsia"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val="en-US" w:eastAsia="zh-CN"/>
              </w:rPr>
              <w:t>高温熔融挤出后的塑料条需进入生产线末端配套的冷却水槽（长4m*宽0.55m*深0.35m）进行冷却降温，冷却水循环利用，定期补充新鲜水。冷却水槽有效容积按总容积的</w:t>
            </w:r>
            <w:r>
              <w:rPr>
                <w:rFonts w:hint="eastAsia" w:ascii="Times New Roman" w:hAnsi="Times New Roman" w:cs="Times New Roman"/>
                <w:color w:val="auto"/>
                <w:sz w:val="24"/>
                <w:szCs w:val="24"/>
                <w:lang w:val="en-US" w:eastAsia="zh-CN"/>
              </w:rPr>
              <w:t>0.85</w:t>
            </w:r>
            <w:r>
              <w:rPr>
                <w:rFonts w:hint="default" w:ascii="Times New Roman" w:hAnsi="Times New Roman" w:cs="Times New Roman"/>
                <w:color w:val="auto"/>
                <w:sz w:val="24"/>
                <w:szCs w:val="24"/>
                <w:lang w:val="en-US" w:eastAsia="zh-CN"/>
              </w:rPr>
              <w:t>计，即0.65</w:t>
            </w:r>
            <w:r>
              <w:rPr>
                <w:rFonts w:hint="eastAsia" w:ascii="Times New Roman" w:hAnsi="Times New Roman" w:cs="Times New Roman"/>
                <w:color w:val="auto"/>
                <w:sz w:val="24"/>
                <w:szCs w:val="24"/>
                <w:lang w:val="en-US" w:eastAsia="zh-CN"/>
              </w:rPr>
              <w:t>m³</w:t>
            </w:r>
            <w:r>
              <w:rPr>
                <w:rFonts w:hint="default" w:ascii="Times New Roman" w:hAnsi="Times New Roman" w:cs="Times New Roman"/>
                <w:color w:val="auto"/>
                <w:sz w:val="24"/>
                <w:szCs w:val="24"/>
                <w:lang w:val="en-US" w:eastAsia="zh-CN"/>
              </w:rPr>
              <w:t>，则</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val="en-US" w:eastAsia="zh-CN"/>
              </w:rPr>
              <w:t>条线冷却循环用水量约为</w:t>
            </w:r>
            <w:r>
              <w:rPr>
                <w:rFonts w:hint="eastAsia" w:ascii="Times New Roman" w:hAnsi="Times New Roman" w:cs="Times New Roman"/>
                <w:color w:val="auto"/>
                <w:sz w:val="24"/>
                <w:szCs w:val="24"/>
                <w:lang w:val="en-US" w:eastAsia="zh-CN"/>
              </w:rPr>
              <w:t>4.55m³</w:t>
            </w:r>
            <w:r>
              <w:rPr>
                <w:rFonts w:hint="default" w:ascii="Times New Roman" w:hAnsi="Times New Roman" w:cs="Times New Roman"/>
                <w:color w:val="auto"/>
                <w:sz w:val="24"/>
                <w:szCs w:val="24"/>
                <w:lang w:val="en-US" w:eastAsia="zh-CN"/>
              </w:rPr>
              <w:t>，冷却水损耗量按用水量的10%计，需定期补充新鲜水量为0.</w:t>
            </w:r>
            <w:r>
              <w:rPr>
                <w:rFonts w:hint="eastAsia" w:ascii="Times New Roman" w:hAnsi="Times New Roman" w:cs="Times New Roman"/>
                <w:color w:val="auto"/>
                <w:sz w:val="24"/>
                <w:szCs w:val="24"/>
                <w:lang w:val="en-US" w:eastAsia="zh-CN"/>
              </w:rPr>
              <w:t>46m³</w:t>
            </w:r>
            <w:r>
              <w:rPr>
                <w:rFonts w:hint="default" w:ascii="Times New Roman" w:hAnsi="Times New Roman" w:cs="Times New Roman"/>
                <w:color w:val="auto"/>
                <w:sz w:val="24"/>
                <w:szCs w:val="24"/>
                <w:lang w:val="en-US" w:eastAsia="zh-CN"/>
              </w:rPr>
              <w:t>/d。</w:t>
            </w:r>
            <w:r>
              <w:rPr>
                <w:rFonts w:hint="eastAsia" w:ascii="Times New Roman" w:hAnsi="Times New Roman" w:cs="Times New Roman"/>
                <w:color w:val="auto"/>
                <w:sz w:val="24"/>
                <w:szCs w:val="24"/>
                <w:lang w:val="en-US" w:eastAsia="zh-CN"/>
              </w:rPr>
              <w:t>7条线冷却水集中通过地下管道进入冷却水池（40m³），循环使用，不外排</w:t>
            </w:r>
            <w:r>
              <w:rPr>
                <w:rFonts w:hint="eastAsia" w:ascii="Times New Roman" w:hAnsi="Times New Roman" w:cs="Times New Roman"/>
                <w:sz w:val="24"/>
                <w:szCs w:val="24"/>
                <w:u w:val="none"/>
                <w:lang w:val="en-US" w:eastAsia="zh-CN"/>
              </w:rPr>
              <w:t>，措施可行</w:t>
            </w:r>
            <w:r>
              <w:rPr>
                <w:rFonts w:hint="default" w:ascii="Times New Roman" w:hAnsi="Times New Roman" w:cs="Times New Roman"/>
                <w:sz w:val="24"/>
                <w:szCs w:val="24"/>
                <w:u w:val="none"/>
                <w:lang w:eastAsia="zh-CN"/>
              </w:rPr>
              <w:t>。</w:t>
            </w:r>
          </w:p>
          <w:p>
            <w:pPr>
              <w:spacing w:before="0" w:after="0" w:line="360" w:lineRule="auto"/>
              <w:ind w:firstLine="500" w:firstLineChars="200"/>
              <w:jc w:val="both"/>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lang w:eastAsia="zh-CN"/>
              </w:rPr>
              <w:t>）喷淋塔废水</w:t>
            </w:r>
          </w:p>
          <w:p>
            <w:pPr>
              <w:spacing w:before="0" w:after="0" w:line="360" w:lineRule="auto"/>
              <w:ind w:firstLine="500" w:firstLineChars="200"/>
              <w:jc w:val="both"/>
              <w:rPr>
                <w:rFonts w:hint="eastAsia" w:ascii="Times New Roman" w:hAnsi="Times New Roman" w:eastAsia="宋体" w:cs="Times New Roman"/>
                <w:sz w:val="24"/>
                <w:szCs w:val="24"/>
                <w:u w:val="none"/>
                <w:lang w:eastAsia="zh-CN"/>
              </w:rPr>
            </w:pPr>
            <w:r>
              <w:rPr>
                <w:rFonts w:hint="default" w:ascii="Times New Roman" w:hAnsi="Times New Roman" w:cs="Times New Roman"/>
                <w:sz w:val="24"/>
                <w:szCs w:val="24"/>
                <w:u w:val="none"/>
              </w:rPr>
              <w:t>建设单位拟将废气收集后引至喷淋塔进行处理，喷淋塔</w:t>
            </w:r>
            <w:r>
              <w:rPr>
                <w:rFonts w:hint="eastAsia" w:ascii="Times New Roman" w:hAnsi="Times New Roman" w:cs="Times New Roman"/>
                <w:sz w:val="24"/>
                <w:szCs w:val="24"/>
                <w:u w:val="none"/>
                <w:lang w:eastAsia="zh-CN"/>
              </w:rPr>
              <w:t>自带</w:t>
            </w:r>
            <w:r>
              <w:rPr>
                <w:rFonts w:hint="default" w:ascii="Times New Roman" w:hAnsi="Times New Roman" w:cs="Times New Roman"/>
                <w:sz w:val="24"/>
                <w:szCs w:val="24"/>
                <w:u w:val="none"/>
              </w:rPr>
              <w:t>循环水箱，总容积为</w:t>
            </w:r>
            <w:r>
              <w:rPr>
                <w:rFonts w:hint="eastAsia" w:ascii="Times New Roman" w:hAnsi="Times New Roman" w:cs="Times New Roman"/>
                <w:sz w:val="24"/>
                <w:szCs w:val="24"/>
                <w:u w:val="none"/>
                <w:lang w:val="en-US" w:eastAsia="zh-CN"/>
              </w:rPr>
              <w:t>20</w:t>
            </w:r>
            <w:r>
              <w:rPr>
                <w:rFonts w:hint="default" w:ascii="Times New Roman" w:hAnsi="Times New Roman" w:cs="Times New Roman"/>
                <w:sz w:val="24"/>
                <w:szCs w:val="24"/>
                <w:u w:val="none"/>
              </w:rPr>
              <w:t>m³，有效容积约为</w:t>
            </w:r>
            <w:r>
              <w:rPr>
                <w:rFonts w:hint="eastAsia" w:ascii="Times New Roman" w:hAnsi="Times New Roman" w:cs="Times New Roman"/>
                <w:sz w:val="24"/>
                <w:szCs w:val="24"/>
                <w:u w:val="none"/>
                <w:lang w:val="en-US" w:eastAsia="zh-CN"/>
              </w:rPr>
              <w:t>16</w:t>
            </w:r>
            <w:r>
              <w:rPr>
                <w:rFonts w:hint="default" w:ascii="Times New Roman" w:hAnsi="Times New Roman" w:cs="Times New Roman"/>
                <w:sz w:val="24"/>
                <w:szCs w:val="24"/>
                <w:u w:val="none"/>
              </w:rPr>
              <w:t>m³</w:t>
            </w:r>
            <w:r>
              <w:rPr>
                <w:rFonts w:hint="eastAsia" w:ascii="Times New Roman" w:hAnsi="Times New Roman" w:cs="Times New Roman"/>
                <w:sz w:val="24"/>
                <w:szCs w:val="24"/>
                <w:u w:val="none"/>
                <w:lang w:eastAsia="zh-CN"/>
              </w:rPr>
              <w:t>。根据前文计算，喷淋塔循环水量</w:t>
            </w:r>
            <w:r>
              <w:rPr>
                <w:rFonts w:hint="eastAsia" w:ascii="Times New Roman" w:hAnsi="Times New Roman" w:cs="Times New Roman"/>
                <w:sz w:val="24"/>
                <w:szCs w:val="24"/>
                <w:u w:val="none"/>
                <w:lang w:val="en-US" w:eastAsia="zh-CN"/>
              </w:rPr>
              <w:t>10m³/d</w:t>
            </w:r>
            <w:r>
              <w:rPr>
                <w:rFonts w:hint="eastAsia" w:ascii="Times New Roman" w:hAnsi="Times New Roman" w:cs="Times New Roman"/>
                <w:sz w:val="24"/>
                <w:szCs w:val="24"/>
                <w:u w:val="none"/>
                <w:lang w:eastAsia="zh-CN"/>
              </w:rPr>
              <w:t>，喷淋塔自带循环水箱有效容积可以满足循环水量的需求，因此，喷淋塔废水措施可行。</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综上所述，项目产生的废水均不外排，项目废水对地表水环境影响不大。</w:t>
            </w:r>
          </w:p>
          <w:p>
            <w:pPr>
              <w:adjustRightInd w:val="0"/>
              <w:snapToGrid w:val="0"/>
              <w:spacing w:line="360" w:lineRule="auto"/>
              <w:ind w:firstLine="500" w:firstLineChars="200"/>
              <w:rPr>
                <w:rFonts w:hint="default" w:ascii="Times New Roman" w:hAnsi="Times New Roman" w:cs="Times New Roman"/>
                <w:szCs w:val="21"/>
                <w:lang w:val="en-US" w:eastAsia="zh-CN"/>
              </w:rPr>
            </w:pPr>
            <w:r>
              <w:rPr>
                <w:rFonts w:hint="default" w:ascii="Times New Roman" w:hAnsi="Times New Roman" w:cs="Times New Roman"/>
                <w:sz w:val="24"/>
                <w:szCs w:val="24"/>
              </w:rPr>
              <w:t>运营期废水产排情况及处理措施见表4-</w:t>
            </w:r>
            <w:r>
              <w:rPr>
                <w:rFonts w:hint="eastAsia" w:ascii="Times New Roman" w:hAnsi="Times New Roman" w:cs="Times New Roman"/>
                <w:sz w:val="24"/>
                <w:szCs w:val="24"/>
                <w:lang w:val="en-US" w:eastAsia="zh-CN"/>
              </w:rPr>
              <w:t>12</w:t>
            </w:r>
            <w:r>
              <w:rPr>
                <w:rFonts w:hint="default" w:ascii="Times New Roman" w:hAnsi="Times New Roman" w:cs="Times New Roman"/>
                <w:sz w:val="24"/>
                <w:szCs w:val="24"/>
              </w:rPr>
              <w:t>。</w:t>
            </w:r>
          </w:p>
        </w:tc>
      </w:tr>
    </w:tbl>
    <w:p>
      <w:pPr>
        <w:spacing w:line="360" w:lineRule="auto"/>
        <w:jc w:val="center"/>
        <w:rPr>
          <w:rFonts w:hint="default" w:ascii="Times New Roman" w:hAnsi="Times New Roman" w:cs="Times New Roman"/>
          <w:szCs w:val="21"/>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AndChars" w:linePitch="312" w:charSpace="2252"/>
        </w:sectPr>
      </w:pPr>
    </w:p>
    <w:p>
      <w:pPr>
        <w:spacing w:line="360" w:lineRule="auto"/>
        <w:jc w:val="center"/>
        <w:rPr>
          <w:rFonts w:hint="default" w:ascii="Times New Roman" w:hAnsi="Times New Roman" w:cs="Times New Roman"/>
          <w:szCs w:val="21"/>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AndChars" w:linePitch="312" w:charSpace="2252"/>
        </w:sectPr>
      </w:pPr>
    </w:p>
    <w:p>
      <w:pPr>
        <w:jc w:val="center"/>
        <w:rPr>
          <w:rFonts w:ascii="Times New Roman" w:hAnsi="Times New Roman" w:cs="Times New Roman"/>
          <w:b/>
          <w:bCs/>
          <w:sz w:val="24"/>
          <w:szCs w:val="24"/>
        </w:rPr>
      </w:pPr>
      <w:r>
        <w:rPr>
          <w:rFonts w:ascii="Times New Roman" w:hAnsi="Times New Roman" w:cs="Times New Roman"/>
          <w:b/>
          <w:bCs/>
          <w:sz w:val="24"/>
          <w:szCs w:val="24"/>
        </w:rPr>
        <w:t>表4-</w:t>
      </w:r>
      <w:r>
        <w:rPr>
          <w:rFonts w:hint="eastAsia" w:ascii="Times New Roman" w:hAnsi="Times New Roman" w:cs="Times New Roman"/>
          <w:b/>
          <w:bCs/>
          <w:sz w:val="24"/>
          <w:szCs w:val="24"/>
          <w:lang w:val="en-US" w:eastAsia="zh-CN"/>
        </w:rPr>
        <w:t xml:space="preserve">12   </w:t>
      </w:r>
      <w:r>
        <w:rPr>
          <w:rFonts w:ascii="Times New Roman" w:hAnsi="Times New Roman" w:cs="Times New Roman"/>
          <w:b/>
          <w:bCs/>
          <w:sz w:val="24"/>
          <w:szCs w:val="24"/>
        </w:rPr>
        <w:t>项目营运期废水污染源产排情况及处理措施一览表</w:t>
      </w:r>
    </w:p>
    <w:tbl>
      <w:tblPr>
        <w:tblStyle w:val="11"/>
        <w:tblW w:w="1583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69"/>
        <w:gridCol w:w="1309"/>
        <w:gridCol w:w="1956"/>
        <w:gridCol w:w="941"/>
        <w:gridCol w:w="941"/>
        <w:gridCol w:w="855"/>
        <w:gridCol w:w="2848"/>
        <w:gridCol w:w="732"/>
        <w:gridCol w:w="779"/>
        <w:gridCol w:w="925"/>
        <w:gridCol w:w="1013"/>
        <w:gridCol w:w="937"/>
        <w:gridCol w:w="888"/>
        <w:gridCol w:w="7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2" w:hRule="atLeast"/>
          <w:jc w:val="center"/>
        </w:trPr>
        <w:tc>
          <w:tcPr>
            <w:tcW w:w="969"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排放方式</w:t>
            </w:r>
          </w:p>
        </w:tc>
        <w:tc>
          <w:tcPr>
            <w:tcW w:w="1309"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产污环节</w:t>
            </w:r>
          </w:p>
        </w:tc>
        <w:tc>
          <w:tcPr>
            <w:tcW w:w="1956"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污染物种类</w:t>
            </w:r>
          </w:p>
        </w:tc>
        <w:tc>
          <w:tcPr>
            <w:tcW w:w="2737" w:type="dxa"/>
            <w:gridSpan w:val="3"/>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产生情况</w:t>
            </w:r>
          </w:p>
        </w:tc>
        <w:tc>
          <w:tcPr>
            <w:tcW w:w="5284" w:type="dxa"/>
            <w:gridSpan w:val="4"/>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治理情况</w:t>
            </w:r>
          </w:p>
        </w:tc>
        <w:tc>
          <w:tcPr>
            <w:tcW w:w="2838" w:type="dxa"/>
            <w:gridSpan w:val="3"/>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排放情况</w:t>
            </w:r>
          </w:p>
        </w:tc>
        <w:tc>
          <w:tcPr>
            <w:tcW w:w="737"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排放时间（h）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2" w:hRule="atLeast"/>
          <w:jc w:val="center"/>
        </w:trPr>
        <w:tc>
          <w:tcPr>
            <w:tcW w:w="969"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p>
        </w:tc>
        <w:tc>
          <w:tcPr>
            <w:tcW w:w="1309"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p>
        </w:tc>
        <w:tc>
          <w:tcPr>
            <w:tcW w:w="1956"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p>
        </w:tc>
        <w:tc>
          <w:tcPr>
            <w:tcW w:w="941"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废水产生量（m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/a）</w:t>
            </w:r>
          </w:p>
        </w:tc>
        <w:tc>
          <w:tcPr>
            <w:tcW w:w="941"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产生浓度（mg/L）</w:t>
            </w:r>
          </w:p>
        </w:tc>
        <w:tc>
          <w:tcPr>
            <w:tcW w:w="855"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产生量（t/a）</w:t>
            </w:r>
          </w:p>
        </w:tc>
        <w:tc>
          <w:tcPr>
            <w:tcW w:w="2848"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治理工艺</w:t>
            </w:r>
          </w:p>
        </w:tc>
        <w:tc>
          <w:tcPr>
            <w:tcW w:w="732"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效率（%）</w:t>
            </w:r>
          </w:p>
        </w:tc>
        <w:tc>
          <w:tcPr>
            <w:tcW w:w="779"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是否可行技术</w:t>
            </w:r>
          </w:p>
        </w:tc>
        <w:tc>
          <w:tcPr>
            <w:tcW w:w="925"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处理能力（m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/d）</w:t>
            </w:r>
          </w:p>
        </w:tc>
        <w:tc>
          <w:tcPr>
            <w:tcW w:w="1013"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废水排放量（m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/a）</w:t>
            </w:r>
          </w:p>
        </w:tc>
        <w:tc>
          <w:tcPr>
            <w:tcW w:w="937"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排放浓度（mg/L）</w:t>
            </w:r>
          </w:p>
        </w:tc>
        <w:tc>
          <w:tcPr>
            <w:tcW w:w="888"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排放量（kg/a）</w:t>
            </w:r>
          </w:p>
        </w:tc>
        <w:tc>
          <w:tcPr>
            <w:tcW w:w="737"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969"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不外排</w:t>
            </w:r>
          </w:p>
        </w:tc>
        <w:tc>
          <w:tcPr>
            <w:tcW w:w="1309"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职工生活产生的污水</w:t>
            </w:r>
          </w:p>
        </w:tc>
        <w:tc>
          <w:tcPr>
            <w:tcW w:w="195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941"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90</w:t>
            </w:r>
          </w:p>
        </w:tc>
        <w:tc>
          <w:tcPr>
            <w:tcW w:w="941"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350</w:t>
            </w:r>
          </w:p>
        </w:tc>
        <w:tc>
          <w:tcPr>
            <w:tcW w:w="855"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w:t>
            </w:r>
            <w:r>
              <w:rPr>
                <w:rFonts w:hint="eastAsia" w:ascii="Times New Roman" w:hAnsi="Times New Roman" w:cs="Times New Roman"/>
                <w:sz w:val="21"/>
                <w:szCs w:val="21"/>
                <w:lang w:val="en-US" w:eastAsia="zh-CN"/>
              </w:rPr>
              <w:t>32</w:t>
            </w:r>
          </w:p>
        </w:tc>
        <w:tc>
          <w:tcPr>
            <w:tcW w:w="2848"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经</w:t>
            </w:r>
            <w:r>
              <w:rPr>
                <w:rFonts w:hint="default" w:ascii="Times New Roman" w:hAnsi="Times New Roman" w:eastAsia="宋体" w:cs="Times New Roman"/>
                <w:sz w:val="21"/>
                <w:szCs w:val="21"/>
              </w:rPr>
              <w:t>厂区化粪池（10m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）处理后用于周边农田施肥，不外排。</w:t>
            </w:r>
          </w:p>
        </w:tc>
        <w:tc>
          <w:tcPr>
            <w:tcW w:w="732"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79"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c>
          <w:tcPr>
            <w:tcW w:w="925"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013" w:type="dxa"/>
            <w:vMerge w:val="restart"/>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937"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8"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37"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969"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1309"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195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941"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941"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w:t>
            </w:r>
          </w:p>
        </w:tc>
        <w:tc>
          <w:tcPr>
            <w:tcW w:w="855"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0.0</w:t>
            </w:r>
            <w:r>
              <w:rPr>
                <w:rFonts w:hint="eastAsia" w:ascii="Times New Roman" w:hAnsi="Times New Roman" w:cs="Times New Roman"/>
                <w:sz w:val="21"/>
                <w:szCs w:val="21"/>
                <w:lang w:val="en-US" w:eastAsia="zh-CN"/>
              </w:rPr>
              <w:t>16</w:t>
            </w:r>
          </w:p>
        </w:tc>
        <w:tc>
          <w:tcPr>
            <w:tcW w:w="2848"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732"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79"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925"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013"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937"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8"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37"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969"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1309"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195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SS</w:t>
            </w:r>
          </w:p>
        </w:tc>
        <w:tc>
          <w:tcPr>
            <w:tcW w:w="941"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b w:val="0"/>
                <w:bCs w:val="0"/>
                <w:sz w:val="21"/>
                <w:szCs w:val="21"/>
                <w:u w:val="none"/>
              </w:rPr>
            </w:pPr>
          </w:p>
        </w:tc>
        <w:tc>
          <w:tcPr>
            <w:tcW w:w="941"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450</w:t>
            </w:r>
          </w:p>
        </w:tc>
        <w:tc>
          <w:tcPr>
            <w:tcW w:w="855"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0.041</w:t>
            </w:r>
          </w:p>
        </w:tc>
        <w:tc>
          <w:tcPr>
            <w:tcW w:w="2848"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732"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79"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925"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013"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937"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8"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37"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969"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1309"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195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941"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941"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855"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0.00</w:t>
            </w:r>
            <w:r>
              <w:rPr>
                <w:rFonts w:hint="eastAsia" w:ascii="Times New Roman" w:hAnsi="Times New Roman" w:cs="Times New Roman"/>
                <w:sz w:val="21"/>
                <w:szCs w:val="21"/>
                <w:lang w:val="en-US" w:eastAsia="zh-CN"/>
              </w:rPr>
              <w:t>3</w:t>
            </w:r>
          </w:p>
        </w:tc>
        <w:tc>
          <w:tcPr>
            <w:tcW w:w="2848"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732"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79"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925"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013" w:type="dxa"/>
            <w:vMerge w:val="continue"/>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p>
        </w:tc>
        <w:tc>
          <w:tcPr>
            <w:tcW w:w="937"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8"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37"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969"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不外排</w:t>
            </w:r>
          </w:p>
        </w:tc>
        <w:tc>
          <w:tcPr>
            <w:tcW w:w="1309"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冷却水</w:t>
            </w:r>
          </w:p>
        </w:tc>
        <w:tc>
          <w:tcPr>
            <w:tcW w:w="195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c>
          <w:tcPr>
            <w:tcW w:w="941"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1365</w:t>
            </w:r>
          </w:p>
        </w:tc>
        <w:tc>
          <w:tcPr>
            <w:tcW w:w="941"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55"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848"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经配套</w:t>
            </w:r>
            <w:r>
              <w:rPr>
                <w:rFonts w:hint="default" w:ascii="Times New Roman" w:hAnsi="Times New Roman" w:eastAsia="宋体" w:cs="Times New Roman"/>
                <w:sz w:val="21"/>
                <w:szCs w:val="21"/>
                <w:lang w:eastAsia="zh-CN"/>
              </w:rPr>
              <w:t>冷却水池</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40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），循环使用，不外排。</w:t>
            </w:r>
          </w:p>
        </w:tc>
        <w:tc>
          <w:tcPr>
            <w:tcW w:w="732"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779"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c>
          <w:tcPr>
            <w:tcW w:w="925"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013"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937"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8"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37"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jc w:val="center"/>
        </w:trPr>
        <w:tc>
          <w:tcPr>
            <w:tcW w:w="969" w:type="dxa"/>
            <w:tcBorders>
              <w:tl2br w:val="nil"/>
              <w:tr2bl w:val="nil"/>
            </w:tcBorders>
            <w:shd w:val="clear" w:color="auto" w:fill="auto"/>
            <w:vAlign w:val="center"/>
          </w:tcPr>
          <w:p>
            <w:pPr>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不外排</w:t>
            </w:r>
          </w:p>
        </w:tc>
        <w:tc>
          <w:tcPr>
            <w:tcW w:w="1309"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喷淋塔废水</w:t>
            </w:r>
          </w:p>
        </w:tc>
        <w:tc>
          <w:tcPr>
            <w:tcW w:w="1956"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941"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2700</w:t>
            </w:r>
          </w:p>
        </w:tc>
        <w:tc>
          <w:tcPr>
            <w:tcW w:w="941"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55"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848" w:type="dxa"/>
            <w:tcBorders>
              <w:tl2br w:val="nil"/>
              <w:tr2bl w:val="nil"/>
            </w:tcBorders>
            <w:shd w:val="clear" w:color="auto" w:fill="auto"/>
            <w:vAlign w:val="center"/>
          </w:tcPr>
          <w:p>
            <w:pPr>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经自带的循环水箱（</w:t>
            </w:r>
            <w:r>
              <w:rPr>
                <w:rFonts w:hint="eastAsia" w:ascii="Times New Roman" w:hAnsi="Times New Roman" w:cs="Times New Roman"/>
                <w:sz w:val="21"/>
                <w:szCs w:val="21"/>
                <w:lang w:val="en-US" w:eastAsia="zh-CN"/>
              </w:rPr>
              <w:t>20m³</w:t>
            </w:r>
            <w:r>
              <w:rPr>
                <w:rFonts w:hint="eastAsia" w:ascii="Times New Roman" w:hAnsi="Times New Roman" w:cs="Times New Roman"/>
                <w:sz w:val="21"/>
                <w:szCs w:val="21"/>
                <w:lang w:eastAsia="zh-CN"/>
              </w:rPr>
              <w:t>）</w:t>
            </w:r>
          </w:p>
        </w:tc>
        <w:tc>
          <w:tcPr>
            <w:tcW w:w="732"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779"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c>
          <w:tcPr>
            <w:tcW w:w="925"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013"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937"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88"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37" w:type="dxa"/>
            <w:tcBorders>
              <w:tl2br w:val="nil"/>
              <w:tr2bl w:val="nil"/>
            </w:tcBorders>
            <w:shd w:val="clear" w:color="auto" w:fill="auto"/>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bl>
    <w:p>
      <w:pPr>
        <w:spacing w:line="360" w:lineRule="auto"/>
        <w:jc w:val="center"/>
        <w:outlineLvl w:val="0"/>
        <w:rPr>
          <w:rFonts w:hint="eastAsia" w:ascii="Times New Roman" w:hAnsi="Times New Roman" w:eastAsia="宋体" w:cs="Times New Roman"/>
          <w:b/>
          <w:bCs/>
          <w:sz w:val="28"/>
          <w:szCs w:val="28"/>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AndChars" w:linePitch="319" w:charSpace="2252"/>
        </w:sectPr>
      </w:pPr>
    </w:p>
    <w:tbl>
      <w:tblPr>
        <w:tblStyle w:val="11"/>
        <w:tblW w:w="10144"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39"/>
        <w:gridCol w:w="92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613" w:hRule="atLeast"/>
          <w:jc w:val="center"/>
        </w:trPr>
        <w:tc>
          <w:tcPr>
            <w:tcW w:w="939" w:type="dxa"/>
            <w:vAlign w:val="center"/>
          </w:tcPr>
          <w:p>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运营期环境影响和保护措施</w:t>
            </w:r>
          </w:p>
        </w:tc>
        <w:tc>
          <w:tcPr>
            <w:tcW w:w="9205" w:type="dxa"/>
            <w:vAlign w:val="top"/>
          </w:tcPr>
          <w:p>
            <w:pPr>
              <w:spacing w:before="0" w:after="0" w:line="360" w:lineRule="auto"/>
              <w:ind w:firstLine="500" w:firstLineChars="200"/>
              <w:jc w:val="both"/>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b/>
                <w:bCs/>
                <w:sz w:val="24"/>
                <w:szCs w:val="24"/>
                <w:lang w:eastAsia="zh-CN"/>
              </w:rPr>
              <w:t>、</w:t>
            </w:r>
            <w:r>
              <w:rPr>
                <w:rFonts w:hint="default" w:ascii="Times New Roman" w:hAnsi="Times New Roman" w:cs="Times New Roman"/>
                <w:b/>
                <w:bCs/>
                <w:sz w:val="24"/>
                <w:szCs w:val="24"/>
              </w:rPr>
              <w:t>声环境影响分析</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本项目运营期噪声主要来自原料均化仓</w:t>
            </w:r>
            <w:r>
              <w:rPr>
                <w:rFonts w:hint="eastAsia" w:ascii="Times New Roman" w:hAnsi="Times New Roman" w:cs="Times New Roman"/>
                <w:sz w:val="24"/>
                <w:szCs w:val="24"/>
                <w:lang w:eastAsia="zh-CN"/>
              </w:rPr>
              <w:t>（绞龙上料机）</w:t>
            </w:r>
            <w:r>
              <w:rPr>
                <w:rFonts w:hint="default" w:ascii="Times New Roman" w:hAnsi="Times New Roman" w:cs="Times New Roman"/>
                <w:sz w:val="24"/>
                <w:szCs w:val="24"/>
                <w:lang w:eastAsia="zh-CN"/>
              </w:rPr>
              <w:t>、</w:t>
            </w:r>
            <w:r>
              <w:rPr>
                <w:rFonts w:hint="default" w:ascii="Times New Roman" w:hAnsi="Times New Roman" w:cs="Times New Roman"/>
                <w:sz w:val="24"/>
                <w:szCs w:val="24"/>
              </w:rPr>
              <w:t>造粒机（熔融）</w:t>
            </w:r>
            <w:r>
              <w:rPr>
                <w:rFonts w:hint="default" w:ascii="Times New Roman" w:hAnsi="Times New Roman" w:cs="Times New Roman"/>
                <w:sz w:val="24"/>
                <w:szCs w:val="24"/>
                <w:lang w:eastAsia="zh-CN"/>
              </w:rPr>
              <w:t>、</w:t>
            </w:r>
            <w:r>
              <w:rPr>
                <w:rFonts w:hint="default" w:ascii="Times New Roman" w:hAnsi="Times New Roman" w:cs="Times New Roman"/>
                <w:sz w:val="24"/>
                <w:szCs w:val="24"/>
              </w:rPr>
              <w:t>水冷拉条塑造线</w:t>
            </w:r>
            <w:r>
              <w:rPr>
                <w:rFonts w:hint="default" w:ascii="Times New Roman" w:hAnsi="Times New Roman" w:cs="Times New Roman"/>
                <w:sz w:val="24"/>
                <w:szCs w:val="24"/>
                <w:lang w:eastAsia="zh-CN"/>
              </w:rPr>
              <w:t>、</w:t>
            </w:r>
            <w:r>
              <w:rPr>
                <w:rFonts w:hint="default" w:ascii="Times New Roman" w:hAnsi="Times New Roman" w:cs="Times New Roman"/>
                <w:sz w:val="24"/>
                <w:szCs w:val="24"/>
              </w:rPr>
              <w:t>切粒机</w:t>
            </w:r>
            <w:r>
              <w:rPr>
                <w:rFonts w:hint="eastAsia" w:ascii="Times New Roman" w:hAnsi="Times New Roman" w:cs="Times New Roman"/>
                <w:sz w:val="24"/>
                <w:szCs w:val="24"/>
                <w:lang w:eastAsia="zh-CN"/>
              </w:rPr>
              <w:t>、振动筛、风力输送机和有机废气处理设施风机</w:t>
            </w:r>
            <w:r>
              <w:rPr>
                <w:rFonts w:hint="default" w:ascii="Times New Roman" w:hAnsi="Times New Roman" w:cs="Times New Roman"/>
                <w:sz w:val="24"/>
                <w:szCs w:val="24"/>
              </w:rPr>
              <w:t>等设备运行时产生的噪声，其声压级在</w:t>
            </w:r>
            <w:r>
              <w:rPr>
                <w:rFonts w:hint="eastAsia" w:ascii="Times New Roman" w:hAnsi="Times New Roman" w:cs="Times New Roman"/>
                <w:sz w:val="24"/>
                <w:szCs w:val="24"/>
                <w:lang w:val="en-US" w:eastAsia="zh-CN"/>
              </w:rPr>
              <w:t>70</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rPr>
              <w:t>0dB（A）之间。</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为降低噪声对周围声环境质量的影响，本工程拟采取的噪声控制措施如下：</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（1）高噪声设备安装在车间内，并合理布局，充分利用厂房的隔声作用，降低噪声对周围环境的影响减轻。</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2）加强设备的维护，确保设备处于良好的运转状态，杜绝因设备不正常运转产生的高噪声现象。根据《环境噪声控制》（刘惠玲主编，2002年10月第1版）中的内容，在落实以上各种降噪措施以后，可以使噪声源强下降20~30dB（A）。本环评考虑不利因素，降噪效果取10～25dB（A）。项目主要设备源强见下表：</w:t>
            </w:r>
          </w:p>
          <w:p>
            <w:pPr>
              <w:spacing w:before="0" w:after="0" w:line="360" w:lineRule="auto"/>
              <w:ind w:right="420" w:firstLine="2444" w:firstLineChars="978"/>
              <w:jc w:val="left"/>
              <w:rPr>
                <w:rFonts w:hint="default" w:ascii="Times New Roman" w:hAnsi="Times New Roman" w:cs="Times New Roman"/>
                <w:b/>
                <w:bCs/>
                <w:sz w:val="24"/>
                <w:szCs w:val="24"/>
              </w:rPr>
            </w:pPr>
            <w:r>
              <w:rPr>
                <w:rFonts w:hint="default" w:ascii="Times New Roman" w:hAnsi="Times New Roman" w:cs="Times New Roman"/>
                <w:b/>
                <w:bCs/>
                <w:sz w:val="24"/>
                <w:szCs w:val="24"/>
              </w:rPr>
              <w:t>表4-1</w:t>
            </w:r>
            <w:r>
              <w:rPr>
                <w:rFonts w:hint="eastAsia" w:ascii="Times New Roman" w:hAnsi="Times New Roman" w:cs="Times New Roman"/>
                <w:b/>
                <w:bCs/>
                <w:sz w:val="24"/>
                <w:szCs w:val="24"/>
                <w:lang w:val="en-US" w:eastAsia="zh-CN"/>
              </w:rPr>
              <w:t xml:space="preserve">3  </w:t>
            </w:r>
            <w:r>
              <w:rPr>
                <w:rFonts w:hint="default" w:ascii="Times New Roman" w:hAnsi="Times New Roman" w:cs="Times New Roman"/>
                <w:b/>
                <w:bCs/>
                <w:sz w:val="24"/>
                <w:szCs w:val="24"/>
              </w:rPr>
              <w:t>工业企业噪声源强调查清单（室内声源）</w:t>
            </w:r>
          </w:p>
          <w:tbl>
            <w:tblPr>
              <w:tblStyle w:val="12"/>
              <w:tblW w:w="8742"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1107"/>
              <w:gridCol w:w="705"/>
              <w:gridCol w:w="2516"/>
              <w:gridCol w:w="675"/>
              <w:gridCol w:w="808"/>
              <w:gridCol w:w="81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2121" w:type="dxa"/>
                  <w:vMerge w:val="restart"/>
                  <w:vAlign w:val="center"/>
                </w:tcPr>
                <w:p>
                  <w:pPr>
                    <w:spacing w:before="0" w:after="0" w:line="360" w:lineRule="auto"/>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声源</w:t>
                  </w:r>
                  <w:r>
                    <w:rPr>
                      <w:rFonts w:hint="eastAsia" w:ascii="Times New Roman" w:hAnsi="Times New Roman" w:cs="Times New Roman"/>
                      <w:sz w:val="21"/>
                      <w:szCs w:val="21"/>
                      <w:lang w:eastAsia="zh-CN"/>
                    </w:rPr>
                    <w:t>名称</w:t>
                  </w:r>
                </w:p>
              </w:tc>
              <w:tc>
                <w:tcPr>
                  <w:tcW w:w="1107" w:type="dxa"/>
                  <w:vAlign w:val="center"/>
                </w:tcPr>
                <w:p>
                  <w:p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声源</w:t>
                  </w:r>
                  <w:r>
                    <w:rPr>
                      <w:rFonts w:hint="eastAsia" w:ascii="Times New Roman" w:hAnsi="Times New Roman" w:cs="Times New Roman"/>
                      <w:sz w:val="21"/>
                      <w:szCs w:val="21"/>
                      <w:lang w:eastAsia="zh-CN"/>
                    </w:rPr>
                    <w:t>源</w:t>
                  </w:r>
                  <w:r>
                    <w:rPr>
                      <w:rFonts w:hint="default" w:ascii="Times New Roman" w:hAnsi="Times New Roman" w:cs="Times New Roman"/>
                      <w:sz w:val="21"/>
                      <w:szCs w:val="21"/>
                    </w:rPr>
                    <w:t>强</w:t>
                  </w:r>
                </w:p>
              </w:tc>
              <w:tc>
                <w:tcPr>
                  <w:tcW w:w="705" w:type="dxa"/>
                  <w:vMerge w:val="restart"/>
                  <w:vAlign w:val="center"/>
                </w:tcPr>
                <w:p>
                  <w:pPr>
                    <w:spacing w:before="0" w:after="0" w:line="360" w:lineRule="auto"/>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数量</w:t>
                  </w:r>
                  <w:r>
                    <w:rPr>
                      <w:rFonts w:hint="eastAsia" w:ascii="Times New Roman" w:hAnsi="Times New Roman" w:cs="Times New Roman"/>
                      <w:sz w:val="21"/>
                      <w:szCs w:val="21"/>
                      <w:lang w:val="en-US" w:eastAsia="zh-CN"/>
                    </w:rPr>
                    <w:t>/台</w:t>
                  </w:r>
                </w:p>
              </w:tc>
              <w:tc>
                <w:tcPr>
                  <w:tcW w:w="2516" w:type="dxa"/>
                  <w:vMerge w:val="restart"/>
                  <w:vAlign w:val="center"/>
                </w:tcPr>
                <w:p>
                  <w:p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防治措施</w:t>
                  </w:r>
                </w:p>
              </w:tc>
              <w:tc>
                <w:tcPr>
                  <w:tcW w:w="2293" w:type="dxa"/>
                  <w:gridSpan w:val="3"/>
                  <w:vAlign w:val="center"/>
                </w:tcPr>
                <w:p>
                  <w:pPr>
                    <w:spacing w:before="0" w:after="0" w:line="36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相对空间位置</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2121" w:type="dxa"/>
                  <w:vMerge w:val="continue"/>
                  <w:vAlign w:val="center"/>
                </w:tcPr>
                <w:p>
                  <w:pPr>
                    <w:spacing w:before="0" w:after="0" w:line="360" w:lineRule="auto"/>
                    <w:jc w:val="center"/>
                  </w:pPr>
                </w:p>
              </w:tc>
              <w:tc>
                <w:tcPr>
                  <w:tcW w:w="1107" w:type="dxa"/>
                  <w:vAlign w:val="center"/>
                </w:tcPr>
                <w:p>
                  <w:pPr>
                    <w:spacing w:before="0" w:after="0" w:line="36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声功率级</w:t>
                  </w:r>
                </w:p>
              </w:tc>
              <w:tc>
                <w:tcPr>
                  <w:tcW w:w="705" w:type="dxa"/>
                  <w:vMerge w:val="continue"/>
                  <w:vAlign w:val="center"/>
                </w:tcPr>
                <w:p>
                  <w:pPr>
                    <w:spacing w:before="0" w:after="0" w:line="360" w:lineRule="auto"/>
                    <w:jc w:val="center"/>
                    <w:rPr>
                      <w:rFonts w:hint="default" w:ascii="Times New Roman" w:hAnsi="Times New Roman" w:cs="Times New Roman"/>
                      <w:sz w:val="21"/>
                      <w:szCs w:val="21"/>
                    </w:rPr>
                  </w:pPr>
                </w:p>
              </w:tc>
              <w:tc>
                <w:tcPr>
                  <w:tcW w:w="2516" w:type="dxa"/>
                  <w:vMerge w:val="continue"/>
                  <w:vAlign w:val="center"/>
                </w:tcPr>
                <w:p>
                  <w:pPr>
                    <w:spacing w:before="0" w:after="0" w:line="360" w:lineRule="auto"/>
                    <w:jc w:val="center"/>
                    <w:rPr>
                      <w:rFonts w:hint="default" w:ascii="Times New Roman" w:hAnsi="Times New Roman" w:cs="Times New Roman"/>
                      <w:sz w:val="21"/>
                      <w:szCs w:val="21"/>
                    </w:rPr>
                  </w:pPr>
                </w:p>
              </w:tc>
              <w:tc>
                <w:tcPr>
                  <w:tcW w:w="675" w:type="dxa"/>
                  <w:vAlign w:val="center"/>
                </w:tcPr>
                <w:p>
                  <w:pPr>
                    <w:spacing w:before="0" w:after="0"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X</w:t>
                  </w:r>
                </w:p>
              </w:tc>
              <w:tc>
                <w:tcPr>
                  <w:tcW w:w="808" w:type="dxa"/>
                  <w:vAlign w:val="center"/>
                </w:tcPr>
                <w:p>
                  <w:pPr>
                    <w:spacing w:before="0" w:after="0"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Y</w:t>
                  </w:r>
                </w:p>
              </w:tc>
              <w:tc>
                <w:tcPr>
                  <w:tcW w:w="810" w:type="dxa"/>
                  <w:vAlign w:val="center"/>
                </w:tcPr>
                <w:p>
                  <w:pPr>
                    <w:spacing w:before="0" w:after="0"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Z</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121" w:type="dxa"/>
                  <w:vAlign w:val="center"/>
                </w:tcPr>
                <w:p>
                  <w:pPr>
                    <w:spacing w:before="0" w:after="0" w:line="360" w:lineRule="auto"/>
                    <w:jc w:val="center"/>
                    <w:rPr>
                      <w:rFonts w:hint="default" w:ascii="Times New Roman" w:hAnsi="Times New Roman" w:cs="Times New Roman"/>
                      <w:sz w:val="21"/>
                      <w:szCs w:val="21"/>
                      <w:lang w:val="en-US"/>
                    </w:rPr>
                  </w:pPr>
                  <w:r>
                    <w:rPr>
                      <w:rFonts w:hint="eastAsia"/>
                      <w:b w:val="0"/>
                      <w:bCs w:val="0"/>
                      <w:color w:val="auto"/>
                      <w:lang w:val="en-US" w:eastAsia="zh-CN"/>
                    </w:rPr>
                    <w:t>原料均化仓（绞龙上料机）7台（按点声源组预测）</w:t>
                  </w:r>
                </w:p>
              </w:tc>
              <w:tc>
                <w:tcPr>
                  <w:tcW w:w="1107" w:type="dxa"/>
                  <w:vAlign w:val="center"/>
                </w:tcPr>
                <w:p>
                  <w:pPr>
                    <w:spacing w:before="0" w:after="0"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75</w:t>
                  </w:r>
                </w:p>
              </w:tc>
              <w:tc>
                <w:tcPr>
                  <w:tcW w:w="705" w:type="dxa"/>
                  <w:vAlign w:val="center"/>
                </w:tcPr>
                <w:p>
                  <w:pPr>
                    <w:spacing w:before="0" w:after="0" w:line="360" w:lineRule="auto"/>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7</w:t>
                  </w:r>
                </w:p>
              </w:tc>
              <w:tc>
                <w:tcPr>
                  <w:tcW w:w="2516" w:type="dxa"/>
                  <w:vAlign w:val="center"/>
                </w:tcPr>
                <w:p>
                  <w:p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车间隔声，基础减振</w:t>
                  </w:r>
                </w:p>
              </w:tc>
              <w:tc>
                <w:tcPr>
                  <w:tcW w:w="675" w:type="dxa"/>
                  <w:vAlign w:val="center"/>
                </w:tcPr>
                <w:p>
                  <w:pPr>
                    <w:spacing w:before="0" w:after="0"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-12</w:t>
                  </w:r>
                </w:p>
              </w:tc>
              <w:tc>
                <w:tcPr>
                  <w:tcW w:w="808" w:type="dxa"/>
                  <w:vAlign w:val="center"/>
                </w:tcPr>
                <w:p>
                  <w:pPr>
                    <w:spacing w:before="0" w:after="0"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25</w:t>
                  </w:r>
                </w:p>
              </w:tc>
              <w:tc>
                <w:tcPr>
                  <w:tcW w:w="810" w:type="dxa"/>
                  <w:vAlign w:val="center"/>
                </w:tcPr>
                <w:p>
                  <w:pPr>
                    <w:spacing w:before="0" w:after="0"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121" w:type="dxa"/>
                  <w:vAlign w:val="center"/>
                </w:tcPr>
                <w:p>
                  <w:pPr>
                    <w:spacing w:before="0" w:after="0" w:line="360" w:lineRule="auto"/>
                    <w:jc w:val="center"/>
                    <w:rPr>
                      <w:rFonts w:hint="default"/>
                      <w:b w:val="0"/>
                      <w:bCs w:val="0"/>
                      <w:color w:val="auto"/>
                      <w:lang w:val="en-US" w:eastAsia="zh-CN"/>
                    </w:rPr>
                  </w:pPr>
                  <w:r>
                    <w:rPr>
                      <w:rFonts w:hint="eastAsia"/>
                      <w:b w:val="0"/>
                      <w:bCs w:val="0"/>
                      <w:color w:val="auto"/>
                      <w:lang w:val="en-US" w:eastAsia="zh-CN"/>
                    </w:rPr>
                    <w:t>造粒机（熔融）7台（按点声源组预测）</w:t>
                  </w:r>
                </w:p>
              </w:tc>
              <w:tc>
                <w:tcPr>
                  <w:tcW w:w="1107" w:type="dxa"/>
                  <w:vAlign w:val="center"/>
                </w:tcPr>
                <w:p>
                  <w:pPr>
                    <w:spacing w:before="0" w:after="0"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70</w:t>
                  </w:r>
                </w:p>
              </w:tc>
              <w:tc>
                <w:tcPr>
                  <w:tcW w:w="705" w:type="dxa"/>
                  <w:vAlign w:val="center"/>
                </w:tcPr>
                <w:p>
                  <w:pPr>
                    <w:spacing w:before="0" w:after="0"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c>
                <w:tcPr>
                  <w:tcW w:w="2516" w:type="dxa"/>
                  <w:vAlign w:val="center"/>
                </w:tcPr>
                <w:p>
                  <w:p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车间隔声，基础减振</w:t>
                  </w:r>
                </w:p>
              </w:tc>
              <w:tc>
                <w:tcPr>
                  <w:tcW w:w="675" w:type="dxa"/>
                  <w:vAlign w:val="center"/>
                </w:tcPr>
                <w:p>
                  <w:pPr>
                    <w:spacing w:before="0" w:after="0"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w:t>
                  </w:r>
                </w:p>
              </w:tc>
              <w:tc>
                <w:tcPr>
                  <w:tcW w:w="808" w:type="dxa"/>
                  <w:vAlign w:val="center"/>
                </w:tcPr>
                <w:p>
                  <w:pPr>
                    <w:spacing w:before="0" w:after="0"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14</w:t>
                  </w:r>
                </w:p>
              </w:tc>
              <w:tc>
                <w:tcPr>
                  <w:tcW w:w="810" w:type="dxa"/>
                  <w:vAlign w:val="center"/>
                </w:tcPr>
                <w:p>
                  <w:pPr>
                    <w:spacing w:before="0" w:after="0"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121" w:type="dxa"/>
                  <w:vAlign w:val="center"/>
                </w:tcPr>
                <w:p>
                  <w:pPr>
                    <w:spacing w:before="0" w:after="0" w:line="360" w:lineRule="auto"/>
                    <w:jc w:val="center"/>
                    <w:rPr>
                      <w:rFonts w:hint="default"/>
                      <w:b w:val="0"/>
                      <w:bCs w:val="0"/>
                      <w:color w:val="auto"/>
                      <w:lang w:val="en-US" w:eastAsia="zh-CN"/>
                    </w:rPr>
                  </w:pPr>
                  <w:r>
                    <w:rPr>
                      <w:rFonts w:hint="eastAsia"/>
                      <w:b w:val="0"/>
                      <w:bCs w:val="0"/>
                      <w:color w:val="auto"/>
                      <w:lang w:val="en-US" w:eastAsia="zh-CN"/>
                    </w:rPr>
                    <w:t>水冷拉条塑造线7台（按点声源组预测）</w:t>
                  </w:r>
                </w:p>
              </w:tc>
              <w:tc>
                <w:tcPr>
                  <w:tcW w:w="1107" w:type="dxa"/>
                  <w:vAlign w:val="center"/>
                </w:tcPr>
                <w:p>
                  <w:pPr>
                    <w:spacing w:before="0" w:after="0"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75</w:t>
                  </w:r>
                </w:p>
              </w:tc>
              <w:tc>
                <w:tcPr>
                  <w:tcW w:w="705" w:type="dxa"/>
                  <w:vAlign w:val="center"/>
                </w:tcPr>
                <w:p>
                  <w:pPr>
                    <w:spacing w:before="0" w:after="0"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c>
                <w:tcPr>
                  <w:tcW w:w="2516" w:type="dxa"/>
                  <w:vAlign w:val="center"/>
                </w:tcPr>
                <w:p>
                  <w:p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车间隔声，基础减振</w:t>
                  </w:r>
                </w:p>
              </w:tc>
              <w:tc>
                <w:tcPr>
                  <w:tcW w:w="675" w:type="dxa"/>
                  <w:vAlign w:val="center"/>
                </w:tcPr>
                <w:p>
                  <w:pPr>
                    <w:spacing w:before="0" w:after="0"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-13</w:t>
                  </w:r>
                </w:p>
              </w:tc>
              <w:tc>
                <w:tcPr>
                  <w:tcW w:w="808" w:type="dxa"/>
                  <w:vAlign w:val="center"/>
                </w:tcPr>
                <w:p>
                  <w:pPr>
                    <w:spacing w:before="0" w:after="0"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p>
              </w:tc>
              <w:tc>
                <w:tcPr>
                  <w:tcW w:w="810" w:type="dxa"/>
                  <w:vAlign w:val="center"/>
                </w:tcPr>
                <w:p>
                  <w:pPr>
                    <w:spacing w:before="0" w:after="0"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121" w:type="dxa"/>
                  <w:vAlign w:val="center"/>
                </w:tcPr>
                <w:p>
                  <w:pPr>
                    <w:spacing w:before="0" w:after="0" w:line="360" w:lineRule="auto"/>
                    <w:jc w:val="center"/>
                    <w:rPr>
                      <w:rFonts w:hint="default"/>
                      <w:b w:val="0"/>
                      <w:bCs w:val="0"/>
                      <w:color w:val="auto"/>
                      <w:lang w:val="en-US" w:eastAsia="zh-CN"/>
                    </w:rPr>
                  </w:pPr>
                  <w:r>
                    <w:rPr>
                      <w:rFonts w:hint="default" w:ascii="Times New Roman" w:hAnsi="Times New Roman" w:cs="Times New Roman"/>
                      <w:color w:val="auto"/>
                      <w:sz w:val="21"/>
                      <w:szCs w:val="21"/>
                      <w:lang w:val="en-US" w:eastAsia="zh-CN"/>
                    </w:rPr>
                    <w:t>切粒机</w:t>
                  </w:r>
                  <w:r>
                    <w:rPr>
                      <w:rFonts w:hint="eastAsia" w:ascii="Times New Roman" w:hAnsi="Times New Roman" w:cs="Times New Roman"/>
                      <w:color w:val="auto"/>
                      <w:sz w:val="21"/>
                      <w:szCs w:val="21"/>
                      <w:lang w:val="en-US" w:eastAsia="zh-CN"/>
                    </w:rPr>
                    <w:t>7台</w:t>
                  </w:r>
                  <w:r>
                    <w:rPr>
                      <w:rFonts w:hint="eastAsia"/>
                      <w:b w:val="0"/>
                      <w:bCs w:val="0"/>
                      <w:color w:val="auto"/>
                      <w:lang w:val="en-US" w:eastAsia="zh-CN"/>
                    </w:rPr>
                    <w:t>（按点声源组预测）</w:t>
                  </w:r>
                </w:p>
              </w:tc>
              <w:tc>
                <w:tcPr>
                  <w:tcW w:w="1107" w:type="dxa"/>
                  <w:vAlign w:val="center"/>
                </w:tcPr>
                <w:p>
                  <w:pPr>
                    <w:spacing w:before="0" w:after="0"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75</w:t>
                  </w:r>
                </w:p>
              </w:tc>
              <w:tc>
                <w:tcPr>
                  <w:tcW w:w="705" w:type="dxa"/>
                  <w:vAlign w:val="center"/>
                </w:tcPr>
                <w:p>
                  <w:pPr>
                    <w:spacing w:before="0" w:after="0" w:line="36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c>
                <w:tcPr>
                  <w:tcW w:w="2516" w:type="dxa"/>
                  <w:vAlign w:val="center"/>
                </w:tcPr>
                <w:p>
                  <w:p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车间隔声，基础减振</w:t>
                  </w:r>
                </w:p>
              </w:tc>
              <w:tc>
                <w:tcPr>
                  <w:tcW w:w="675" w:type="dxa"/>
                  <w:vAlign w:val="center"/>
                </w:tcPr>
                <w:p>
                  <w:pPr>
                    <w:spacing w:before="0" w:after="0"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-12</w:t>
                  </w:r>
                </w:p>
              </w:tc>
              <w:tc>
                <w:tcPr>
                  <w:tcW w:w="808" w:type="dxa"/>
                  <w:vAlign w:val="center"/>
                </w:tcPr>
                <w:p>
                  <w:pPr>
                    <w:spacing w:before="0" w:after="0"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33</w:t>
                  </w:r>
                </w:p>
              </w:tc>
              <w:tc>
                <w:tcPr>
                  <w:tcW w:w="810" w:type="dxa"/>
                  <w:vAlign w:val="center"/>
                </w:tcPr>
                <w:p>
                  <w:pPr>
                    <w:spacing w:before="0" w:after="0" w:line="360" w:lineRule="auto"/>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12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color w:val="auto"/>
                      <w:sz w:val="21"/>
                      <w:szCs w:val="21"/>
                      <w:lang w:val="en-US" w:eastAsia="zh-CN"/>
                    </w:rPr>
                    <w:t>振动筛7台（按点声源组预测）</w:t>
                  </w:r>
                </w:p>
              </w:tc>
              <w:tc>
                <w:tcPr>
                  <w:tcW w:w="1107" w:type="dxa"/>
                  <w:vAlign w:val="center"/>
                </w:tcPr>
                <w:p>
                  <w:pPr>
                    <w:spacing w:before="0" w:after="0"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705" w:type="dxa"/>
                  <w:vAlign w:val="center"/>
                </w:tcPr>
                <w:p>
                  <w:pPr>
                    <w:spacing w:before="0" w:after="0"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2516" w:type="dxa"/>
                  <w:vAlign w:val="center"/>
                </w:tcPr>
                <w:p>
                  <w:p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车间隔声，基础减振</w:t>
                  </w:r>
                </w:p>
              </w:tc>
              <w:tc>
                <w:tcPr>
                  <w:tcW w:w="675" w:type="dxa"/>
                  <w:vAlign w:val="center"/>
                </w:tcPr>
                <w:p>
                  <w:pPr>
                    <w:spacing w:before="0" w:after="0"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-11</w:t>
                  </w:r>
                </w:p>
              </w:tc>
              <w:tc>
                <w:tcPr>
                  <w:tcW w:w="808" w:type="dxa"/>
                  <w:vAlign w:val="center"/>
                </w:tcPr>
                <w:p>
                  <w:pPr>
                    <w:spacing w:before="0" w:after="0"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30</w:t>
                  </w:r>
                </w:p>
              </w:tc>
              <w:tc>
                <w:tcPr>
                  <w:tcW w:w="810" w:type="dxa"/>
                  <w:vAlign w:val="center"/>
                </w:tcPr>
                <w:p>
                  <w:pPr>
                    <w:spacing w:before="0" w:after="0"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12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color w:val="auto"/>
                      <w:sz w:val="21"/>
                      <w:szCs w:val="21"/>
                      <w:lang w:val="en-US" w:eastAsia="zh-CN"/>
                    </w:rPr>
                    <w:t>风力输送机7台（按点声源组预测）</w:t>
                  </w:r>
                </w:p>
              </w:tc>
              <w:tc>
                <w:tcPr>
                  <w:tcW w:w="1107" w:type="dxa"/>
                  <w:vAlign w:val="center"/>
                </w:tcPr>
                <w:p>
                  <w:pPr>
                    <w:spacing w:before="0" w:after="0"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80</w:t>
                  </w:r>
                </w:p>
              </w:tc>
              <w:tc>
                <w:tcPr>
                  <w:tcW w:w="705" w:type="dxa"/>
                  <w:vAlign w:val="center"/>
                </w:tcPr>
                <w:p>
                  <w:pPr>
                    <w:spacing w:before="0" w:after="0" w:line="36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7</w:t>
                  </w:r>
                </w:p>
              </w:tc>
              <w:tc>
                <w:tcPr>
                  <w:tcW w:w="2516" w:type="dxa"/>
                  <w:vAlign w:val="center"/>
                </w:tcPr>
                <w:p>
                  <w:p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车间隔声，基础减振</w:t>
                  </w:r>
                </w:p>
              </w:tc>
              <w:tc>
                <w:tcPr>
                  <w:tcW w:w="675" w:type="dxa"/>
                  <w:vAlign w:val="center"/>
                </w:tcPr>
                <w:p>
                  <w:pPr>
                    <w:spacing w:before="0" w:after="0"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w:t>
                  </w:r>
                </w:p>
              </w:tc>
              <w:tc>
                <w:tcPr>
                  <w:tcW w:w="808" w:type="dxa"/>
                  <w:vAlign w:val="center"/>
                </w:tcPr>
                <w:p>
                  <w:pPr>
                    <w:spacing w:before="0" w:after="0" w:line="36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24</w:t>
                  </w:r>
                </w:p>
              </w:tc>
              <w:tc>
                <w:tcPr>
                  <w:tcW w:w="810" w:type="dxa"/>
                  <w:vAlign w:val="center"/>
                </w:tcPr>
                <w:p>
                  <w:pPr>
                    <w:spacing w:before="0" w:after="0" w:line="360" w:lineRule="auto"/>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12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u w:val="single"/>
                      <w:lang w:val="en-US" w:eastAsia="zh-CN"/>
                    </w:rPr>
                  </w:pPr>
                  <w:r>
                    <w:rPr>
                      <w:rFonts w:hint="default" w:ascii="Times New Roman" w:hAnsi="Times New Roman" w:cs="Times New Roman"/>
                      <w:color w:val="auto"/>
                      <w:lang w:val="en-US" w:eastAsia="zh-CN"/>
                    </w:rPr>
                    <w:t>自动包装机</w:t>
                  </w:r>
                  <w:r>
                    <w:rPr>
                      <w:rFonts w:hint="default" w:ascii="Times New Roman" w:hAnsi="Times New Roman" w:cs="Times New Roman"/>
                      <w:color w:val="auto"/>
                      <w:sz w:val="21"/>
                      <w:szCs w:val="21"/>
                      <w:lang w:val="en-US" w:eastAsia="zh-CN"/>
                    </w:rPr>
                    <w:t>7台（按点声源组预测）</w:t>
                  </w:r>
                </w:p>
              </w:tc>
              <w:tc>
                <w:tcPr>
                  <w:tcW w:w="1107" w:type="dxa"/>
                  <w:vAlign w:val="center"/>
                </w:tcPr>
                <w:p>
                  <w:pPr>
                    <w:spacing w:before="0" w:after="0" w:line="360" w:lineRule="auto"/>
                    <w:jc w:val="center"/>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70</w:t>
                  </w:r>
                </w:p>
              </w:tc>
              <w:tc>
                <w:tcPr>
                  <w:tcW w:w="705" w:type="dxa"/>
                  <w:vAlign w:val="center"/>
                </w:tcPr>
                <w:p>
                  <w:pPr>
                    <w:spacing w:before="0" w:after="0" w:line="360" w:lineRule="auto"/>
                    <w:jc w:val="center"/>
                    <w:rPr>
                      <w:rFonts w:hint="eastAsia"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7</w:t>
                  </w:r>
                </w:p>
              </w:tc>
              <w:tc>
                <w:tcPr>
                  <w:tcW w:w="2516" w:type="dxa"/>
                  <w:vAlign w:val="center"/>
                </w:tcPr>
                <w:p>
                  <w:pPr>
                    <w:spacing w:before="0" w:after="0" w:line="360" w:lineRule="auto"/>
                    <w:jc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车间隔声，基础减振</w:t>
                  </w:r>
                </w:p>
              </w:tc>
              <w:tc>
                <w:tcPr>
                  <w:tcW w:w="675" w:type="dxa"/>
                  <w:vAlign w:val="center"/>
                </w:tcPr>
                <w:p>
                  <w:pPr>
                    <w:spacing w:before="0" w:after="0" w:line="360" w:lineRule="auto"/>
                    <w:jc w:val="center"/>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-6</w:t>
                  </w:r>
                </w:p>
              </w:tc>
              <w:tc>
                <w:tcPr>
                  <w:tcW w:w="808" w:type="dxa"/>
                  <w:vAlign w:val="center"/>
                </w:tcPr>
                <w:p>
                  <w:pPr>
                    <w:spacing w:before="0" w:after="0" w:line="360" w:lineRule="auto"/>
                    <w:jc w:val="center"/>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31</w:t>
                  </w:r>
                </w:p>
              </w:tc>
              <w:tc>
                <w:tcPr>
                  <w:tcW w:w="810" w:type="dxa"/>
                  <w:vAlign w:val="center"/>
                </w:tcPr>
                <w:p>
                  <w:pPr>
                    <w:spacing w:before="0" w:after="0" w:line="360" w:lineRule="auto"/>
                    <w:jc w:val="center"/>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12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b/>
                      <w:bCs/>
                      <w:color w:val="auto"/>
                      <w:sz w:val="21"/>
                      <w:szCs w:val="21"/>
                      <w:u w:val="single"/>
                      <w:lang w:val="en-US" w:eastAsia="zh-CN"/>
                    </w:rPr>
                  </w:pPr>
                  <w:r>
                    <w:rPr>
                      <w:rFonts w:hint="eastAsia" w:ascii="Times New Roman" w:hAnsi="Times New Roman" w:cs="Times New Roman"/>
                      <w:b w:val="0"/>
                      <w:bCs w:val="0"/>
                      <w:color w:val="auto"/>
                      <w:sz w:val="21"/>
                      <w:szCs w:val="21"/>
                      <w:u w:val="none"/>
                      <w:lang w:val="en-US" w:eastAsia="zh-CN"/>
                    </w:rPr>
                    <w:t>有机废气处理设施风机</w:t>
                  </w:r>
                </w:p>
              </w:tc>
              <w:tc>
                <w:tcPr>
                  <w:tcW w:w="1107" w:type="dxa"/>
                  <w:vAlign w:val="center"/>
                </w:tcPr>
                <w:p>
                  <w:pPr>
                    <w:spacing w:before="0" w:after="0" w:line="360" w:lineRule="auto"/>
                    <w:jc w:val="center"/>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80</w:t>
                  </w:r>
                </w:p>
              </w:tc>
              <w:tc>
                <w:tcPr>
                  <w:tcW w:w="705" w:type="dxa"/>
                  <w:vAlign w:val="center"/>
                </w:tcPr>
                <w:p>
                  <w:pPr>
                    <w:spacing w:before="0" w:after="0" w:line="360" w:lineRule="auto"/>
                    <w:jc w:val="center"/>
                    <w:rPr>
                      <w:rFonts w:hint="eastAsia"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1</w:t>
                  </w:r>
                </w:p>
              </w:tc>
              <w:tc>
                <w:tcPr>
                  <w:tcW w:w="2516" w:type="dxa"/>
                  <w:vAlign w:val="center"/>
                </w:tcPr>
                <w:p>
                  <w:pPr>
                    <w:spacing w:before="0" w:after="0" w:line="360" w:lineRule="auto"/>
                    <w:jc w:val="center"/>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车间隔声，基础减振</w:t>
                  </w:r>
                </w:p>
              </w:tc>
              <w:tc>
                <w:tcPr>
                  <w:tcW w:w="675" w:type="dxa"/>
                  <w:vAlign w:val="center"/>
                </w:tcPr>
                <w:p>
                  <w:pPr>
                    <w:spacing w:before="0" w:after="0" w:line="360" w:lineRule="auto"/>
                    <w:jc w:val="center"/>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-10</w:t>
                  </w:r>
                </w:p>
              </w:tc>
              <w:tc>
                <w:tcPr>
                  <w:tcW w:w="808" w:type="dxa"/>
                  <w:vAlign w:val="center"/>
                </w:tcPr>
                <w:p>
                  <w:pPr>
                    <w:spacing w:before="0" w:after="0" w:line="360" w:lineRule="auto"/>
                    <w:jc w:val="center"/>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21</w:t>
                  </w:r>
                </w:p>
              </w:tc>
              <w:tc>
                <w:tcPr>
                  <w:tcW w:w="810" w:type="dxa"/>
                  <w:vAlign w:val="center"/>
                </w:tcPr>
                <w:p>
                  <w:pPr>
                    <w:spacing w:before="0" w:after="0" w:line="360" w:lineRule="auto"/>
                    <w:jc w:val="center"/>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1</w:t>
                  </w:r>
                </w:p>
              </w:tc>
            </w:tr>
          </w:tbl>
          <w:p>
            <w:pPr>
              <w:spacing w:before="0" w:after="0" w:line="360" w:lineRule="auto"/>
              <w:ind w:right="420" w:firstLine="2444" w:firstLineChars="978"/>
              <w:jc w:val="left"/>
              <w:rPr>
                <w:rFonts w:hint="default" w:ascii="Times New Roman" w:hAnsi="Times New Roman" w:cs="Times New Roman"/>
                <w:b/>
                <w:bCs/>
                <w:sz w:val="24"/>
                <w:szCs w:val="24"/>
              </w:rPr>
            </w:pPr>
            <w:r>
              <w:rPr>
                <w:rFonts w:hint="eastAsia" w:ascii="Times New Roman" w:hAnsi="Times New Roman" w:cs="Times New Roman"/>
                <w:b/>
                <w:bCs/>
                <w:sz w:val="24"/>
                <w:szCs w:val="24"/>
                <w:lang w:eastAsia="zh-CN"/>
              </w:rPr>
              <w:t>续</w:t>
            </w:r>
            <w:r>
              <w:rPr>
                <w:rFonts w:hint="default" w:ascii="Times New Roman" w:hAnsi="Times New Roman" w:cs="Times New Roman"/>
                <w:b/>
                <w:bCs/>
                <w:sz w:val="24"/>
                <w:szCs w:val="24"/>
              </w:rPr>
              <w:t>表4-1</w:t>
            </w: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rPr>
              <w:t>工业企业噪声源强调查清单（室内声源）</w:t>
            </w:r>
          </w:p>
          <w:tbl>
            <w:tblPr>
              <w:tblStyle w:val="12"/>
              <w:tblW w:w="8780"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1"/>
              <w:gridCol w:w="795"/>
              <w:gridCol w:w="803"/>
              <w:gridCol w:w="720"/>
              <w:gridCol w:w="720"/>
              <w:gridCol w:w="870"/>
              <w:gridCol w:w="1035"/>
              <w:gridCol w:w="1068"/>
              <w:gridCol w:w="84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921" w:type="dxa"/>
                  <w:vMerge w:val="restart"/>
                  <w:vAlign w:val="center"/>
                </w:tcPr>
                <w:p>
                  <w:pPr>
                    <w:spacing w:before="0" w:after="0" w:line="360" w:lineRule="auto"/>
                    <w:jc w:val="center"/>
                    <w:rPr>
                      <w:rFonts w:hint="eastAsia" w:ascii="Times New Roman" w:hAnsi="Times New Roman" w:eastAsia="宋体" w:cs="Times New Roman"/>
                      <w:sz w:val="21"/>
                      <w:szCs w:val="21"/>
                      <w:u w:val="none"/>
                      <w:lang w:eastAsia="zh-CN"/>
                    </w:rPr>
                  </w:pPr>
                  <w:r>
                    <w:rPr>
                      <w:rFonts w:hint="default" w:ascii="Times New Roman" w:hAnsi="Times New Roman" w:cs="Times New Roman"/>
                      <w:sz w:val="21"/>
                      <w:szCs w:val="21"/>
                      <w:u w:val="none"/>
                    </w:rPr>
                    <w:t>声源</w:t>
                  </w:r>
                  <w:r>
                    <w:rPr>
                      <w:rFonts w:hint="eastAsia" w:ascii="Times New Roman" w:hAnsi="Times New Roman" w:cs="Times New Roman"/>
                      <w:sz w:val="21"/>
                      <w:szCs w:val="21"/>
                      <w:u w:val="none"/>
                      <w:lang w:eastAsia="zh-CN"/>
                    </w:rPr>
                    <w:t>名称</w:t>
                  </w:r>
                </w:p>
              </w:tc>
              <w:tc>
                <w:tcPr>
                  <w:tcW w:w="3038" w:type="dxa"/>
                  <w:gridSpan w:val="4"/>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距室内边界距离m</w:t>
                  </w:r>
                </w:p>
              </w:tc>
              <w:tc>
                <w:tcPr>
                  <w:tcW w:w="3821" w:type="dxa"/>
                  <w:gridSpan w:val="4"/>
                  <w:vAlign w:val="center"/>
                </w:tcPr>
                <w:p>
                  <w:pPr>
                    <w:spacing w:before="0" w:after="0" w:line="360" w:lineRule="auto"/>
                    <w:jc w:val="center"/>
                    <w:rPr>
                      <w:rFonts w:hint="eastAsia" w:ascii="Times New Roman" w:hAnsi="Times New Roman" w:cs="Times New Roman"/>
                      <w:sz w:val="21"/>
                      <w:szCs w:val="21"/>
                      <w:u w:val="none"/>
                      <w:lang w:eastAsia="zh-CN"/>
                    </w:rPr>
                  </w:pPr>
                  <w:r>
                    <w:rPr>
                      <w:rFonts w:hint="eastAsia" w:ascii="Times New Roman" w:hAnsi="Times New Roman" w:cs="Times New Roman"/>
                      <w:sz w:val="21"/>
                      <w:szCs w:val="21"/>
                      <w:u w:val="none"/>
                      <w:lang w:eastAsia="zh-CN"/>
                    </w:rPr>
                    <w:t>室内边界声级/dB(A)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1921" w:type="dxa"/>
                  <w:vMerge w:val="continue"/>
                  <w:vAlign w:val="center"/>
                </w:tcPr>
                <w:p>
                  <w:pPr>
                    <w:spacing w:before="0" w:after="0" w:line="360" w:lineRule="auto"/>
                    <w:jc w:val="center"/>
                    <w:rPr>
                      <w:u w:val="none"/>
                    </w:rPr>
                  </w:pPr>
                </w:p>
              </w:tc>
              <w:tc>
                <w:tcPr>
                  <w:tcW w:w="795" w:type="dxa"/>
                  <w:vAlign w:val="center"/>
                </w:tcPr>
                <w:p>
                  <w:pPr>
                    <w:spacing w:before="0" w:after="0" w:line="360" w:lineRule="auto"/>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东</w:t>
                  </w:r>
                </w:p>
              </w:tc>
              <w:tc>
                <w:tcPr>
                  <w:tcW w:w="803" w:type="dxa"/>
                  <w:vAlign w:val="center"/>
                </w:tcPr>
                <w:p>
                  <w:pPr>
                    <w:spacing w:before="0" w:after="0" w:line="360" w:lineRule="auto"/>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南</w:t>
                  </w:r>
                </w:p>
              </w:tc>
              <w:tc>
                <w:tcPr>
                  <w:tcW w:w="720" w:type="dxa"/>
                  <w:vAlign w:val="center"/>
                </w:tcPr>
                <w:p>
                  <w:pPr>
                    <w:spacing w:before="0" w:after="0" w:line="360" w:lineRule="auto"/>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西</w:t>
                  </w:r>
                </w:p>
              </w:tc>
              <w:tc>
                <w:tcPr>
                  <w:tcW w:w="720" w:type="dxa"/>
                  <w:vAlign w:val="center"/>
                </w:tcPr>
                <w:p>
                  <w:pPr>
                    <w:spacing w:before="0" w:after="0" w:line="360" w:lineRule="auto"/>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北</w:t>
                  </w:r>
                </w:p>
              </w:tc>
              <w:tc>
                <w:tcPr>
                  <w:tcW w:w="870" w:type="dxa"/>
                  <w:vAlign w:val="center"/>
                </w:tcPr>
                <w:p>
                  <w:pPr>
                    <w:spacing w:before="0" w:after="0" w:line="360" w:lineRule="auto"/>
                    <w:jc w:val="center"/>
                    <w:rPr>
                      <w:rFonts w:hint="default" w:ascii="Times New Roman" w:hAnsi="Times New Roman" w:cs="Times New Roman"/>
                      <w:sz w:val="21"/>
                      <w:szCs w:val="21"/>
                      <w:u w:val="none"/>
                    </w:rPr>
                  </w:pPr>
                  <w:r>
                    <w:rPr>
                      <w:rFonts w:hint="eastAsia" w:ascii="Times New Roman" w:hAnsi="Times New Roman" w:cs="Times New Roman"/>
                      <w:sz w:val="21"/>
                      <w:szCs w:val="21"/>
                      <w:u w:val="none"/>
                      <w:lang w:eastAsia="zh-CN"/>
                    </w:rPr>
                    <w:t>东</w:t>
                  </w:r>
                </w:p>
              </w:tc>
              <w:tc>
                <w:tcPr>
                  <w:tcW w:w="1035" w:type="dxa"/>
                  <w:vAlign w:val="center"/>
                </w:tcPr>
                <w:p>
                  <w:pPr>
                    <w:spacing w:before="0" w:after="0" w:line="360" w:lineRule="auto"/>
                    <w:jc w:val="center"/>
                    <w:rPr>
                      <w:rFonts w:hint="default" w:ascii="Times New Roman" w:hAnsi="Times New Roman" w:cs="Times New Roman"/>
                      <w:sz w:val="21"/>
                      <w:szCs w:val="21"/>
                      <w:u w:val="none"/>
                    </w:rPr>
                  </w:pPr>
                  <w:r>
                    <w:rPr>
                      <w:rFonts w:hint="eastAsia" w:ascii="Times New Roman" w:hAnsi="Times New Roman" w:cs="Times New Roman"/>
                      <w:sz w:val="21"/>
                      <w:szCs w:val="21"/>
                      <w:u w:val="none"/>
                      <w:lang w:eastAsia="zh-CN"/>
                    </w:rPr>
                    <w:t>南</w:t>
                  </w:r>
                </w:p>
              </w:tc>
              <w:tc>
                <w:tcPr>
                  <w:tcW w:w="1068" w:type="dxa"/>
                  <w:vAlign w:val="center"/>
                </w:tcPr>
                <w:p>
                  <w:pPr>
                    <w:spacing w:before="0" w:after="0" w:line="360" w:lineRule="auto"/>
                    <w:jc w:val="center"/>
                    <w:rPr>
                      <w:rFonts w:hint="default" w:ascii="Times New Roman" w:hAnsi="Times New Roman" w:cs="Times New Roman"/>
                      <w:sz w:val="21"/>
                      <w:szCs w:val="21"/>
                      <w:u w:val="none"/>
                    </w:rPr>
                  </w:pPr>
                  <w:r>
                    <w:rPr>
                      <w:rFonts w:hint="eastAsia" w:ascii="Times New Roman" w:hAnsi="Times New Roman" w:cs="Times New Roman"/>
                      <w:sz w:val="21"/>
                      <w:szCs w:val="21"/>
                      <w:u w:val="none"/>
                      <w:lang w:eastAsia="zh-CN"/>
                    </w:rPr>
                    <w:t>西</w:t>
                  </w:r>
                </w:p>
              </w:tc>
              <w:tc>
                <w:tcPr>
                  <w:tcW w:w="848" w:type="dxa"/>
                  <w:vAlign w:val="center"/>
                </w:tcPr>
                <w:p>
                  <w:pPr>
                    <w:spacing w:before="0" w:after="0" w:line="360" w:lineRule="auto"/>
                    <w:jc w:val="center"/>
                    <w:rPr>
                      <w:rFonts w:hint="default" w:ascii="Times New Roman" w:hAnsi="Times New Roman" w:cs="Times New Roman"/>
                      <w:sz w:val="21"/>
                      <w:szCs w:val="21"/>
                      <w:u w:val="none"/>
                    </w:rPr>
                  </w:pPr>
                  <w:r>
                    <w:rPr>
                      <w:rFonts w:hint="eastAsia" w:ascii="Times New Roman" w:hAnsi="Times New Roman" w:cs="Times New Roman"/>
                      <w:sz w:val="21"/>
                      <w:szCs w:val="21"/>
                      <w:u w:val="none"/>
                      <w:lang w:eastAsia="zh-CN"/>
                    </w:rPr>
                    <w:t>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1921" w:type="dxa"/>
                  <w:vAlign w:val="center"/>
                </w:tcPr>
                <w:p>
                  <w:pPr>
                    <w:spacing w:before="0" w:after="0" w:line="360" w:lineRule="auto"/>
                    <w:jc w:val="center"/>
                    <w:rPr>
                      <w:rFonts w:hint="default" w:ascii="Times New Roman" w:hAnsi="Times New Roman" w:cs="Times New Roman"/>
                      <w:color w:val="auto"/>
                      <w:sz w:val="21"/>
                      <w:szCs w:val="21"/>
                      <w:u w:val="none"/>
                    </w:rPr>
                  </w:pPr>
                  <w:r>
                    <w:rPr>
                      <w:rFonts w:hint="eastAsia"/>
                      <w:b w:val="0"/>
                      <w:bCs w:val="0"/>
                      <w:color w:val="auto"/>
                      <w:u w:val="none"/>
                      <w:lang w:val="en-US" w:eastAsia="zh-CN"/>
                    </w:rPr>
                    <w:t>原料均化仓（绞龙上料机）7台（按点声源组预测）</w:t>
                  </w:r>
                </w:p>
              </w:tc>
              <w:tc>
                <w:tcPr>
                  <w:tcW w:w="795"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30</w:t>
                  </w:r>
                </w:p>
              </w:tc>
              <w:tc>
                <w:tcPr>
                  <w:tcW w:w="803"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12</w:t>
                  </w:r>
                </w:p>
              </w:tc>
              <w:tc>
                <w:tcPr>
                  <w:tcW w:w="72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10</w:t>
                  </w:r>
                </w:p>
              </w:tc>
              <w:tc>
                <w:tcPr>
                  <w:tcW w:w="72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30</w:t>
                  </w:r>
                </w:p>
              </w:tc>
              <w:tc>
                <w:tcPr>
                  <w:tcW w:w="870"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66</w:t>
                  </w:r>
                </w:p>
              </w:tc>
              <w:tc>
                <w:tcPr>
                  <w:tcW w:w="1035"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51</w:t>
                  </w:r>
                </w:p>
              </w:tc>
              <w:tc>
                <w:tcPr>
                  <w:tcW w:w="1068"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25.4</w:t>
                  </w:r>
                </w:p>
              </w:tc>
              <w:tc>
                <w:tcPr>
                  <w:tcW w:w="848"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63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1921" w:type="dxa"/>
                  <w:vAlign w:val="center"/>
                </w:tcPr>
                <w:p>
                  <w:pPr>
                    <w:spacing w:before="0" w:after="0" w:line="360" w:lineRule="auto"/>
                    <w:jc w:val="center"/>
                    <w:rPr>
                      <w:rFonts w:hint="eastAsia"/>
                      <w:b w:val="0"/>
                      <w:bCs w:val="0"/>
                      <w:color w:val="auto"/>
                      <w:u w:val="none"/>
                      <w:lang w:val="en-US" w:eastAsia="zh-CN"/>
                    </w:rPr>
                  </w:pPr>
                  <w:r>
                    <w:rPr>
                      <w:rFonts w:hint="eastAsia"/>
                      <w:b w:val="0"/>
                      <w:bCs w:val="0"/>
                      <w:color w:val="auto"/>
                      <w:u w:val="none"/>
                      <w:lang w:val="en-US" w:eastAsia="zh-CN"/>
                    </w:rPr>
                    <w:t>造粒机（熔融）7台（按点声源组预测）</w:t>
                  </w:r>
                </w:p>
              </w:tc>
              <w:tc>
                <w:tcPr>
                  <w:tcW w:w="795"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30</w:t>
                  </w:r>
                </w:p>
              </w:tc>
              <w:tc>
                <w:tcPr>
                  <w:tcW w:w="803"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17</w:t>
                  </w:r>
                </w:p>
              </w:tc>
              <w:tc>
                <w:tcPr>
                  <w:tcW w:w="72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10</w:t>
                  </w:r>
                </w:p>
              </w:tc>
              <w:tc>
                <w:tcPr>
                  <w:tcW w:w="72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25</w:t>
                  </w:r>
                </w:p>
              </w:tc>
              <w:tc>
                <w:tcPr>
                  <w:tcW w:w="870"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76</w:t>
                  </w:r>
                </w:p>
              </w:tc>
              <w:tc>
                <w:tcPr>
                  <w:tcW w:w="1035"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55.5</w:t>
                  </w:r>
                </w:p>
              </w:tc>
              <w:tc>
                <w:tcPr>
                  <w:tcW w:w="1068"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28.5</w:t>
                  </w:r>
                </w:p>
              </w:tc>
              <w:tc>
                <w:tcPr>
                  <w:tcW w:w="848"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71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1921" w:type="dxa"/>
                  <w:vAlign w:val="center"/>
                </w:tcPr>
                <w:p>
                  <w:pPr>
                    <w:spacing w:before="0" w:after="0" w:line="360" w:lineRule="auto"/>
                    <w:jc w:val="center"/>
                    <w:rPr>
                      <w:rFonts w:hint="eastAsia"/>
                      <w:b w:val="0"/>
                      <w:bCs w:val="0"/>
                      <w:color w:val="auto"/>
                      <w:u w:val="none"/>
                      <w:lang w:val="en-US" w:eastAsia="zh-CN"/>
                    </w:rPr>
                  </w:pPr>
                  <w:r>
                    <w:rPr>
                      <w:rFonts w:hint="eastAsia"/>
                      <w:b w:val="0"/>
                      <w:bCs w:val="0"/>
                      <w:color w:val="auto"/>
                      <w:u w:val="none"/>
                      <w:lang w:val="en-US" w:eastAsia="zh-CN"/>
                    </w:rPr>
                    <w:t>水冷拉条塑造线7台（按点声源组预测）</w:t>
                  </w:r>
                </w:p>
              </w:tc>
              <w:tc>
                <w:tcPr>
                  <w:tcW w:w="795"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30</w:t>
                  </w:r>
                </w:p>
              </w:tc>
              <w:tc>
                <w:tcPr>
                  <w:tcW w:w="803"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22</w:t>
                  </w:r>
                </w:p>
              </w:tc>
              <w:tc>
                <w:tcPr>
                  <w:tcW w:w="72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10</w:t>
                  </w:r>
                </w:p>
              </w:tc>
              <w:tc>
                <w:tcPr>
                  <w:tcW w:w="72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20</w:t>
                  </w:r>
                </w:p>
              </w:tc>
              <w:tc>
                <w:tcPr>
                  <w:tcW w:w="870"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68</w:t>
                  </w:r>
                </w:p>
              </w:tc>
              <w:tc>
                <w:tcPr>
                  <w:tcW w:w="1035"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52.5</w:t>
                  </w:r>
                </w:p>
              </w:tc>
              <w:tc>
                <w:tcPr>
                  <w:tcW w:w="1068"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26.5</w:t>
                  </w:r>
                </w:p>
              </w:tc>
              <w:tc>
                <w:tcPr>
                  <w:tcW w:w="848"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62</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1921" w:type="dxa"/>
                  <w:vAlign w:val="center"/>
                </w:tcPr>
                <w:p>
                  <w:pPr>
                    <w:spacing w:before="0" w:after="0" w:line="360" w:lineRule="auto"/>
                    <w:jc w:val="center"/>
                    <w:rPr>
                      <w:rFonts w:hint="eastAsia"/>
                      <w:b w:val="0"/>
                      <w:bCs w:val="0"/>
                      <w:color w:val="auto"/>
                      <w:u w:val="none"/>
                      <w:lang w:val="en-US" w:eastAsia="zh-CN"/>
                    </w:rPr>
                  </w:pPr>
                  <w:r>
                    <w:rPr>
                      <w:rFonts w:hint="default" w:ascii="Times New Roman" w:hAnsi="Times New Roman" w:cs="Times New Roman"/>
                      <w:color w:val="auto"/>
                      <w:sz w:val="21"/>
                      <w:szCs w:val="21"/>
                      <w:u w:val="none"/>
                      <w:lang w:val="en-US" w:eastAsia="zh-CN"/>
                    </w:rPr>
                    <w:t>切粒机</w:t>
                  </w:r>
                  <w:r>
                    <w:rPr>
                      <w:rFonts w:hint="eastAsia" w:ascii="Times New Roman" w:hAnsi="Times New Roman" w:cs="Times New Roman"/>
                      <w:color w:val="auto"/>
                      <w:sz w:val="21"/>
                      <w:szCs w:val="21"/>
                      <w:u w:val="none"/>
                      <w:lang w:val="en-US" w:eastAsia="zh-CN"/>
                    </w:rPr>
                    <w:t>7台</w:t>
                  </w:r>
                  <w:r>
                    <w:rPr>
                      <w:rFonts w:hint="eastAsia"/>
                      <w:b w:val="0"/>
                      <w:bCs w:val="0"/>
                      <w:color w:val="auto"/>
                      <w:u w:val="none"/>
                      <w:lang w:val="en-US" w:eastAsia="zh-CN"/>
                    </w:rPr>
                    <w:t>（按点声源组预测）</w:t>
                  </w:r>
                </w:p>
              </w:tc>
              <w:tc>
                <w:tcPr>
                  <w:tcW w:w="795"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30</w:t>
                  </w:r>
                </w:p>
              </w:tc>
              <w:tc>
                <w:tcPr>
                  <w:tcW w:w="803"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25</w:t>
                  </w:r>
                </w:p>
              </w:tc>
              <w:tc>
                <w:tcPr>
                  <w:tcW w:w="72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10</w:t>
                  </w:r>
                </w:p>
              </w:tc>
              <w:tc>
                <w:tcPr>
                  <w:tcW w:w="72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17</w:t>
                  </w:r>
                </w:p>
              </w:tc>
              <w:tc>
                <w:tcPr>
                  <w:tcW w:w="870"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77</w:t>
                  </w:r>
                </w:p>
              </w:tc>
              <w:tc>
                <w:tcPr>
                  <w:tcW w:w="1035"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53.4</w:t>
                  </w:r>
                </w:p>
              </w:tc>
              <w:tc>
                <w:tcPr>
                  <w:tcW w:w="1068"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27.1</w:t>
                  </w:r>
                </w:p>
              </w:tc>
              <w:tc>
                <w:tcPr>
                  <w:tcW w:w="848"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71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192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振动筛7台（按点声源组预测）</w:t>
                  </w:r>
                </w:p>
              </w:tc>
              <w:tc>
                <w:tcPr>
                  <w:tcW w:w="795"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30</w:t>
                  </w:r>
                </w:p>
              </w:tc>
              <w:tc>
                <w:tcPr>
                  <w:tcW w:w="803"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26</w:t>
                  </w:r>
                </w:p>
              </w:tc>
              <w:tc>
                <w:tcPr>
                  <w:tcW w:w="72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10</w:t>
                  </w:r>
                </w:p>
              </w:tc>
              <w:tc>
                <w:tcPr>
                  <w:tcW w:w="72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16</w:t>
                  </w:r>
                </w:p>
              </w:tc>
              <w:tc>
                <w:tcPr>
                  <w:tcW w:w="870"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71</w:t>
                  </w:r>
                </w:p>
              </w:tc>
              <w:tc>
                <w:tcPr>
                  <w:tcW w:w="1035"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50.5</w:t>
                  </w:r>
                </w:p>
              </w:tc>
              <w:tc>
                <w:tcPr>
                  <w:tcW w:w="1068"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28.1</w:t>
                  </w:r>
                </w:p>
              </w:tc>
              <w:tc>
                <w:tcPr>
                  <w:tcW w:w="848"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67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192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风力输送机7台（按点声源组预测）</w:t>
                  </w:r>
                </w:p>
              </w:tc>
              <w:tc>
                <w:tcPr>
                  <w:tcW w:w="795"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30</w:t>
                  </w:r>
                </w:p>
              </w:tc>
              <w:tc>
                <w:tcPr>
                  <w:tcW w:w="803"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27</w:t>
                  </w:r>
                </w:p>
              </w:tc>
              <w:tc>
                <w:tcPr>
                  <w:tcW w:w="72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10</w:t>
                  </w:r>
                </w:p>
              </w:tc>
              <w:tc>
                <w:tcPr>
                  <w:tcW w:w="72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15</w:t>
                  </w:r>
                </w:p>
              </w:tc>
              <w:tc>
                <w:tcPr>
                  <w:tcW w:w="87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70</w:t>
                  </w:r>
                </w:p>
              </w:tc>
              <w:tc>
                <w:tcPr>
                  <w:tcW w:w="1035"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49.5</w:t>
                  </w:r>
                </w:p>
              </w:tc>
              <w:tc>
                <w:tcPr>
                  <w:tcW w:w="1068"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26.5</w:t>
                  </w:r>
                </w:p>
              </w:tc>
              <w:tc>
                <w:tcPr>
                  <w:tcW w:w="848"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61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192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u w:val="none"/>
                      <w:lang w:val="en-US" w:eastAsia="zh-CN"/>
                    </w:rPr>
                    <w:t>自动包装机</w:t>
                  </w:r>
                  <w:r>
                    <w:rPr>
                      <w:rFonts w:hint="default" w:ascii="Times New Roman" w:hAnsi="Times New Roman" w:cs="Times New Roman"/>
                      <w:color w:val="auto"/>
                      <w:sz w:val="21"/>
                      <w:szCs w:val="21"/>
                      <w:u w:val="none"/>
                      <w:lang w:val="en-US" w:eastAsia="zh-CN"/>
                    </w:rPr>
                    <w:t>7台（按点声源组预测）</w:t>
                  </w:r>
                </w:p>
              </w:tc>
              <w:tc>
                <w:tcPr>
                  <w:tcW w:w="795"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30</w:t>
                  </w:r>
                </w:p>
              </w:tc>
              <w:tc>
                <w:tcPr>
                  <w:tcW w:w="803"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28</w:t>
                  </w:r>
                </w:p>
              </w:tc>
              <w:tc>
                <w:tcPr>
                  <w:tcW w:w="72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10</w:t>
                  </w:r>
                </w:p>
              </w:tc>
              <w:tc>
                <w:tcPr>
                  <w:tcW w:w="72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14</w:t>
                  </w:r>
                </w:p>
              </w:tc>
              <w:tc>
                <w:tcPr>
                  <w:tcW w:w="870"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77</w:t>
                  </w:r>
                </w:p>
              </w:tc>
              <w:tc>
                <w:tcPr>
                  <w:tcW w:w="1035"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47.6</w:t>
                  </w:r>
                </w:p>
              </w:tc>
              <w:tc>
                <w:tcPr>
                  <w:tcW w:w="1068"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27.1</w:t>
                  </w:r>
                </w:p>
              </w:tc>
              <w:tc>
                <w:tcPr>
                  <w:tcW w:w="848"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63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192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有机废气处理设施风机</w:t>
                  </w:r>
                </w:p>
              </w:tc>
              <w:tc>
                <w:tcPr>
                  <w:tcW w:w="795"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35</w:t>
                  </w:r>
                </w:p>
              </w:tc>
              <w:tc>
                <w:tcPr>
                  <w:tcW w:w="803"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17</w:t>
                  </w:r>
                </w:p>
              </w:tc>
              <w:tc>
                <w:tcPr>
                  <w:tcW w:w="72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5</w:t>
                  </w:r>
                </w:p>
              </w:tc>
              <w:tc>
                <w:tcPr>
                  <w:tcW w:w="720"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25</w:t>
                  </w:r>
                </w:p>
              </w:tc>
              <w:tc>
                <w:tcPr>
                  <w:tcW w:w="870"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69</w:t>
                  </w:r>
                </w:p>
              </w:tc>
              <w:tc>
                <w:tcPr>
                  <w:tcW w:w="1035"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51.5</w:t>
                  </w:r>
                </w:p>
              </w:tc>
              <w:tc>
                <w:tcPr>
                  <w:tcW w:w="1068"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27.5</w:t>
                  </w:r>
                </w:p>
              </w:tc>
              <w:tc>
                <w:tcPr>
                  <w:tcW w:w="848"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60</w:t>
                  </w:r>
                </w:p>
              </w:tc>
            </w:tr>
          </w:tbl>
          <w:p>
            <w:pPr>
              <w:spacing w:before="0" w:after="0" w:line="360" w:lineRule="auto"/>
              <w:ind w:right="420" w:firstLine="2444" w:firstLineChars="978"/>
              <w:jc w:val="left"/>
              <w:rPr>
                <w:rFonts w:hint="default" w:ascii="Times New Roman" w:hAnsi="Times New Roman" w:cs="Times New Roman"/>
                <w:b/>
                <w:bCs/>
                <w:sz w:val="24"/>
                <w:szCs w:val="24"/>
              </w:rPr>
            </w:pPr>
            <w:r>
              <w:rPr>
                <w:rFonts w:hint="eastAsia" w:ascii="Times New Roman" w:hAnsi="Times New Roman" w:cs="Times New Roman"/>
                <w:b/>
                <w:bCs/>
                <w:sz w:val="24"/>
                <w:szCs w:val="24"/>
                <w:lang w:eastAsia="zh-CN"/>
              </w:rPr>
              <w:t>续</w:t>
            </w:r>
            <w:r>
              <w:rPr>
                <w:rFonts w:hint="default" w:ascii="Times New Roman" w:hAnsi="Times New Roman" w:cs="Times New Roman"/>
                <w:b/>
                <w:bCs/>
                <w:sz w:val="24"/>
                <w:szCs w:val="24"/>
              </w:rPr>
              <w:t>表4-1</w:t>
            </w:r>
            <w:r>
              <w:rPr>
                <w:rFonts w:hint="eastAsia" w:ascii="Times New Roman" w:hAnsi="Times New Roman" w:cs="Times New Roman"/>
                <w:b/>
                <w:bCs/>
                <w:sz w:val="24"/>
                <w:szCs w:val="24"/>
                <w:lang w:val="en-US" w:eastAsia="zh-CN"/>
              </w:rPr>
              <w:t xml:space="preserve">3  </w:t>
            </w:r>
            <w:r>
              <w:rPr>
                <w:rFonts w:hint="default" w:ascii="Times New Roman" w:hAnsi="Times New Roman" w:cs="Times New Roman"/>
                <w:b/>
                <w:bCs/>
                <w:sz w:val="24"/>
                <w:szCs w:val="24"/>
              </w:rPr>
              <w:t>工业企业噪声源强调查清单（室内声源）</w:t>
            </w:r>
          </w:p>
          <w:tbl>
            <w:tblPr>
              <w:tblStyle w:val="12"/>
              <w:tblW w:w="8616"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0"/>
              <w:gridCol w:w="1425"/>
              <w:gridCol w:w="1470"/>
              <w:gridCol w:w="1569"/>
              <w:gridCol w:w="12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2930" w:type="dxa"/>
                  <w:vMerge w:val="restart"/>
                  <w:vAlign w:val="center"/>
                </w:tcPr>
                <w:p>
                  <w:pPr>
                    <w:spacing w:before="0" w:after="0" w:line="360" w:lineRule="auto"/>
                    <w:jc w:val="center"/>
                    <w:rPr>
                      <w:rFonts w:hint="eastAsia" w:ascii="Times New Roman" w:hAnsi="Times New Roman" w:eastAsia="宋体" w:cs="Times New Roman"/>
                      <w:sz w:val="21"/>
                      <w:szCs w:val="21"/>
                      <w:u w:val="none"/>
                      <w:lang w:eastAsia="zh-CN"/>
                    </w:rPr>
                  </w:pPr>
                  <w:r>
                    <w:rPr>
                      <w:rFonts w:hint="default" w:ascii="Times New Roman" w:hAnsi="Times New Roman" w:cs="Times New Roman"/>
                      <w:sz w:val="21"/>
                      <w:szCs w:val="21"/>
                      <w:u w:val="none"/>
                    </w:rPr>
                    <w:t>声源</w:t>
                  </w:r>
                  <w:r>
                    <w:rPr>
                      <w:rFonts w:hint="eastAsia" w:ascii="Times New Roman" w:hAnsi="Times New Roman" w:cs="Times New Roman"/>
                      <w:sz w:val="21"/>
                      <w:szCs w:val="21"/>
                      <w:u w:val="none"/>
                      <w:lang w:eastAsia="zh-CN"/>
                    </w:rPr>
                    <w:t>名称</w:t>
                  </w:r>
                </w:p>
              </w:tc>
              <w:tc>
                <w:tcPr>
                  <w:tcW w:w="1425" w:type="dxa"/>
                  <w:vMerge w:val="restart"/>
                  <w:vAlign w:val="center"/>
                </w:tcPr>
                <w:p>
                  <w:pPr>
                    <w:spacing w:before="0" w:after="0" w:line="360" w:lineRule="auto"/>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运行时段</w:t>
                  </w:r>
                </w:p>
              </w:tc>
              <w:tc>
                <w:tcPr>
                  <w:tcW w:w="1470" w:type="dxa"/>
                  <w:vMerge w:val="restart"/>
                  <w:vAlign w:val="center"/>
                </w:tcPr>
                <w:p>
                  <w:pPr>
                    <w:spacing w:before="0" w:after="0" w:line="360" w:lineRule="auto"/>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建筑物插入损失/dB(A)</w:t>
                  </w:r>
                </w:p>
              </w:tc>
              <w:tc>
                <w:tcPr>
                  <w:tcW w:w="2791" w:type="dxa"/>
                  <w:gridSpan w:val="2"/>
                  <w:vAlign w:val="center"/>
                </w:tcPr>
                <w:p>
                  <w:pPr>
                    <w:spacing w:before="0" w:after="0" w:line="360" w:lineRule="auto"/>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建筑物外噪声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2930" w:type="dxa"/>
                  <w:vMerge w:val="continue"/>
                  <w:vAlign w:val="center"/>
                </w:tcPr>
                <w:p>
                  <w:pPr>
                    <w:spacing w:before="0" w:after="0" w:line="360" w:lineRule="auto"/>
                    <w:jc w:val="center"/>
                    <w:rPr>
                      <w:u w:val="none"/>
                    </w:rPr>
                  </w:pPr>
                </w:p>
              </w:tc>
              <w:tc>
                <w:tcPr>
                  <w:tcW w:w="1425" w:type="dxa"/>
                  <w:vMerge w:val="continue"/>
                  <w:vAlign w:val="center"/>
                </w:tcPr>
                <w:p>
                  <w:pPr>
                    <w:spacing w:before="0" w:after="0" w:line="360" w:lineRule="auto"/>
                    <w:jc w:val="center"/>
                    <w:rPr>
                      <w:rFonts w:hint="default" w:ascii="Times New Roman" w:hAnsi="Times New Roman" w:cs="Times New Roman"/>
                      <w:sz w:val="21"/>
                      <w:szCs w:val="21"/>
                      <w:u w:val="none"/>
                    </w:rPr>
                  </w:pPr>
                </w:p>
              </w:tc>
              <w:tc>
                <w:tcPr>
                  <w:tcW w:w="1470" w:type="dxa"/>
                  <w:vMerge w:val="continue"/>
                  <w:vAlign w:val="center"/>
                </w:tcPr>
                <w:p>
                  <w:pPr>
                    <w:spacing w:before="0" w:after="0" w:line="360" w:lineRule="auto"/>
                    <w:jc w:val="center"/>
                    <w:rPr>
                      <w:rFonts w:hint="eastAsia" w:ascii="Times New Roman" w:hAnsi="Times New Roman" w:eastAsia="宋体" w:cs="Times New Roman"/>
                      <w:sz w:val="21"/>
                      <w:szCs w:val="21"/>
                      <w:u w:val="none"/>
                      <w:lang w:val="en-US" w:eastAsia="zh-CN"/>
                    </w:rPr>
                  </w:pPr>
                </w:p>
              </w:tc>
              <w:tc>
                <w:tcPr>
                  <w:tcW w:w="1569" w:type="dxa"/>
                  <w:vAlign w:val="center"/>
                </w:tcPr>
                <w:p>
                  <w:pPr>
                    <w:spacing w:before="0" w:after="0" w:line="360" w:lineRule="auto"/>
                    <w:jc w:val="center"/>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声压级</w:t>
                  </w:r>
                </w:p>
                <w:p>
                  <w:pPr>
                    <w:spacing w:before="0" w:after="0" w:line="360" w:lineRule="auto"/>
                    <w:jc w:val="center"/>
                    <w:rPr>
                      <w:rFonts w:hint="eastAsia"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/dB(A)</w:t>
                  </w:r>
                </w:p>
              </w:tc>
              <w:tc>
                <w:tcPr>
                  <w:tcW w:w="1222" w:type="dxa"/>
                  <w:vAlign w:val="center"/>
                </w:tcPr>
                <w:p>
                  <w:pPr>
                    <w:spacing w:before="0" w:after="0" w:line="360" w:lineRule="auto"/>
                    <w:jc w:val="center"/>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建筑物</w:t>
                  </w:r>
                </w:p>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外距离m</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930" w:type="dxa"/>
                  <w:vAlign w:val="center"/>
                </w:tcPr>
                <w:p>
                  <w:pPr>
                    <w:spacing w:before="0" w:after="0" w:line="360" w:lineRule="auto"/>
                    <w:jc w:val="center"/>
                    <w:rPr>
                      <w:rFonts w:hint="default" w:ascii="Times New Roman" w:hAnsi="Times New Roman" w:cs="Times New Roman"/>
                      <w:color w:val="auto"/>
                      <w:sz w:val="21"/>
                      <w:szCs w:val="21"/>
                      <w:u w:val="none"/>
                    </w:rPr>
                  </w:pPr>
                  <w:r>
                    <w:rPr>
                      <w:rFonts w:hint="eastAsia"/>
                      <w:b w:val="0"/>
                      <w:bCs w:val="0"/>
                      <w:color w:val="auto"/>
                      <w:u w:val="none"/>
                      <w:lang w:val="en-US" w:eastAsia="zh-CN"/>
                    </w:rPr>
                    <w:t>原料均化仓（绞龙上料机）7台（按点声源组预测）</w:t>
                  </w:r>
                </w:p>
              </w:tc>
              <w:tc>
                <w:tcPr>
                  <w:tcW w:w="1425" w:type="dxa"/>
                  <w:vAlign w:val="center"/>
                </w:tcPr>
                <w:p>
                  <w:pPr>
                    <w:spacing w:before="0" w:after="0" w:line="360" w:lineRule="auto"/>
                    <w:jc w:val="center"/>
                    <w:rPr>
                      <w:rFonts w:hint="default" w:ascii="Times New Roman" w:hAnsi="Times New Roman" w:cs="Times New Roman"/>
                      <w:sz w:val="21"/>
                      <w:szCs w:val="21"/>
                      <w:u w:val="none"/>
                    </w:rPr>
                  </w:pPr>
                  <w:r>
                    <w:rPr>
                      <w:rFonts w:hint="eastAsia" w:ascii="Times New Roman" w:hAnsi="Times New Roman" w:cs="Times New Roman"/>
                      <w:sz w:val="21"/>
                      <w:szCs w:val="21"/>
                      <w:u w:val="none"/>
                      <w:lang w:eastAsia="zh-CN"/>
                    </w:rPr>
                    <w:t>昼间</w:t>
                  </w:r>
                </w:p>
              </w:tc>
              <w:tc>
                <w:tcPr>
                  <w:tcW w:w="1470"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25</w:t>
                  </w:r>
                </w:p>
              </w:tc>
              <w:tc>
                <w:tcPr>
                  <w:tcW w:w="1569"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50</w:t>
                  </w:r>
                </w:p>
              </w:tc>
              <w:tc>
                <w:tcPr>
                  <w:tcW w:w="1222" w:type="dxa"/>
                  <w:vAlign w:val="center"/>
                </w:tcPr>
                <w:p>
                  <w:pPr>
                    <w:spacing w:before="0" w:after="0" w:line="360" w:lineRule="auto"/>
                    <w:jc w:val="center"/>
                    <w:rPr>
                      <w:rFonts w:hint="eastAsia"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930" w:type="dxa"/>
                  <w:vAlign w:val="center"/>
                </w:tcPr>
                <w:p>
                  <w:pPr>
                    <w:spacing w:before="0" w:after="0" w:line="360" w:lineRule="auto"/>
                    <w:jc w:val="center"/>
                    <w:rPr>
                      <w:rFonts w:hint="eastAsia"/>
                      <w:b w:val="0"/>
                      <w:bCs w:val="0"/>
                      <w:color w:val="auto"/>
                      <w:u w:val="none"/>
                      <w:lang w:val="en-US" w:eastAsia="zh-CN"/>
                    </w:rPr>
                  </w:pPr>
                  <w:r>
                    <w:rPr>
                      <w:rFonts w:hint="eastAsia"/>
                      <w:b w:val="0"/>
                      <w:bCs w:val="0"/>
                      <w:color w:val="auto"/>
                      <w:u w:val="none"/>
                      <w:lang w:val="en-US" w:eastAsia="zh-CN"/>
                    </w:rPr>
                    <w:t>造粒机（熔融）7台（按点声源组预测）</w:t>
                  </w:r>
                </w:p>
              </w:tc>
              <w:tc>
                <w:tcPr>
                  <w:tcW w:w="1425" w:type="dxa"/>
                  <w:vAlign w:val="center"/>
                </w:tcPr>
                <w:p>
                  <w:pPr>
                    <w:spacing w:before="0" w:after="0" w:line="360" w:lineRule="auto"/>
                    <w:jc w:val="center"/>
                    <w:rPr>
                      <w:rFonts w:hint="eastAsia" w:ascii="Times New Roman" w:hAnsi="Times New Roman" w:cs="Times New Roman"/>
                      <w:sz w:val="21"/>
                      <w:szCs w:val="21"/>
                      <w:u w:val="none"/>
                      <w:lang w:eastAsia="zh-CN"/>
                    </w:rPr>
                  </w:pPr>
                  <w:r>
                    <w:rPr>
                      <w:rFonts w:hint="eastAsia" w:ascii="Times New Roman" w:hAnsi="Times New Roman" w:cs="Times New Roman"/>
                      <w:sz w:val="21"/>
                      <w:szCs w:val="21"/>
                      <w:u w:val="none"/>
                      <w:lang w:eastAsia="zh-CN"/>
                    </w:rPr>
                    <w:t>昼间</w:t>
                  </w:r>
                </w:p>
              </w:tc>
              <w:tc>
                <w:tcPr>
                  <w:tcW w:w="1470" w:type="dxa"/>
                  <w:vAlign w:val="center"/>
                </w:tcPr>
                <w:p>
                  <w:pPr>
                    <w:spacing w:before="0" w:after="0" w:line="360" w:lineRule="auto"/>
                    <w:jc w:val="center"/>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25</w:t>
                  </w:r>
                </w:p>
              </w:tc>
              <w:tc>
                <w:tcPr>
                  <w:tcW w:w="1569"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45</w:t>
                  </w:r>
                </w:p>
              </w:tc>
              <w:tc>
                <w:tcPr>
                  <w:tcW w:w="1222" w:type="dxa"/>
                  <w:vAlign w:val="center"/>
                </w:tcPr>
                <w:p>
                  <w:pPr>
                    <w:spacing w:before="0" w:after="0" w:line="360" w:lineRule="auto"/>
                    <w:jc w:val="center"/>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930" w:type="dxa"/>
                  <w:vAlign w:val="center"/>
                </w:tcPr>
                <w:p>
                  <w:pPr>
                    <w:spacing w:before="0" w:after="0" w:line="360" w:lineRule="auto"/>
                    <w:jc w:val="center"/>
                    <w:rPr>
                      <w:rFonts w:hint="eastAsia"/>
                      <w:b w:val="0"/>
                      <w:bCs w:val="0"/>
                      <w:color w:val="auto"/>
                      <w:u w:val="none"/>
                      <w:lang w:val="en-US" w:eastAsia="zh-CN"/>
                    </w:rPr>
                  </w:pPr>
                  <w:r>
                    <w:rPr>
                      <w:rFonts w:hint="eastAsia"/>
                      <w:b w:val="0"/>
                      <w:bCs w:val="0"/>
                      <w:color w:val="auto"/>
                      <w:u w:val="none"/>
                      <w:lang w:val="en-US" w:eastAsia="zh-CN"/>
                    </w:rPr>
                    <w:t>水冷拉条塑造线7台（按点声源组预测）</w:t>
                  </w:r>
                </w:p>
              </w:tc>
              <w:tc>
                <w:tcPr>
                  <w:tcW w:w="1425" w:type="dxa"/>
                  <w:vAlign w:val="center"/>
                </w:tcPr>
                <w:p>
                  <w:pPr>
                    <w:spacing w:before="0" w:after="0" w:line="360" w:lineRule="auto"/>
                    <w:jc w:val="center"/>
                    <w:rPr>
                      <w:rFonts w:hint="eastAsia" w:ascii="Times New Roman" w:hAnsi="Times New Roman" w:cs="Times New Roman"/>
                      <w:sz w:val="21"/>
                      <w:szCs w:val="21"/>
                      <w:u w:val="none"/>
                      <w:lang w:eastAsia="zh-CN"/>
                    </w:rPr>
                  </w:pPr>
                  <w:r>
                    <w:rPr>
                      <w:rFonts w:hint="eastAsia" w:ascii="Times New Roman" w:hAnsi="Times New Roman" w:cs="Times New Roman"/>
                      <w:sz w:val="21"/>
                      <w:szCs w:val="21"/>
                      <w:u w:val="none"/>
                      <w:lang w:eastAsia="zh-CN"/>
                    </w:rPr>
                    <w:t>昼间</w:t>
                  </w:r>
                </w:p>
              </w:tc>
              <w:tc>
                <w:tcPr>
                  <w:tcW w:w="1470" w:type="dxa"/>
                  <w:vAlign w:val="center"/>
                </w:tcPr>
                <w:p>
                  <w:pPr>
                    <w:spacing w:before="0" w:after="0" w:line="360" w:lineRule="auto"/>
                    <w:jc w:val="center"/>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25</w:t>
                  </w:r>
                </w:p>
              </w:tc>
              <w:tc>
                <w:tcPr>
                  <w:tcW w:w="1569"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50</w:t>
                  </w:r>
                </w:p>
              </w:tc>
              <w:tc>
                <w:tcPr>
                  <w:tcW w:w="1222" w:type="dxa"/>
                  <w:vAlign w:val="center"/>
                </w:tcPr>
                <w:p>
                  <w:pPr>
                    <w:spacing w:before="0" w:after="0" w:line="360" w:lineRule="auto"/>
                    <w:jc w:val="center"/>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930" w:type="dxa"/>
                  <w:vAlign w:val="center"/>
                </w:tcPr>
                <w:p>
                  <w:pPr>
                    <w:spacing w:before="0" w:after="0" w:line="360" w:lineRule="auto"/>
                    <w:jc w:val="center"/>
                    <w:rPr>
                      <w:rFonts w:hint="eastAsia"/>
                      <w:b w:val="0"/>
                      <w:bCs w:val="0"/>
                      <w:color w:val="auto"/>
                      <w:u w:val="none"/>
                      <w:lang w:val="en-US" w:eastAsia="zh-CN"/>
                    </w:rPr>
                  </w:pPr>
                  <w:r>
                    <w:rPr>
                      <w:rFonts w:hint="default" w:ascii="Times New Roman" w:hAnsi="Times New Roman" w:cs="Times New Roman"/>
                      <w:color w:val="auto"/>
                      <w:sz w:val="21"/>
                      <w:szCs w:val="21"/>
                      <w:u w:val="none"/>
                      <w:lang w:val="en-US" w:eastAsia="zh-CN"/>
                    </w:rPr>
                    <w:t>切粒机</w:t>
                  </w:r>
                  <w:r>
                    <w:rPr>
                      <w:rFonts w:hint="eastAsia" w:ascii="Times New Roman" w:hAnsi="Times New Roman" w:cs="Times New Roman"/>
                      <w:color w:val="auto"/>
                      <w:sz w:val="21"/>
                      <w:szCs w:val="21"/>
                      <w:u w:val="none"/>
                      <w:lang w:val="en-US" w:eastAsia="zh-CN"/>
                    </w:rPr>
                    <w:t>7台</w:t>
                  </w:r>
                  <w:r>
                    <w:rPr>
                      <w:rFonts w:hint="eastAsia"/>
                      <w:b w:val="0"/>
                      <w:bCs w:val="0"/>
                      <w:color w:val="auto"/>
                      <w:u w:val="none"/>
                      <w:lang w:val="en-US" w:eastAsia="zh-CN"/>
                    </w:rPr>
                    <w:t>（按点声源组预测）</w:t>
                  </w:r>
                </w:p>
              </w:tc>
              <w:tc>
                <w:tcPr>
                  <w:tcW w:w="1425" w:type="dxa"/>
                  <w:vAlign w:val="center"/>
                </w:tcPr>
                <w:p>
                  <w:pPr>
                    <w:spacing w:before="0" w:after="0" w:line="360" w:lineRule="auto"/>
                    <w:jc w:val="center"/>
                    <w:rPr>
                      <w:rFonts w:hint="eastAsia" w:ascii="Times New Roman" w:hAnsi="Times New Roman" w:cs="Times New Roman"/>
                      <w:sz w:val="21"/>
                      <w:szCs w:val="21"/>
                      <w:u w:val="none"/>
                      <w:lang w:eastAsia="zh-CN"/>
                    </w:rPr>
                  </w:pPr>
                  <w:r>
                    <w:rPr>
                      <w:rFonts w:hint="eastAsia" w:ascii="Times New Roman" w:hAnsi="Times New Roman" w:cs="Times New Roman"/>
                      <w:sz w:val="21"/>
                      <w:szCs w:val="21"/>
                      <w:u w:val="none"/>
                      <w:lang w:eastAsia="zh-CN"/>
                    </w:rPr>
                    <w:t>昼间</w:t>
                  </w:r>
                </w:p>
              </w:tc>
              <w:tc>
                <w:tcPr>
                  <w:tcW w:w="1470" w:type="dxa"/>
                  <w:vAlign w:val="center"/>
                </w:tcPr>
                <w:p>
                  <w:pPr>
                    <w:spacing w:before="0" w:after="0" w:line="360" w:lineRule="auto"/>
                    <w:jc w:val="center"/>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25</w:t>
                  </w:r>
                </w:p>
              </w:tc>
              <w:tc>
                <w:tcPr>
                  <w:tcW w:w="1569"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50</w:t>
                  </w:r>
                </w:p>
              </w:tc>
              <w:tc>
                <w:tcPr>
                  <w:tcW w:w="1222" w:type="dxa"/>
                  <w:vAlign w:val="center"/>
                </w:tcPr>
                <w:p>
                  <w:pPr>
                    <w:spacing w:before="0" w:after="0" w:line="360" w:lineRule="auto"/>
                    <w:jc w:val="center"/>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9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振动筛7台（按点声源组预测）</w:t>
                  </w:r>
                </w:p>
              </w:tc>
              <w:tc>
                <w:tcPr>
                  <w:tcW w:w="1425" w:type="dxa"/>
                  <w:vAlign w:val="center"/>
                </w:tcPr>
                <w:p>
                  <w:pPr>
                    <w:spacing w:before="0" w:after="0" w:line="360" w:lineRule="auto"/>
                    <w:jc w:val="center"/>
                    <w:rPr>
                      <w:rFonts w:hint="default" w:ascii="Times New Roman" w:hAnsi="Times New Roman" w:cs="Times New Roman"/>
                      <w:sz w:val="21"/>
                      <w:szCs w:val="21"/>
                      <w:u w:val="none"/>
                    </w:rPr>
                  </w:pPr>
                  <w:r>
                    <w:rPr>
                      <w:rFonts w:hint="eastAsia" w:ascii="Times New Roman" w:hAnsi="Times New Roman" w:cs="Times New Roman"/>
                      <w:sz w:val="21"/>
                      <w:szCs w:val="21"/>
                      <w:u w:val="none"/>
                      <w:lang w:eastAsia="zh-CN"/>
                    </w:rPr>
                    <w:t>昼间</w:t>
                  </w:r>
                </w:p>
              </w:tc>
              <w:tc>
                <w:tcPr>
                  <w:tcW w:w="1470"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25</w:t>
                  </w:r>
                </w:p>
              </w:tc>
              <w:tc>
                <w:tcPr>
                  <w:tcW w:w="1569"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55</w:t>
                  </w:r>
                </w:p>
              </w:tc>
              <w:tc>
                <w:tcPr>
                  <w:tcW w:w="1222" w:type="dxa"/>
                  <w:vAlign w:val="center"/>
                </w:tcPr>
                <w:p>
                  <w:pPr>
                    <w:spacing w:before="0" w:after="0" w:line="360" w:lineRule="auto"/>
                    <w:jc w:val="center"/>
                    <w:rPr>
                      <w:rFonts w:hint="eastAsia"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9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风力输送机7台（按点声源组预测）</w:t>
                  </w:r>
                </w:p>
              </w:tc>
              <w:tc>
                <w:tcPr>
                  <w:tcW w:w="1425" w:type="dxa"/>
                  <w:vAlign w:val="center"/>
                </w:tcPr>
                <w:p>
                  <w:pPr>
                    <w:spacing w:before="0" w:after="0" w:line="360" w:lineRule="auto"/>
                    <w:jc w:val="center"/>
                    <w:rPr>
                      <w:rFonts w:hint="eastAsia" w:ascii="Times New Roman" w:hAnsi="Times New Roman" w:cs="Times New Roman"/>
                      <w:sz w:val="21"/>
                      <w:szCs w:val="21"/>
                      <w:u w:val="none"/>
                      <w:lang w:eastAsia="zh-CN"/>
                    </w:rPr>
                  </w:pPr>
                  <w:r>
                    <w:rPr>
                      <w:rFonts w:hint="eastAsia" w:ascii="Times New Roman" w:hAnsi="Times New Roman" w:cs="Times New Roman"/>
                      <w:sz w:val="21"/>
                      <w:szCs w:val="21"/>
                      <w:u w:val="none"/>
                      <w:lang w:eastAsia="zh-CN"/>
                    </w:rPr>
                    <w:t>昼间</w:t>
                  </w:r>
                </w:p>
              </w:tc>
              <w:tc>
                <w:tcPr>
                  <w:tcW w:w="1470" w:type="dxa"/>
                  <w:vAlign w:val="center"/>
                </w:tcPr>
                <w:p>
                  <w:pPr>
                    <w:spacing w:before="0" w:after="0" w:line="360" w:lineRule="auto"/>
                    <w:jc w:val="center"/>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25</w:t>
                  </w:r>
                </w:p>
              </w:tc>
              <w:tc>
                <w:tcPr>
                  <w:tcW w:w="1569" w:type="dxa"/>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55</w:t>
                  </w:r>
                </w:p>
              </w:tc>
              <w:tc>
                <w:tcPr>
                  <w:tcW w:w="1222" w:type="dxa"/>
                  <w:vAlign w:val="center"/>
                </w:tcPr>
                <w:p>
                  <w:pPr>
                    <w:spacing w:before="0" w:after="0" w:line="360" w:lineRule="auto"/>
                    <w:jc w:val="center"/>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9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u w:val="none"/>
                      <w:lang w:val="en-US" w:eastAsia="zh-CN"/>
                    </w:rPr>
                    <w:t>自动包装机</w:t>
                  </w:r>
                  <w:r>
                    <w:rPr>
                      <w:rFonts w:hint="default" w:ascii="Times New Roman" w:hAnsi="Times New Roman" w:cs="Times New Roman"/>
                      <w:color w:val="auto"/>
                      <w:sz w:val="21"/>
                      <w:szCs w:val="21"/>
                      <w:u w:val="none"/>
                      <w:lang w:val="en-US" w:eastAsia="zh-CN"/>
                    </w:rPr>
                    <w:t>7台（按点声源组预测）</w:t>
                  </w:r>
                </w:p>
              </w:tc>
              <w:tc>
                <w:tcPr>
                  <w:tcW w:w="1425" w:type="dxa"/>
                  <w:vAlign w:val="center"/>
                </w:tcPr>
                <w:p>
                  <w:pPr>
                    <w:spacing w:before="0" w:after="0" w:line="360" w:lineRule="auto"/>
                    <w:jc w:val="center"/>
                    <w:rPr>
                      <w:rFonts w:hint="eastAsia" w:ascii="Times New Roman" w:hAnsi="Times New Roman" w:cs="Times New Roman"/>
                      <w:sz w:val="21"/>
                      <w:szCs w:val="21"/>
                      <w:u w:val="none"/>
                      <w:lang w:eastAsia="zh-CN"/>
                    </w:rPr>
                  </w:pPr>
                  <w:r>
                    <w:rPr>
                      <w:rFonts w:hint="eastAsia" w:ascii="Times New Roman" w:hAnsi="Times New Roman" w:cs="Times New Roman"/>
                      <w:sz w:val="21"/>
                      <w:szCs w:val="21"/>
                      <w:u w:val="none"/>
                      <w:lang w:eastAsia="zh-CN"/>
                    </w:rPr>
                    <w:t>昼间</w:t>
                  </w:r>
                </w:p>
              </w:tc>
              <w:tc>
                <w:tcPr>
                  <w:tcW w:w="1470" w:type="dxa"/>
                  <w:vAlign w:val="center"/>
                </w:tcPr>
                <w:p>
                  <w:pPr>
                    <w:spacing w:before="0" w:after="0" w:line="360" w:lineRule="auto"/>
                    <w:jc w:val="center"/>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25</w:t>
                  </w:r>
                </w:p>
              </w:tc>
              <w:tc>
                <w:tcPr>
                  <w:tcW w:w="1569"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45</w:t>
                  </w:r>
                </w:p>
              </w:tc>
              <w:tc>
                <w:tcPr>
                  <w:tcW w:w="1222" w:type="dxa"/>
                  <w:vAlign w:val="center"/>
                </w:tcPr>
                <w:p>
                  <w:pPr>
                    <w:spacing w:before="0" w:after="0" w:line="360" w:lineRule="auto"/>
                    <w:jc w:val="center"/>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29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有机废气处理设施风机</w:t>
                  </w:r>
                </w:p>
              </w:tc>
              <w:tc>
                <w:tcPr>
                  <w:tcW w:w="1425" w:type="dxa"/>
                  <w:vAlign w:val="center"/>
                </w:tcPr>
                <w:p>
                  <w:pPr>
                    <w:spacing w:before="0" w:after="0" w:line="360" w:lineRule="auto"/>
                    <w:jc w:val="center"/>
                    <w:rPr>
                      <w:rFonts w:hint="eastAsia" w:ascii="Times New Roman" w:hAnsi="Times New Roman" w:cs="Times New Roman"/>
                      <w:sz w:val="21"/>
                      <w:szCs w:val="21"/>
                      <w:u w:val="none"/>
                      <w:lang w:eastAsia="zh-CN"/>
                    </w:rPr>
                  </w:pPr>
                  <w:r>
                    <w:rPr>
                      <w:rFonts w:hint="eastAsia" w:ascii="Times New Roman" w:hAnsi="Times New Roman" w:cs="Times New Roman"/>
                      <w:sz w:val="21"/>
                      <w:szCs w:val="21"/>
                      <w:u w:val="none"/>
                      <w:lang w:eastAsia="zh-CN"/>
                    </w:rPr>
                    <w:t>昼间</w:t>
                  </w:r>
                </w:p>
              </w:tc>
              <w:tc>
                <w:tcPr>
                  <w:tcW w:w="1470" w:type="dxa"/>
                  <w:vAlign w:val="center"/>
                </w:tcPr>
                <w:p>
                  <w:pPr>
                    <w:spacing w:before="0" w:after="0" w:line="360" w:lineRule="auto"/>
                    <w:jc w:val="center"/>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25</w:t>
                  </w:r>
                </w:p>
              </w:tc>
              <w:tc>
                <w:tcPr>
                  <w:tcW w:w="1569" w:type="dxa"/>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55</w:t>
                  </w:r>
                </w:p>
              </w:tc>
              <w:tc>
                <w:tcPr>
                  <w:tcW w:w="1222" w:type="dxa"/>
                  <w:vAlign w:val="center"/>
                </w:tcPr>
                <w:p>
                  <w:pPr>
                    <w:spacing w:before="0" w:after="0" w:line="360" w:lineRule="auto"/>
                    <w:jc w:val="center"/>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w:t>
                  </w:r>
                </w:p>
              </w:tc>
            </w:tr>
          </w:tbl>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（1）预测模式</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项目各设备声源可视为点声源处理，按《环境影响评价技术导则声环境》（HJ2.4-2021）推荐的模式，预测模式采用点声源的几何发散模式、噪声从室内向室外传播的声级差计算模式和声能叠加模式计算。</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①源衰减模式：</w:t>
            </w:r>
          </w:p>
          <w:p>
            <w:pPr>
              <w:spacing w:before="0" w:after="0" w:line="360" w:lineRule="auto"/>
              <w:ind w:firstLine="500" w:firstLineChars="200"/>
              <w:jc w:val="center"/>
              <w:rPr>
                <w:rFonts w:hint="default" w:ascii="Times New Roman" w:hAnsi="Times New Roman" w:cs="Times New Roman"/>
                <w:sz w:val="24"/>
                <w:szCs w:val="24"/>
              </w:rPr>
            </w:pPr>
            <w:r>
              <w:rPr>
                <w:rFonts w:hint="default" w:ascii="Times New Roman" w:hAnsi="Times New Roman" w:cs="Times New Roman"/>
                <w:sz w:val="24"/>
                <w:szCs w:val="24"/>
              </w:rPr>
              <w:t>Lr=L0－20lg(r/r0)－△L</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式中：Lr—距声源距离为r处的等效A声级值，dB(A)；</w:t>
            </w:r>
          </w:p>
          <w:p>
            <w:pPr>
              <w:spacing w:before="0" w:after="0" w:line="360" w:lineRule="auto"/>
              <w:ind w:firstLine="1250" w:firstLineChars="500"/>
              <w:jc w:val="both"/>
              <w:rPr>
                <w:rFonts w:hint="default" w:ascii="Times New Roman" w:hAnsi="Times New Roman" w:cs="Times New Roman"/>
                <w:sz w:val="24"/>
                <w:szCs w:val="24"/>
              </w:rPr>
            </w:pPr>
            <w:r>
              <w:rPr>
                <w:rFonts w:hint="default" w:ascii="Times New Roman" w:hAnsi="Times New Roman" w:cs="Times New Roman"/>
                <w:sz w:val="24"/>
                <w:szCs w:val="24"/>
              </w:rPr>
              <w:t>L0—距声源距离为r0处的等效A声级值，dB(A)；</w:t>
            </w:r>
          </w:p>
          <w:p>
            <w:pPr>
              <w:spacing w:before="0" w:after="0" w:line="360" w:lineRule="auto"/>
              <w:ind w:firstLine="1250" w:firstLineChars="500"/>
              <w:jc w:val="both"/>
              <w:rPr>
                <w:rFonts w:hint="default" w:ascii="Times New Roman" w:hAnsi="Times New Roman" w:cs="Times New Roman"/>
                <w:sz w:val="24"/>
                <w:szCs w:val="24"/>
              </w:rPr>
            </w:pPr>
            <w:r>
              <w:rPr>
                <w:rFonts w:hint="default" w:ascii="Times New Roman" w:hAnsi="Times New Roman" w:cs="Times New Roman"/>
                <w:sz w:val="24"/>
                <w:szCs w:val="24"/>
              </w:rPr>
              <w:t>r—关心点距离噪声源距离，m；</w:t>
            </w:r>
          </w:p>
          <w:p>
            <w:pPr>
              <w:spacing w:before="0" w:after="0" w:line="360" w:lineRule="auto"/>
              <w:ind w:firstLine="1250" w:firstLineChars="500"/>
              <w:jc w:val="both"/>
              <w:rPr>
                <w:rFonts w:hint="default" w:ascii="Times New Roman" w:hAnsi="Times New Roman" w:cs="Times New Roman"/>
                <w:sz w:val="24"/>
                <w:szCs w:val="24"/>
              </w:rPr>
            </w:pPr>
            <w:r>
              <w:rPr>
                <w:rFonts w:hint="default" w:ascii="Times New Roman" w:hAnsi="Times New Roman" w:cs="Times New Roman"/>
                <w:sz w:val="24"/>
                <w:szCs w:val="24"/>
              </w:rPr>
              <w:t>r0—声级为L0点距声源距离，r0=1m。</w:t>
            </w:r>
          </w:p>
          <w:p>
            <w:pPr>
              <w:spacing w:before="0" w:after="0" w:line="360" w:lineRule="auto"/>
              <w:ind w:firstLine="1250" w:firstLineChars="500"/>
              <w:jc w:val="both"/>
              <w:rPr>
                <w:rFonts w:hint="default" w:ascii="Times New Roman" w:hAnsi="Times New Roman" w:cs="Times New Roman"/>
                <w:sz w:val="24"/>
                <w:szCs w:val="24"/>
              </w:rPr>
            </w:pPr>
            <w:r>
              <w:rPr>
                <w:rFonts w:hint="default" w:ascii="Times New Roman" w:hAnsi="Times New Roman" w:cs="Times New Roman"/>
                <w:sz w:val="24"/>
                <w:szCs w:val="24"/>
              </w:rPr>
              <w:t>△L—遮挡引起的噪声衰减量。</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②声合成模式：</w:t>
            </w:r>
          </w:p>
          <w:p>
            <w:pPr>
              <w:spacing w:before="0" w:after="0" w:line="360" w:lineRule="auto"/>
              <w:ind w:firstLine="500" w:firstLineChars="200"/>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190625" cy="432435"/>
                  <wp:effectExtent l="0" t="0" r="0" b="508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7"/>
                          <a:stretch>
                            <a:fillRect/>
                          </a:stretch>
                        </pic:blipFill>
                        <pic:spPr>
                          <a:xfrm>
                            <a:off x="0" y="0"/>
                            <a:ext cx="1190625" cy="432435"/>
                          </a:xfrm>
                          <a:prstGeom prst="rect">
                            <a:avLst/>
                          </a:prstGeom>
                          <a:noFill/>
                          <a:ln>
                            <a:noFill/>
                          </a:ln>
                        </pic:spPr>
                      </pic:pic>
                    </a:graphicData>
                  </a:graphic>
                </wp:inline>
              </w:drawing>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式中：L—预测点噪声叠加值，dB(A)；</w:t>
            </w:r>
          </w:p>
          <w:p>
            <w:pPr>
              <w:spacing w:before="0" w:after="0" w:line="360" w:lineRule="auto"/>
              <w:ind w:firstLine="1250" w:firstLineChars="500"/>
              <w:jc w:val="both"/>
              <w:rPr>
                <w:rFonts w:hint="default" w:ascii="Times New Roman" w:hAnsi="Times New Roman" w:cs="Times New Roman"/>
                <w:sz w:val="24"/>
                <w:szCs w:val="24"/>
              </w:rPr>
            </w:pPr>
            <w:r>
              <w:rPr>
                <w:rFonts w:hint="default" w:ascii="Times New Roman" w:hAnsi="Times New Roman" w:cs="Times New Roman"/>
                <w:sz w:val="24"/>
                <w:szCs w:val="24"/>
              </w:rPr>
              <w:t>Li—第i个声源的声压级，dB(A)；</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（2）预测结果</w:t>
            </w:r>
          </w:p>
          <w:p>
            <w:pPr>
              <w:spacing w:before="0" w:after="0" w:line="360" w:lineRule="auto"/>
              <w:ind w:firstLine="500" w:firstLineChars="200"/>
              <w:jc w:val="both"/>
              <w:rPr>
                <w:rFonts w:hint="default" w:ascii="Times New Roman" w:hAnsi="Times New Roman" w:cs="Times New Roman"/>
                <w:sz w:val="24"/>
                <w:szCs w:val="24"/>
                <w:u w:val="none"/>
              </w:rPr>
            </w:pPr>
            <w:r>
              <w:rPr>
                <w:rFonts w:hint="default" w:ascii="Times New Roman" w:hAnsi="Times New Roman" w:cs="Times New Roman"/>
                <w:sz w:val="24"/>
                <w:szCs w:val="24"/>
                <w:u w:val="none"/>
              </w:rPr>
              <w:t>根据以上预测模式进行计算，预测结果（夜间不进行生产）见表4-1</w:t>
            </w:r>
            <w:r>
              <w:rPr>
                <w:rFonts w:hint="eastAsia" w:ascii="Times New Roman" w:hAnsi="Times New Roman" w:cs="Times New Roman"/>
                <w:sz w:val="24"/>
                <w:szCs w:val="24"/>
                <w:u w:val="none"/>
                <w:lang w:val="en-US" w:eastAsia="zh-CN"/>
              </w:rPr>
              <w:t>4</w:t>
            </w:r>
            <w:r>
              <w:rPr>
                <w:rFonts w:hint="default" w:ascii="Times New Roman" w:hAnsi="Times New Roman" w:cs="Times New Roman"/>
                <w:sz w:val="24"/>
                <w:szCs w:val="24"/>
                <w:u w:val="none"/>
              </w:rPr>
              <w:t>。</w:t>
            </w:r>
          </w:p>
          <w:p>
            <w:pPr>
              <w:spacing w:before="0" w:after="0" w:line="360" w:lineRule="auto"/>
              <w:ind w:right="420" w:firstLine="2332" w:firstLineChars="933"/>
              <w:jc w:val="left"/>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表4-1</w:t>
            </w:r>
            <w:r>
              <w:rPr>
                <w:rFonts w:hint="eastAsia" w:ascii="Times New Roman" w:hAnsi="Times New Roman" w:cs="Times New Roman"/>
                <w:b/>
                <w:bCs/>
                <w:sz w:val="24"/>
                <w:szCs w:val="24"/>
                <w:u w:val="none"/>
                <w:lang w:val="en-US" w:eastAsia="zh-CN"/>
              </w:rPr>
              <w:t xml:space="preserve">4 </w:t>
            </w:r>
            <w:r>
              <w:rPr>
                <w:rFonts w:hint="default" w:ascii="Times New Roman" w:hAnsi="Times New Roman" w:cs="Times New Roman"/>
                <w:b/>
                <w:bCs/>
                <w:sz w:val="24"/>
                <w:szCs w:val="24"/>
                <w:u w:val="none"/>
              </w:rPr>
              <w:t>项目厂界及敏感点噪声预测结果单位：dB(A)</w:t>
            </w:r>
          </w:p>
          <w:tbl>
            <w:tblPr>
              <w:tblStyle w:val="12"/>
              <w:tblW w:w="86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170"/>
              <w:gridCol w:w="1843"/>
              <w:gridCol w:w="850"/>
              <w:gridCol w:w="1180"/>
              <w:gridCol w:w="80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5"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预测点</w:t>
                  </w:r>
                </w:p>
              </w:tc>
              <w:tc>
                <w:tcPr>
                  <w:tcW w:w="1170"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声源源强</w:t>
                  </w:r>
                </w:p>
              </w:tc>
              <w:tc>
                <w:tcPr>
                  <w:tcW w:w="1843"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源强距厂界距离（m）</w:t>
                  </w:r>
                </w:p>
              </w:tc>
              <w:tc>
                <w:tcPr>
                  <w:tcW w:w="850"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贡献值</w:t>
                  </w:r>
                </w:p>
              </w:tc>
              <w:tc>
                <w:tcPr>
                  <w:tcW w:w="1180" w:type="dxa"/>
                  <w:tcBorders>
                    <w:tl2br w:val="nil"/>
                    <w:tr2bl w:val="nil"/>
                  </w:tcBorders>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bCs/>
                      <w:sz w:val="21"/>
                      <w:szCs w:val="21"/>
                      <w:u w:val="none"/>
                      <w:lang w:val="en-GB"/>
                    </w:rPr>
                    <w:t>预测值</w:t>
                  </w:r>
                </w:p>
              </w:tc>
              <w:tc>
                <w:tcPr>
                  <w:tcW w:w="806"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标准值</w:t>
                  </w:r>
                </w:p>
              </w:tc>
              <w:tc>
                <w:tcPr>
                  <w:tcW w:w="1134"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5"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东厂界</w:t>
                  </w:r>
                </w:p>
              </w:tc>
              <w:tc>
                <w:tcPr>
                  <w:tcW w:w="1170"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68.5</w:t>
                  </w:r>
                </w:p>
              </w:tc>
              <w:tc>
                <w:tcPr>
                  <w:tcW w:w="1843"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30</w:t>
                  </w:r>
                </w:p>
              </w:tc>
              <w:tc>
                <w:tcPr>
                  <w:tcW w:w="850"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48.5</w:t>
                  </w:r>
                </w:p>
              </w:tc>
              <w:tc>
                <w:tcPr>
                  <w:tcW w:w="1180" w:type="dxa"/>
                  <w:tcBorders>
                    <w:tl2br w:val="nil"/>
                    <w:tr2bl w:val="nil"/>
                  </w:tcBorders>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w:t>
                  </w:r>
                </w:p>
              </w:tc>
              <w:tc>
                <w:tcPr>
                  <w:tcW w:w="806" w:type="dxa"/>
                  <w:vMerge w:val="restart"/>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60/50</w:t>
                  </w:r>
                </w:p>
              </w:tc>
              <w:tc>
                <w:tcPr>
                  <w:tcW w:w="1134"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5"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南厂界</w:t>
                  </w:r>
                </w:p>
              </w:tc>
              <w:tc>
                <w:tcPr>
                  <w:tcW w:w="1170"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45.5</w:t>
                  </w:r>
                </w:p>
              </w:tc>
              <w:tc>
                <w:tcPr>
                  <w:tcW w:w="1843"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29</w:t>
                  </w:r>
                </w:p>
              </w:tc>
              <w:tc>
                <w:tcPr>
                  <w:tcW w:w="850"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40.5</w:t>
                  </w:r>
                </w:p>
              </w:tc>
              <w:tc>
                <w:tcPr>
                  <w:tcW w:w="1180" w:type="dxa"/>
                  <w:tcBorders>
                    <w:tl2br w:val="nil"/>
                    <w:tr2bl w:val="nil"/>
                  </w:tcBorders>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w:t>
                  </w:r>
                </w:p>
              </w:tc>
              <w:tc>
                <w:tcPr>
                  <w:tcW w:w="806" w:type="dxa"/>
                  <w:vMerge w:val="continue"/>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GB"/>
                    </w:rPr>
                  </w:pPr>
                </w:p>
              </w:tc>
              <w:tc>
                <w:tcPr>
                  <w:tcW w:w="1134"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lang w:val="en-GB"/>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5"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西厂界</w:t>
                  </w:r>
                </w:p>
              </w:tc>
              <w:tc>
                <w:tcPr>
                  <w:tcW w:w="1170"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63.5</w:t>
                  </w:r>
                </w:p>
              </w:tc>
              <w:tc>
                <w:tcPr>
                  <w:tcW w:w="1843"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28</w:t>
                  </w:r>
                </w:p>
              </w:tc>
              <w:tc>
                <w:tcPr>
                  <w:tcW w:w="850"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41.5</w:t>
                  </w:r>
                </w:p>
              </w:tc>
              <w:tc>
                <w:tcPr>
                  <w:tcW w:w="1180" w:type="dxa"/>
                  <w:tcBorders>
                    <w:tl2br w:val="nil"/>
                    <w:tr2bl w:val="nil"/>
                  </w:tcBorders>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w:t>
                  </w:r>
                </w:p>
              </w:tc>
              <w:tc>
                <w:tcPr>
                  <w:tcW w:w="806" w:type="dxa"/>
                  <w:vMerge w:val="continue"/>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GB"/>
                    </w:rPr>
                  </w:pPr>
                </w:p>
              </w:tc>
              <w:tc>
                <w:tcPr>
                  <w:tcW w:w="1134"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5"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北厂界</w:t>
                  </w:r>
                </w:p>
              </w:tc>
              <w:tc>
                <w:tcPr>
                  <w:tcW w:w="1170"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51.6</w:t>
                  </w:r>
                </w:p>
              </w:tc>
              <w:tc>
                <w:tcPr>
                  <w:tcW w:w="1843"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55</w:t>
                  </w:r>
                </w:p>
              </w:tc>
              <w:tc>
                <w:tcPr>
                  <w:tcW w:w="850"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41.3</w:t>
                  </w:r>
                </w:p>
              </w:tc>
              <w:tc>
                <w:tcPr>
                  <w:tcW w:w="1180" w:type="dxa"/>
                  <w:tcBorders>
                    <w:tl2br w:val="nil"/>
                    <w:tr2bl w:val="nil"/>
                  </w:tcBorders>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w:t>
                  </w:r>
                </w:p>
              </w:tc>
              <w:tc>
                <w:tcPr>
                  <w:tcW w:w="806" w:type="dxa"/>
                  <w:vMerge w:val="continue"/>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GB"/>
                    </w:rPr>
                  </w:pPr>
                </w:p>
              </w:tc>
              <w:tc>
                <w:tcPr>
                  <w:tcW w:w="1134"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lang w:val="en-GB"/>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5" w:type="dxa"/>
                  <w:tcBorders>
                    <w:tl2br w:val="nil"/>
                    <w:tr2bl w:val="nil"/>
                  </w:tcBorders>
                  <w:vAlign w:val="center"/>
                </w:tcPr>
                <w:p>
                  <w:pPr>
                    <w:spacing w:before="0" w:after="0" w:line="360" w:lineRule="auto"/>
                    <w:jc w:val="center"/>
                    <w:rPr>
                      <w:rFonts w:hint="eastAsia" w:ascii="Times New Roman" w:hAnsi="Times New Roman" w:eastAsia="宋体" w:cs="Times New Roman"/>
                      <w:sz w:val="21"/>
                      <w:szCs w:val="21"/>
                      <w:u w:val="none"/>
                      <w:lang w:val="en-GB" w:eastAsia="zh-CN"/>
                    </w:rPr>
                  </w:pPr>
                  <w:r>
                    <w:rPr>
                      <w:rFonts w:hint="eastAsia" w:ascii="Times New Roman" w:hAnsi="Times New Roman" w:cs="Times New Roman"/>
                      <w:sz w:val="21"/>
                      <w:szCs w:val="21"/>
                      <w:u w:val="none"/>
                      <w:lang w:val="en-GB" w:eastAsia="zh-CN"/>
                    </w:rPr>
                    <w:t>后土屯</w:t>
                  </w:r>
                </w:p>
              </w:tc>
              <w:tc>
                <w:tcPr>
                  <w:tcW w:w="1170" w:type="dxa"/>
                  <w:tcBorders>
                    <w:tl2br w:val="nil"/>
                    <w:tr2bl w:val="nil"/>
                  </w:tcBorders>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35.5</w:t>
                  </w:r>
                </w:p>
              </w:tc>
              <w:tc>
                <w:tcPr>
                  <w:tcW w:w="1843" w:type="dxa"/>
                  <w:tcBorders>
                    <w:tl2br w:val="nil"/>
                    <w:tr2bl w:val="nil"/>
                  </w:tcBorders>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85</w:t>
                  </w:r>
                </w:p>
              </w:tc>
              <w:tc>
                <w:tcPr>
                  <w:tcW w:w="850" w:type="dxa"/>
                  <w:tcBorders>
                    <w:tl2br w:val="nil"/>
                    <w:tr2bl w:val="nil"/>
                  </w:tcBorders>
                  <w:vAlign w:val="center"/>
                </w:tcPr>
                <w:p>
                  <w:pPr>
                    <w:spacing w:before="0" w:after="0" w:line="360" w:lineRule="auto"/>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28.5</w:t>
                  </w:r>
                </w:p>
              </w:tc>
              <w:tc>
                <w:tcPr>
                  <w:tcW w:w="1180" w:type="dxa"/>
                  <w:tcBorders>
                    <w:tl2br w:val="nil"/>
                    <w:tr2bl w:val="nil"/>
                  </w:tcBorders>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53.2/4</w:t>
                  </w:r>
                  <w:r>
                    <w:rPr>
                      <w:rFonts w:hint="eastAsia" w:ascii="Times New Roman" w:hAnsi="Times New Roman" w:cs="Times New Roman"/>
                      <w:sz w:val="21"/>
                      <w:szCs w:val="21"/>
                      <w:u w:val="none"/>
                      <w:lang w:val="en-US" w:eastAsia="zh-CN"/>
                    </w:rPr>
                    <w:t>2</w:t>
                  </w:r>
                  <w:r>
                    <w:rPr>
                      <w:rFonts w:hint="default" w:ascii="Times New Roman" w:hAnsi="Times New Roman" w:eastAsia="宋体" w:cs="Times New Roman"/>
                      <w:sz w:val="21"/>
                      <w:szCs w:val="21"/>
                      <w:u w:val="none"/>
                      <w:lang w:val="en-GB"/>
                    </w:rPr>
                    <w:t>.9</w:t>
                  </w:r>
                </w:p>
              </w:tc>
              <w:tc>
                <w:tcPr>
                  <w:tcW w:w="806"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60/50</w:t>
                  </w:r>
                </w:p>
              </w:tc>
              <w:tc>
                <w:tcPr>
                  <w:tcW w:w="1134" w:type="dxa"/>
                  <w:tcBorders>
                    <w:tl2br w:val="nil"/>
                    <w:tr2bl w:val="nil"/>
                  </w:tcBorders>
                  <w:vAlign w:val="center"/>
                </w:tcPr>
                <w:p>
                  <w:pPr>
                    <w:spacing w:before="0" w:after="0" w:line="360" w:lineRule="auto"/>
                    <w:jc w:val="center"/>
                    <w:rPr>
                      <w:rFonts w:hint="default" w:ascii="Times New Roman" w:hAnsi="Times New Roman" w:eastAsia="宋体" w:cs="Times New Roman"/>
                      <w:sz w:val="21"/>
                      <w:szCs w:val="21"/>
                      <w:u w:val="none"/>
                      <w:lang w:val="en-GB"/>
                    </w:rPr>
                  </w:pPr>
                  <w:r>
                    <w:rPr>
                      <w:rFonts w:hint="default" w:ascii="Times New Roman" w:hAnsi="Times New Roman" w:eastAsia="宋体" w:cs="Times New Roman"/>
                      <w:sz w:val="21"/>
                      <w:szCs w:val="21"/>
                      <w:u w:val="none"/>
                      <w:lang w:val="en-GB"/>
                    </w:rPr>
                    <w:t>达标</w:t>
                  </w:r>
                </w:p>
              </w:tc>
            </w:tr>
          </w:tbl>
          <w:p>
            <w:pPr>
              <w:spacing w:before="0" w:after="0" w:line="360" w:lineRule="auto"/>
              <w:ind w:firstLine="500" w:firstLineChars="200"/>
              <w:jc w:val="both"/>
              <w:rPr>
                <w:rFonts w:hint="default" w:ascii="Times New Roman" w:hAnsi="Times New Roman" w:cs="Times New Roman"/>
                <w:sz w:val="24"/>
                <w:szCs w:val="24"/>
                <w:u w:val="none"/>
              </w:rPr>
            </w:pPr>
            <w:r>
              <w:rPr>
                <w:rFonts w:hint="default" w:ascii="Times New Roman" w:hAnsi="Times New Roman" w:cs="Times New Roman"/>
                <w:sz w:val="24"/>
                <w:szCs w:val="24"/>
                <w:u w:val="none"/>
              </w:rPr>
              <w:t>由上表可知，项目营运期各厂界</w:t>
            </w:r>
            <w:r>
              <w:rPr>
                <w:rFonts w:hint="eastAsia" w:ascii="Times New Roman" w:hAnsi="Times New Roman" w:cs="Times New Roman"/>
                <w:sz w:val="24"/>
                <w:szCs w:val="24"/>
                <w:u w:val="none"/>
                <w:lang w:eastAsia="zh-CN"/>
              </w:rPr>
              <w:t>和敏感点</w:t>
            </w:r>
            <w:r>
              <w:rPr>
                <w:rFonts w:hint="default" w:ascii="Times New Roman" w:hAnsi="Times New Roman" w:cs="Times New Roman"/>
                <w:sz w:val="24"/>
                <w:szCs w:val="24"/>
                <w:u w:val="none"/>
              </w:rPr>
              <w:t>噪声预测值均满足《工业企业厂界环境噪声排放标准》（GB12348-2008）中2类标准，噪声可以实现达标排放。</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厂界环境噪声监测情况见下表：</w:t>
            </w:r>
          </w:p>
          <w:p>
            <w:pPr>
              <w:spacing w:before="0" w:after="0" w:line="360" w:lineRule="auto"/>
              <w:ind w:firstLine="500" w:firstLineChars="200"/>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表4-1</w:t>
            </w:r>
            <w:r>
              <w:rPr>
                <w:rFonts w:hint="eastAsia" w:ascii="Times New Roman" w:hAnsi="Times New Roman" w:cs="Times New Roman"/>
                <w:b/>
                <w:bCs/>
                <w:sz w:val="24"/>
                <w:szCs w:val="24"/>
                <w:lang w:val="en-US" w:eastAsia="zh-CN"/>
              </w:rPr>
              <w:t xml:space="preserve">5  </w:t>
            </w:r>
            <w:r>
              <w:rPr>
                <w:rFonts w:hint="default" w:ascii="Times New Roman" w:hAnsi="Times New Roman" w:cs="Times New Roman"/>
                <w:b/>
                <w:bCs/>
                <w:sz w:val="24"/>
                <w:szCs w:val="24"/>
              </w:rPr>
              <w:t>本项目噪声监测方案内容</w:t>
            </w:r>
          </w:p>
          <w:tbl>
            <w:tblPr>
              <w:tblStyle w:val="12"/>
              <w:tblW w:w="8973" w:type="dxa"/>
              <w:jc w:val="center"/>
              <w:tblInd w:w="0" w:type="dxa"/>
              <w:tblBorders>
                <w:top w:val="single" w:color="auto" w:sz="12" w:space="0"/>
                <w:left w:val="single" w:color="auto" w:sz="4" w:space="0"/>
                <w:bottom w:val="single" w:color="auto" w:sz="12" w:space="0"/>
                <w:right w:val="single" w:color="auto" w:sz="4" w:space="0"/>
                <w:insideH w:val="single" w:color="auto" w:sz="2" w:space="0"/>
                <w:insideV w:val="single" w:color="auto" w:sz="4" w:space="0"/>
              </w:tblBorders>
              <w:tblLayout w:type="fixed"/>
              <w:tblCellMar>
                <w:top w:w="0" w:type="dxa"/>
                <w:left w:w="108" w:type="dxa"/>
                <w:bottom w:w="0" w:type="dxa"/>
                <w:right w:w="108" w:type="dxa"/>
              </w:tblCellMar>
            </w:tblPr>
            <w:tblGrid>
              <w:gridCol w:w="2410"/>
              <w:gridCol w:w="2977"/>
              <w:gridCol w:w="3586"/>
            </w:tblGrid>
            <w:tr>
              <w:tblPrEx>
                <w:tblBorders>
                  <w:top w:val="single" w:color="auto" w:sz="12" w:space="0"/>
                  <w:left w:val="single" w:color="auto" w:sz="4" w:space="0"/>
                  <w:bottom w:val="single" w:color="auto" w:sz="12" w:space="0"/>
                  <w:right w:val="single" w:color="auto" w:sz="4"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410" w:type="dxa"/>
                  <w:shd w:val="clear" w:color="auto" w:fill="auto"/>
                  <w:vAlign w:val="center"/>
                </w:tcPr>
                <w:p>
                  <w:pPr>
                    <w:spacing w:before="0" w:after="0"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w:t>
                  </w:r>
                </w:p>
              </w:tc>
              <w:tc>
                <w:tcPr>
                  <w:tcW w:w="2977" w:type="dxa"/>
                  <w:shd w:val="clear" w:color="auto" w:fill="auto"/>
                  <w:vAlign w:val="center"/>
                </w:tcPr>
                <w:p>
                  <w:pPr>
                    <w:spacing w:before="0" w:after="0"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监测指标</w:t>
                  </w:r>
                </w:p>
              </w:tc>
              <w:tc>
                <w:tcPr>
                  <w:tcW w:w="3586" w:type="dxa"/>
                  <w:shd w:val="clear" w:color="auto" w:fill="auto"/>
                  <w:vAlign w:val="center"/>
                </w:tcPr>
                <w:p>
                  <w:pPr>
                    <w:spacing w:before="0" w:after="0"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监测频次</w:t>
                  </w:r>
                </w:p>
              </w:tc>
            </w:tr>
            <w:tr>
              <w:tblPrEx>
                <w:tblBorders>
                  <w:top w:val="single" w:color="auto" w:sz="12" w:space="0"/>
                  <w:left w:val="single" w:color="auto" w:sz="4" w:space="0"/>
                  <w:bottom w:val="single" w:color="auto" w:sz="12" w:space="0"/>
                  <w:right w:val="single" w:color="auto" w:sz="4"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410" w:type="dxa"/>
                  <w:shd w:val="clear" w:color="auto" w:fill="auto"/>
                  <w:vAlign w:val="center"/>
                </w:tcPr>
                <w:p>
                  <w:pPr>
                    <w:spacing w:before="0" w:after="0"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东厂界</w:t>
                  </w:r>
                </w:p>
              </w:tc>
              <w:tc>
                <w:tcPr>
                  <w:tcW w:w="2977" w:type="dxa"/>
                  <w:vMerge w:val="restart"/>
                  <w:shd w:val="clear" w:color="auto" w:fill="auto"/>
                  <w:vAlign w:val="center"/>
                </w:tcPr>
                <w:p>
                  <w:pPr>
                    <w:spacing w:before="0" w:after="0"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等效连续A声级</w:t>
                  </w:r>
                </w:p>
              </w:tc>
              <w:tc>
                <w:tcPr>
                  <w:tcW w:w="3586" w:type="dxa"/>
                  <w:vMerge w:val="restart"/>
                  <w:shd w:val="clear" w:color="auto" w:fill="auto"/>
                  <w:vAlign w:val="center"/>
                </w:tcPr>
                <w:p>
                  <w:pPr>
                    <w:spacing w:before="0" w:after="0"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1次/季度</w:t>
                  </w:r>
                </w:p>
              </w:tc>
            </w:tr>
            <w:tr>
              <w:tblPrEx>
                <w:tblBorders>
                  <w:top w:val="single" w:color="auto" w:sz="12" w:space="0"/>
                  <w:left w:val="single" w:color="auto" w:sz="4" w:space="0"/>
                  <w:bottom w:val="single" w:color="auto" w:sz="12" w:space="0"/>
                  <w:right w:val="single" w:color="auto" w:sz="4"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410" w:type="dxa"/>
                  <w:shd w:val="clear" w:color="auto" w:fill="auto"/>
                  <w:vAlign w:val="center"/>
                </w:tcPr>
                <w:p>
                  <w:pPr>
                    <w:spacing w:before="0" w:after="0"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西厂界</w:t>
                  </w:r>
                </w:p>
              </w:tc>
              <w:tc>
                <w:tcPr>
                  <w:tcW w:w="2977" w:type="dxa"/>
                  <w:vMerge w:val="continue"/>
                  <w:shd w:val="clear" w:color="auto" w:fill="auto"/>
                  <w:vAlign w:val="center"/>
                </w:tcPr>
                <w:p>
                  <w:pPr>
                    <w:spacing w:before="0" w:after="0" w:line="360" w:lineRule="auto"/>
                    <w:jc w:val="both"/>
                    <w:rPr>
                      <w:rFonts w:hint="default" w:ascii="Times New Roman" w:hAnsi="Times New Roman" w:eastAsia="宋体" w:cs="Times New Roman"/>
                      <w:sz w:val="21"/>
                      <w:szCs w:val="21"/>
                    </w:rPr>
                  </w:pPr>
                </w:p>
              </w:tc>
              <w:tc>
                <w:tcPr>
                  <w:tcW w:w="3586" w:type="dxa"/>
                  <w:vMerge w:val="continue"/>
                  <w:shd w:val="clear" w:color="auto" w:fill="auto"/>
                  <w:vAlign w:val="center"/>
                </w:tcPr>
                <w:p>
                  <w:pPr>
                    <w:spacing w:before="0" w:after="0" w:line="360" w:lineRule="auto"/>
                    <w:jc w:val="both"/>
                    <w:rPr>
                      <w:rFonts w:hint="default" w:ascii="Times New Roman" w:hAnsi="Times New Roman" w:eastAsia="宋体" w:cs="Times New Roman"/>
                      <w:sz w:val="21"/>
                      <w:szCs w:val="21"/>
                    </w:rPr>
                  </w:pPr>
                </w:p>
              </w:tc>
            </w:tr>
            <w:tr>
              <w:tblPrEx>
                <w:tblBorders>
                  <w:top w:val="single" w:color="auto" w:sz="12" w:space="0"/>
                  <w:left w:val="single" w:color="auto" w:sz="4" w:space="0"/>
                  <w:bottom w:val="single" w:color="auto" w:sz="12" w:space="0"/>
                  <w:right w:val="single" w:color="auto" w:sz="4"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410" w:type="dxa"/>
                  <w:shd w:val="clear" w:color="auto" w:fill="auto"/>
                  <w:vAlign w:val="center"/>
                </w:tcPr>
                <w:p>
                  <w:pPr>
                    <w:spacing w:before="0" w:after="0"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南厂界</w:t>
                  </w:r>
                </w:p>
              </w:tc>
              <w:tc>
                <w:tcPr>
                  <w:tcW w:w="2977" w:type="dxa"/>
                  <w:vMerge w:val="continue"/>
                  <w:shd w:val="clear" w:color="auto" w:fill="auto"/>
                  <w:vAlign w:val="center"/>
                </w:tcPr>
                <w:p>
                  <w:pPr>
                    <w:spacing w:before="0" w:after="0" w:line="360" w:lineRule="auto"/>
                    <w:jc w:val="both"/>
                    <w:rPr>
                      <w:rFonts w:hint="default" w:ascii="Times New Roman" w:hAnsi="Times New Roman" w:eastAsia="宋体" w:cs="Times New Roman"/>
                      <w:sz w:val="21"/>
                      <w:szCs w:val="21"/>
                    </w:rPr>
                  </w:pPr>
                </w:p>
              </w:tc>
              <w:tc>
                <w:tcPr>
                  <w:tcW w:w="3586" w:type="dxa"/>
                  <w:vMerge w:val="continue"/>
                  <w:shd w:val="clear" w:color="auto" w:fill="auto"/>
                  <w:vAlign w:val="center"/>
                </w:tcPr>
                <w:p>
                  <w:pPr>
                    <w:spacing w:before="0" w:after="0" w:line="360" w:lineRule="auto"/>
                    <w:jc w:val="both"/>
                    <w:rPr>
                      <w:rFonts w:hint="default" w:ascii="Times New Roman" w:hAnsi="Times New Roman" w:eastAsia="宋体" w:cs="Times New Roman"/>
                      <w:sz w:val="21"/>
                      <w:szCs w:val="21"/>
                    </w:rPr>
                  </w:pPr>
                </w:p>
              </w:tc>
            </w:tr>
            <w:tr>
              <w:tblPrEx>
                <w:tblBorders>
                  <w:top w:val="single" w:color="auto" w:sz="12" w:space="0"/>
                  <w:left w:val="single" w:color="auto" w:sz="4" w:space="0"/>
                  <w:bottom w:val="single" w:color="auto" w:sz="12" w:space="0"/>
                  <w:right w:val="single" w:color="auto" w:sz="4" w:space="0"/>
                  <w:insideH w:val="single" w:color="auto" w:sz="2" w:space="0"/>
                  <w:insideV w:val="single" w:color="auto" w:sz="4" w:space="0"/>
                </w:tblBorders>
                <w:tblLayout w:type="fixed"/>
                <w:tblCellMar>
                  <w:top w:w="0" w:type="dxa"/>
                  <w:left w:w="108" w:type="dxa"/>
                  <w:bottom w:w="0" w:type="dxa"/>
                  <w:right w:w="108" w:type="dxa"/>
                </w:tblCellMar>
              </w:tblPrEx>
              <w:trPr>
                <w:jc w:val="center"/>
              </w:trPr>
              <w:tc>
                <w:tcPr>
                  <w:tcW w:w="2410" w:type="dxa"/>
                  <w:shd w:val="clear" w:color="auto" w:fill="auto"/>
                  <w:vAlign w:val="center"/>
                </w:tcPr>
                <w:p>
                  <w:pPr>
                    <w:spacing w:before="0" w:after="0"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北厂界</w:t>
                  </w:r>
                </w:p>
              </w:tc>
              <w:tc>
                <w:tcPr>
                  <w:tcW w:w="2977" w:type="dxa"/>
                  <w:vMerge w:val="continue"/>
                  <w:shd w:val="clear" w:color="auto" w:fill="auto"/>
                  <w:vAlign w:val="center"/>
                </w:tcPr>
                <w:p>
                  <w:pPr>
                    <w:spacing w:before="0" w:after="0" w:line="360" w:lineRule="auto"/>
                    <w:jc w:val="both"/>
                    <w:rPr>
                      <w:rFonts w:hint="default" w:ascii="Times New Roman" w:hAnsi="Times New Roman" w:eastAsia="宋体" w:cs="Times New Roman"/>
                      <w:sz w:val="21"/>
                      <w:szCs w:val="21"/>
                    </w:rPr>
                  </w:pPr>
                </w:p>
              </w:tc>
              <w:tc>
                <w:tcPr>
                  <w:tcW w:w="3586" w:type="dxa"/>
                  <w:vMerge w:val="continue"/>
                  <w:shd w:val="clear" w:color="auto" w:fill="auto"/>
                  <w:vAlign w:val="center"/>
                </w:tcPr>
                <w:p>
                  <w:pPr>
                    <w:spacing w:before="0" w:after="0" w:line="360" w:lineRule="auto"/>
                    <w:jc w:val="both"/>
                    <w:rPr>
                      <w:rFonts w:hint="default" w:ascii="Times New Roman" w:hAnsi="Times New Roman" w:eastAsia="宋体" w:cs="Times New Roman"/>
                      <w:sz w:val="21"/>
                      <w:szCs w:val="21"/>
                    </w:rPr>
                  </w:pPr>
                </w:p>
              </w:tc>
            </w:tr>
          </w:tbl>
          <w:p>
            <w:pPr>
              <w:spacing w:line="440" w:lineRule="exact"/>
              <w:ind w:firstLine="500"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4、固体废物</w:t>
            </w:r>
          </w:p>
          <w:p>
            <w:pPr>
              <w:keepNext w:val="0"/>
              <w:keepLines w:val="0"/>
              <w:pageBreakBefore w:val="0"/>
              <w:widowControl w:val="0"/>
              <w:kinsoku/>
              <w:wordWrap/>
              <w:overflowPunct/>
              <w:topLinePunct w:val="0"/>
              <w:autoSpaceDE/>
              <w:autoSpaceDN/>
              <w:bidi w:val="0"/>
              <w:adjustRightInd/>
              <w:spacing w:line="360" w:lineRule="auto"/>
              <w:ind w:firstLine="500" w:firstLineChars="200"/>
              <w:rPr>
                <w:rFonts w:hint="default" w:ascii="Times New Roman" w:hAnsi="Times New Roman" w:eastAsia="宋体" w:cs="Times New Roman"/>
                <w:bCs/>
                <w:color w:val="auto"/>
                <w:sz w:val="24"/>
                <w:szCs w:val="24"/>
                <w:u w:val="none"/>
              </w:rPr>
            </w:pPr>
            <w:r>
              <w:rPr>
                <w:rFonts w:hint="default" w:ascii="Times New Roman" w:hAnsi="Times New Roman" w:eastAsia="宋体" w:cs="Times New Roman"/>
                <w:color w:val="auto"/>
                <w:sz w:val="24"/>
                <w:szCs w:val="24"/>
                <w:u w:val="none"/>
              </w:rPr>
              <w:t>本项目产生的固体废弃物主要为职工产生的生活垃圾</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lang w:val="en-US" w:eastAsia="zh-CN"/>
              </w:rPr>
              <w:t>化粪池污泥</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lang w:eastAsia="zh-CN"/>
              </w:rPr>
              <w:t>原料产生的废包装袋、</w:t>
            </w:r>
            <w:r>
              <w:rPr>
                <w:rFonts w:hint="default" w:ascii="Times New Roman" w:hAnsi="Times New Roman" w:eastAsia="宋体" w:cs="Times New Roman"/>
                <w:color w:val="auto"/>
                <w:sz w:val="24"/>
                <w:szCs w:val="24"/>
                <w:u w:val="none"/>
                <w:lang w:val="en-US" w:eastAsia="zh-CN"/>
              </w:rPr>
              <w:t>挤出过程产生的滤网、筛分过程产生的不合格品和危险废物（废气治理过程产生的废灯管和废活性炭）</w:t>
            </w:r>
            <w:r>
              <w:rPr>
                <w:rFonts w:hint="default" w:ascii="Times New Roman" w:hAnsi="Times New Roman" w:eastAsia="宋体" w:cs="Times New Roman"/>
                <w:color w:val="auto"/>
                <w:sz w:val="24"/>
                <w:szCs w:val="24"/>
                <w:u w:val="none"/>
              </w:rPr>
              <w:t>。</w:t>
            </w:r>
          </w:p>
          <w:p>
            <w:pPr>
              <w:keepNext w:val="0"/>
              <w:keepLines w:val="0"/>
              <w:pageBreakBefore w:val="0"/>
              <w:widowControl w:val="0"/>
              <w:kinsoku/>
              <w:wordWrap/>
              <w:overflowPunct/>
              <w:topLinePunct w:val="0"/>
              <w:autoSpaceDE/>
              <w:autoSpaceDN/>
              <w:bidi w:val="0"/>
              <w:adjustRightInd/>
              <w:spacing w:line="360" w:lineRule="auto"/>
              <w:ind w:firstLine="500" w:firstLineChars="200"/>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（1）职工生活垃圾</w:t>
            </w:r>
          </w:p>
          <w:p>
            <w:pPr>
              <w:keepNext w:val="0"/>
              <w:keepLines w:val="0"/>
              <w:pageBreakBefore w:val="0"/>
              <w:widowControl w:val="0"/>
              <w:kinsoku/>
              <w:wordWrap/>
              <w:overflowPunct/>
              <w:topLinePunct w:val="0"/>
              <w:autoSpaceDE/>
              <w:autoSpaceDN/>
              <w:bidi w:val="0"/>
              <w:adjustRightInd/>
              <w:spacing w:line="360" w:lineRule="auto"/>
              <w:ind w:firstLine="500" w:firstLineChars="200"/>
              <w:rPr>
                <w:rFonts w:hint="default" w:ascii="Times New Roman" w:hAnsi="Times New Roman" w:eastAsia="宋体" w:cs="Times New Roman"/>
                <w:bCs/>
                <w:color w:val="auto"/>
                <w:sz w:val="24"/>
                <w:szCs w:val="24"/>
                <w:u w:val="none"/>
              </w:rPr>
            </w:pPr>
            <w:r>
              <w:rPr>
                <w:rFonts w:hint="default" w:ascii="Times New Roman" w:hAnsi="Times New Roman" w:eastAsia="宋体" w:cs="Times New Roman"/>
                <w:color w:val="auto"/>
                <w:sz w:val="24"/>
                <w:szCs w:val="24"/>
                <w:u w:val="none"/>
              </w:rPr>
              <w:t>本次</w:t>
            </w:r>
            <w:r>
              <w:rPr>
                <w:rFonts w:hint="default" w:ascii="Times New Roman" w:hAnsi="Times New Roman" w:eastAsia="宋体" w:cs="Times New Roman"/>
                <w:color w:val="auto"/>
                <w:sz w:val="24"/>
                <w:szCs w:val="24"/>
                <w:u w:val="none"/>
                <w:lang w:val="en-US" w:eastAsia="zh-CN"/>
              </w:rPr>
              <w:t>劳动5</w:t>
            </w:r>
            <w:r>
              <w:rPr>
                <w:rFonts w:hint="default" w:ascii="Times New Roman" w:hAnsi="Times New Roman" w:eastAsia="宋体" w:cs="Times New Roman"/>
                <w:color w:val="auto"/>
                <w:sz w:val="24"/>
                <w:szCs w:val="24"/>
                <w:u w:val="none"/>
              </w:rPr>
              <w:t>人，每人每天产生生活垃圾量按0.5kg计算，则生活垃圾产生量约为</w:t>
            </w:r>
            <w:r>
              <w:rPr>
                <w:rFonts w:hint="default" w:ascii="Times New Roman" w:hAnsi="Times New Roman" w:eastAsia="宋体" w:cs="Times New Roman"/>
                <w:color w:val="auto"/>
                <w:sz w:val="24"/>
                <w:szCs w:val="24"/>
                <w:u w:val="none"/>
                <w:lang w:val="en-US" w:eastAsia="zh-CN"/>
              </w:rPr>
              <w:t>2.5</w:t>
            </w:r>
            <w:r>
              <w:rPr>
                <w:rFonts w:hint="default" w:ascii="Times New Roman" w:hAnsi="Times New Roman" w:eastAsia="宋体" w:cs="Times New Roman"/>
                <w:color w:val="auto"/>
                <w:sz w:val="24"/>
                <w:szCs w:val="24"/>
                <w:u w:val="none"/>
              </w:rPr>
              <w:t>kg/d，年产生量为</w:t>
            </w:r>
            <w:r>
              <w:rPr>
                <w:rFonts w:hint="default" w:ascii="Times New Roman" w:hAnsi="Times New Roman" w:eastAsia="宋体" w:cs="Times New Roman"/>
                <w:color w:val="auto"/>
                <w:sz w:val="24"/>
                <w:szCs w:val="24"/>
                <w:u w:val="none"/>
                <w:lang w:val="en-US" w:eastAsia="zh-CN"/>
              </w:rPr>
              <w:t>0.75</w:t>
            </w:r>
            <w:r>
              <w:rPr>
                <w:rFonts w:hint="default" w:ascii="Times New Roman" w:hAnsi="Times New Roman" w:eastAsia="宋体" w:cs="Times New Roman"/>
                <w:color w:val="auto"/>
                <w:sz w:val="24"/>
                <w:szCs w:val="24"/>
                <w:u w:val="none"/>
              </w:rPr>
              <w:t>t/a。生活垃圾分类收集</w:t>
            </w:r>
            <w:r>
              <w:rPr>
                <w:rFonts w:hint="default" w:ascii="Times New Roman" w:hAnsi="Times New Roman" w:eastAsia="宋体" w:cs="Times New Roman"/>
                <w:color w:val="auto"/>
                <w:sz w:val="24"/>
                <w:szCs w:val="24"/>
                <w:u w:val="none"/>
                <w:lang w:val="en-US" w:eastAsia="zh-CN"/>
              </w:rPr>
              <w:t>至附近垃圾中转站</w:t>
            </w:r>
            <w:r>
              <w:rPr>
                <w:rFonts w:hint="default" w:ascii="Times New Roman" w:hAnsi="Times New Roman" w:eastAsia="宋体" w:cs="Times New Roman"/>
                <w:color w:val="auto"/>
                <w:sz w:val="24"/>
                <w:szCs w:val="24"/>
                <w:u w:val="none"/>
              </w:rPr>
              <w:t>后定期由环卫部门清运处理</w:t>
            </w:r>
            <w:r>
              <w:rPr>
                <w:rFonts w:hint="default" w:ascii="Times New Roman" w:hAnsi="Times New Roman" w:eastAsia="宋体" w:cs="Times New Roman"/>
                <w:bCs/>
                <w:color w:val="auto"/>
                <w:sz w:val="24"/>
                <w:szCs w:val="24"/>
                <w:u w:val="none"/>
              </w:rPr>
              <w:t>。</w:t>
            </w:r>
          </w:p>
          <w:p>
            <w:pPr>
              <w:keepNext w:val="0"/>
              <w:keepLines w:val="0"/>
              <w:pageBreakBefore w:val="0"/>
              <w:widowControl w:val="0"/>
              <w:kinsoku/>
              <w:wordWrap/>
              <w:overflowPunct/>
              <w:topLinePunct w:val="0"/>
              <w:autoSpaceDE/>
              <w:autoSpaceDN/>
              <w:bidi w:val="0"/>
              <w:adjustRightInd/>
              <w:spacing w:line="360" w:lineRule="auto"/>
              <w:ind w:firstLine="500" w:firstLineChars="200"/>
              <w:rPr>
                <w:rFonts w:hint="default" w:ascii="Times New Roman" w:hAnsi="Times New Roman" w:eastAsia="宋体" w:cs="Times New Roman"/>
                <w:bCs/>
                <w:color w:val="auto"/>
                <w:sz w:val="24"/>
                <w:szCs w:val="24"/>
                <w:u w:val="none"/>
                <w:lang w:eastAsia="zh-CN"/>
              </w:rPr>
            </w:pPr>
            <w:r>
              <w:rPr>
                <w:rFonts w:hint="default" w:ascii="Times New Roman" w:hAnsi="Times New Roman" w:eastAsia="宋体" w:cs="Times New Roman"/>
                <w:bCs/>
                <w:color w:val="auto"/>
                <w:sz w:val="24"/>
                <w:szCs w:val="24"/>
                <w:u w:val="none"/>
              </w:rPr>
              <w:t>（2）</w:t>
            </w:r>
            <w:r>
              <w:rPr>
                <w:rFonts w:hint="default" w:ascii="Times New Roman" w:hAnsi="Times New Roman" w:eastAsia="宋体" w:cs="Times New Roman"/>
                <w:bCs/>
                <w:color w:val="auto"/>
                <w:sz w:val="24"/>
                <w:szCs w:val="24"/>
                <w:u w:val="none"/>
                <w:lang w:eastAsia="zh-CN"/>
              </w:rPr>
              <w:t>废包装袋</w:t>
            </w:r>
          </w:p>
          <w:p>
            <w:pPr>
              <w:keepNext w:val="0"/>
              <w:keepLines w:val="0"/>
              <w:pageBreakBefore w:val="0"/>
              <w:widowControl w:val="0"/>
              <w:kinsoku/>
              <w:wordWrap/>
              <w:overflowPunct/>
              <w:topLinePunct w:val="0"/>
              <w:autoSpaceDE/>
              <w:autoSpaceDN/>
              <w:bidi w:val="0"/>
              <w:adjustRightInd/>
              <w:spacing w:line="360" w:lineRule="auto"/>
              <w:ind w:firstLine="500" w:firstLineChars="200"/>
              <w:rPr>
                <w:rFonts w:hint="default" w:ascii="Times New Roman" w:hAnsi="Times New Roman" w:eastAsia="宋体" w:cs="Times New Roman"/>
                <w:bCs/>
                <w:color w:val="auto"/>
                <w:sz w:val="24"/>
                <w:szCs w:val="24"/>
                <w:u w:val="none"/>
              </w:rPr>
            </w:pPr>
            <w:r>
              <w:rPr>
                <w:rFonts w:hint="default" w:ascii="Times New Roman" w:hAnsi="Times New Roman" w:eastAsia="宋体" w:cs="Times New Roman"/>
                <w:bCs/>
                <w:color w:val="auto"/>
                <w:sz w:val="24"/>
                <w:szCs w:val="24"/>
                <w:u w:val="none"/>
              </w:rPr>
              <w:t>本项目共使用</w:t>
            </w:r>
            <w:r>
              <w:rPr>
                <w:rFonts w:hint="default" w:ascii="Times New Roman" w:hAnsi="Times New Roman" w:eastAsia="宋体" w:cs="Times New Roman"/>
                <w:bCs/>
                <w:color w:val="auto"/>
                <w:sz w:val="24"/>
                <w:szCs w:val="24"/>
                <w:u w:val="none"/>
                <w:lang w:eastAsia="zh-CN"/>
              </w:rPr>
              <w:t>原料</w:t>
            </w:r>
            <w:r>
              <w:rPr>
                <w:rFonts w:hint="default" w:ascii="Times New Roman" w:hAnsi="Times New Roman" w:eastAsia="宋体" w:cs="Times New Roman"/>
                <w:bCs/>
                <w:color w:val="auto"/>
                <w:sz w:val="24"/>
                <w:szCs w:val="24"/>
                <w:u w:val="none"/>
                <w:lang w:val="en-US" w:eastAsia="zh-CN"/>
              </w:rPr>
              <w:t>5005.11</w:t>
            </w:r>
            <w:r>
              <w:rPr>
                <w:rFonts w:hint="default" w:ascii="Times New Roman" w:hAnsi="Times New Roman" w:eastAsia="宋体" w:cs="Times New Roman"/>
                <w:bCs/>
                <w:color w:val="auto"/>
                <w:sz w:val="24"/>
                <w:szCs w:val="24"/>
                <w:u w:val="none"/>
              </w:rPr>
              <w:t>t/a，包装规格均为</w:t>
            </w:r>
            <w:r>
              <w:rPr>
                <w:rFonts w:hint="default" w:ascii="Times New Roman" w:hAnsi="Times New Roman" w:eastAsia="宋体" w:cs="Times New Roman"/>
                <w:bCs/>
                <w:color w:val="auto"/>
                <w:sz w:val="24"/>
                <w:szCs w:val="24"/>
                <w:u w:val="none"/>
                <w:lang w:val="en-US" w:eastAsia="zh-CN"/>
              </w:rPr>
              <w:t>100</w:t>
            </w:r>
            <w:r>
              <w:rPr>
                <w:rFonts w:hint="default" w:ascii="Times New Roman" w:hAnsi="Times New Roman" w:eastAsia="宋体" w:cs="Times New Roman"/>
                <w:bCs/>
                <w:color w:val="auto"/>
                <w:sz w:val="24"/>
                <w:szCs w:val="24"/>
                <w:u w:val="none"/>
              </w:rPr>
              <w:t>千克/袋，共约</w:t>
            </w:r>
            <w:r>
              <w:rPr>
                <w:rFonts w:hint="default" w:ascii="Times New Roman" w:hAnsi="Times New Roman" w:eastAsia="宋体" w:cs="Times New Roman"/>
                <w:bCs/>
                <w:color w:val="auto"/>
                <w:sz w:val="24"/>
                <w:szCs w:val="24"/>
                <w:u w:val="none"/>
                <w:lang w:val="en-US" w:eastAsia="zh-CN"/>
              </w:rPr>
              <w:t>50052</w:t>
            </w:r>
            <w:r>
              <w:rPr>
                <w:rFonts w:hint="default" w:ascii="Times New Roman" w:hAnsi="Times New Roman" w:eastAsia="宋体" w:cs="Times New Roman"/>
                <w:bCs/>
                <w:color w:val="auto"/>
                <w:sz w:val="24"/>
                <w:szCs w:val="24"/>
                <w:u w:val="none"/>
              </w:rPr>
              <w:t>袋，包装袋重量约80g/个，则产生的原料废包装袋约为</w:t>
            </w:r>
            <w:r>
              <w:rPr>
                <w:rFonts w:hint="default" w:ascii="Times New Roman" w:hAnsi="Times New Roman" w:eastAsia="宋体" w:cs="Times New Roman"/>
                <w:bCs/>
                <w:color w:val="auto"/>
                <w:sz w:val="24"/>
                <w:szCs w:val="24"/>
                <w:u w:val="none"/>
                <w:lang w:val="en-US" w:eastAsia="zh-CN"/>
              </w:rPr>
              <w:t>4</w:t>
            </w:r>
            <w:r>
              <w:rPr>
                <w:rFonts w:hint="default" w:ascii="Times New Roman" w:hAnsi="Times New Roman" w:eastAsia="宋体" w:cs="Times New Roman"/>
                <w:bCs/>
                <w:color w:val="auto"/>
                <w:sz w:val="24"/>
                <w:szCs w:val="24"/>
                <w:u w:val="none"/>
              </w:rPr>
              <w:t>t/a，经收集后</w:t>
            </w:r>
            <w:r>
              <w:rPr>
                <w:rFonts w:hint="default" w:ascii="Times New Roman" w:hAnsi="Times New Roman" w:eastAsia="宋体" w:cs="Times New Roman"/>
                <w:bCs/>
                <w:color w:val="auto"/>
                <w:sz w:val="24"/>
                <w:szCs w:val="24"/>
                <w:u w:val="none"/>
                <w:lang w:eastAsia="zh-CN"/>
              </w:rPr>
              <w:t>外售处理</w:t>
            </w:r>
            <w:r>
              <w:rPr>
                <w:rFonts w:hint="default" w:ascii="Times New Roman" w:hAnsi="Times New Roman" w:eastAsia="宋体" w:cs="Times New Roman"/>
                <w:bCs/>
                <w:color w:val="auto"/>
                <w:sz w:val="24"/>
                <w:szCs w:val="24"/>
                <w:u w:val="none"/>
              </w:rPr>
              <w:t>。</w:t>
            </w:r>
          </w:p>
          <w:p>
            <w:pPr>
              <w:keepNext w:val="0"/>
              <w:keepLines w:val="0"/>
              <w:pageBreakBefore w:val="0"/>
              <w:widowControl w:val="0"/>
              <w:kinsoku/>
              <w:wordWrap/>
              <w:overflowPunct/>
              <w:topLinePunct w:val="0"/>
              <w:autoSpaceDE/>
              <w:autoSpaceDN/>
              <w:bidi w:val="0"/>
              <w:adjustRightInd/>
              <w:spacing w:line="360" w:lineRule="auto"/>
              <w:ind w:firstLine="500" w:firstLineChars="200"/>
              <w:rPr>
                <w:rFonts w:hint="default" w:ascii="Times New Roman" w:hAnsi="Times New Roman" w:eastAsia="宋体" w:cs="Times New Roman"/>
                <w:bCs/>
                <w:color w:val="auto"/>
                <w:sz w:val="24"/>
                <w:szCs w:val="24"/>
                <w:u w:val="none"/>
                <w:lang w:val="en-US" w:eastAsia="zh-CN"/>
              </w:rPr>
            </w:pPr>
            <w:r>
              <w:rPr>
                <w:rFonts w:hint="default" w:ascii="Times New Roman" w:hAnsi="Times New Roman" w:eastAsia="宋体" w:cs="Times New Roman"/>
                <w:bCs/>
                <w:color w:val="auto"/>
                <w:sz w:val="24"/>
                <w:szCs w:val="24"/>
                <w:u w:val="none"/>
              </w:rPr>
              <w:t>（</w:t>
            </w:r>
            <w:r>
              <w:rPr>
                <w:rFonts w:hint="default" w:ascii="Times New Roman" w:hAnsi="Times New Roman" w:eastAsia="宋体" w:cs="Times New Roman"/>
                <w:bCs/>
                <w:color w:val="auto"/>
                <w:sz w:val="24"/>
                <w:szCs w:val="24"/>
                <w:u w:val="none"/>
                <w:lang w:val="en-US" w:eastAsia="zh-CN"/>
              </w:rPr>
              <w:t>3</w:t>
            </w:r>
            <w:r>
              <w:rPr>
                <w:rFonts w:hint="default" w:ascii="Times New Roman" w:hAnsi="Times New Roman" w:eastAsia="宋体" w:cs="Times New Roman"/>
                <w:bCs/>
                <w:color w:val="auto"/>
                <w:sz w:val="24"/>
                <w:szCs w:val="24"/>
                <w:u w:val="none"/>
              </w:rPr>
              <w:t>）</w:t>
            </w:r>
            <w:r>
              <w:rPr>
                <w:rFonts w:hint="default" w:ascii="Times New Roman" w:hAnsi="Times New Roman" w:eastAsia="宋体" w:cs="Times New Roman"/>
                <w:bCs/>
                <w:color w:val="auto"/>
                <w:sz w:val="24"/>
                <w:szCs w:val="24"/>
                <w:u w:val="none"/>
                <w:lang w:val="en-US" w:eastAsia="zh-CN"/>
              </w:rPr>
              <w:t>挤出过程产生的滤网（含滤渣）</w:t>
            </w:r>
          </w:p>
          <w:p>
            <w:pPr>
              <w:keepNext w:val="0"/>
              <w:keepLines w:val="0"/>
              <w:pageBreakBefore w:val="0"/>
              <w:widowControl w:val="0"/>
              <w:kinsoku/>
              <w:wordWrap/>
              <w:overflowPunct/>
              <w:topLinePunct w:val="0"/>
              <w:autoSpaceDE/>
              <w:autoSpaceDN/>
              <w:bidi w:val="0"/>
              <w:adjustRightInd/>
              <w:spacing w:line="360" w:lineRule="auto"/>
              <w:ind w:firstLine="500" w:firstLineChars="200"/>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val="en-US" w:eastAsia="zh-CN"/>
              </w:rPr>
              <w:t>熔融挤出工序所采用的钢质孔膜过滤网片长时间使用后，滤网一侧因塑料粘结导致网眼会逐渐减小，过滤功能下降，需要定期更换，此过程会产生废滤网。单台挤出成型机滤网每小时更换一次，则每年废滤网片产生量约为16800个，单个废滤网片重约250g（其中废塑料含量约占80%），则不可再生废滤网产生量约4.2t/a，经比对《国家危险废物名录》（2021年本），废滤网不属于危险废物，集中收集后由厂家回收处理，根据相关规定不得露天焚烧。</w:t>
            </w:r>
          </w:p>
          <w:p>
            <w:pPr>
              <w:keepNext w:val="0"/>
              <w:keepLines w:val="0"/>
              <w:pageBreakBefore w:val="0"/>
              <w:widowControl w:val="0"/>
              <w:kinsoku/>
              <w:wordWrap/>
              <w:overflowPunct/>
              <w:topLinePunct w:val="0"/>
              <w:autoSpaceDE/>
              <w:autoSpaceDN/>
              <w:bidi w:val="0"/>
              <w:adjustRightInd/>
              <w:spacing w:line="360" w:lineRule="auto"/>
              <w:ind w:firstLine="500" w:firstLineChars="200"/>
              <w:rPr>
                <w:rFonts w:hint="default" w:ascii="Times New Roman" w:hAnsi="Times New Roman" w:eastAsia="宋体" w:cs="Times New Roman"/>
                <w:bCs/>
                <w:color w:val="auto"/>
                <w:sz w:val="24"/>
                <w:szCs w:val="24"/>
                <w:u w:val="none"/>
                <w:lang w:val="en-US" w:eastAsia="zh-CN"/>
              </w:rPr>
            </w:pPr>
            <w:r>
              <w:rPr>
                <w:rFonts w:hint="default" w:ascii="Times New Roman" w:hAnsi="Times New Roman" w:eastAsia="宋体" w:cs="Times New Roman"/>
                <w:bCs/>
                <w:color w:val="auto"/>
                <w:sz w:val="24"/>
                <w:szCs w:val="24"/>
                <w:u w:val="none"/>
              </w:rPr>
              <w:t>（</w:t>
            </w:r>
            <w:r>
              <w:rPr>
                <w:rFonts w:hint="default" w:ascii="Times New Roman" w:hAnsi="Times New Roman" w:eastAsia="宋体" w:cs="Times New Roman"/>
                <w:bCs/>
                <w:color w:val="auto"/>
                <w:sz w:val="24"/>
                <w:szCs w:val="24"/>
                <w:u w:val="none"/>
                <w:lang w:val="en-US" w:eastAsia="zh-CN"/>
              </w:rPr>
              <w:t>4</w:t>
            </w:r>
            <w:r>
              <w:rPr>
                <w:rFonts w:hint="default" w:ascii="Times New Roman" w:hAnsi="Times New Roman" w:eastAsia="宋体" w:cs="Times New Roman"/>
                <w:bCs/>
                <w:color w:val="auto"/>
                <w:sz w:val="24"/>
                <w:szCs w:val="24"/>
                <w:u w:val="none"/>
              </w:rPr>
              <w:t>）</w:t>
            </w:r>
            <w:r>
              <w:rPr>
                <w:rFonts w:hint="default" w:ascii="Times New Roman" w:hAnsi="Times New Roman" w:eastAsia="宋体" w:cs="Times New Roman"/>
                <w:bCs/>
                <w:color w:val="auto"/>
                <w:sz w:val="24"/>
                <w:szCs w:val="24"/>
                <w:u w:val="none"/>
                <w:lang w:val="en-US" w:eastAsia="zh-CN"/>
              </w:rPr>
              <w:t>筛分过程产生的不合格品</w:t>
            </w:r>
          </w:p>
          <w:p>
            <w:pPr>
              <w:keepNext w:val="0"/>
              <w:keepLines w:val="0"/>
              <w:pageBreakBefore w:val="0"/>
              <w:widowControl w:val="0"/>
              <w:kinsoku/>
              <w:wordWrap/>
              <w:overflowPunct/>
              <w:topLinePunct w:val="0"/>
              <w:autoSpaceDE/>
              <w:autoSpaceDN/>
              <w:bidi w:val="0"/>
              <w:adjustRightInd/>
              <w:spacing w:line="360" w:lineRule="auto"/>
              <w:ind w:firstLine="50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经切粒后成品颗粒，为保持颗粒的均匀性，通过振动筛筛分，不合格品约为产品产量的2.5%，则项目不合格品</w:t>
            </w:r>
            <w:r>
              <w:rPr>
                <w:rFonts w:hint="default" w:ascii="Times New Roman" w:hAnsi="Times New Roman" w:eastAsia="宋体" w:cs="Times New Roman"/>
                <w:color w:val="auto"/>
                <w:sz w:val="24"/>
                <w:szCs w:val="24"/>
                <w:u w:val="none"/>
              </w:rPr>
              <w:t>产生量约</w:t>
            </w:r>
            <w:r>
              <w:rPr>
                <w:rFonts w:hint="default" w:ascii="Times New Roman" w:hAnsi="Times New Roman" w:eastAsia="宋体" w:cs="Times New Roman"/>
                <w:color w:val="auto"/>
                <w:sz w:val="24"/>
                <w:szCs w:val="24"/>
                <w:u w:val="none"/>
                <w:lang w:val="en-US" w:eastAsia="zh-CN"/>
              </w:rPr>
              <w:t>为125t/a，经收集后可回用于生产。</w:t>
            </w:r>
          </w:p>
          <w:p>
            <w:pPr>
              <w:keepNext w:val="0"/>
              <w:keepLines w:val="0"/>
              <w:pageBreakBefore w:val="0"/>
              <w:widowControl w:val="0"/>
              <w:kinsoku/>
              <w:wordWrap/>
              <w:overflowPunct/>
              <w:topLinePunct w:val="0"/>
              <w:autoSpaceDE/>
              <w:autoSpaceDN/>
              <w:bidi w:val="0"/>
              <w:adjustRightInd/>
              <w:spacing w:line="360" w:lineRule="auto"/>
              <w:ind w:firstLine="50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（5）化粪池污泥</w:t>
            </w:r>
          </w:p>
          <w:p>
            <w:pPr>
              <w:keepNext w:val="0"/>
              <w:keepLines w:val="0"/>
              <w:pageBreakBefore w:val="0"/>
              <w:widowControl w:val="0"/>
              <w:kinsoku/>
              <w:wordWrap/>
              <w:overflowPunct/>
              <w:topLinePunct w:val="0"/>
              <w:autoSpaceDE/>
              <w:autoSpaceDN/>
              <w:bidi w:val="0"/>
              <w:adjustRightInd/>
              <w:spacing w:line="360" w:lineRule="auto"/>
              <w:ind w:firstLine="50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项目职工生活污水经化粪池处理过程会产生一定量的污泥，产生量约为0.5t/a，</w:t>
            </w:r>
            <w:r>
              <w:rPr>
                <w:rFonts w:hint="eastAsia" w:ascii="Times New Roman" w:hAnsi="Times New Roman" w:eastAsia="宋体" w:cs="Times New Roman"/>
                <w:color w:val="auto"/>
                <w:sz w:val="24"/>
                <w:szCs w:val="24"/>
                <w:u w:val="none"/>
                <w:lang w:val="en-US" w:eastAsia="zh-CN"/>
              </w:rPr>
              <w:t>由环卫部门定期清掏处理</w:t>
            </w:r>
            <w:r>
              <w:rPr>
                <w:rFonts w:hint="default" w:ascii="Times New Roman" w:hAnsi="Times New Roman" w:eastAsia="宋体" w:cs="Times New Roman"/>
                <w:color w:val="auto"/>
                <w:sz w:val="24"/>
                <w:szCs w:val="24"/>
                <w:u w:val="none"/>
                <w:lang w:val="en-US" w:eastAsia="zh-CN"/>
              </w:rPr>
              <w:t>。</w:t>
            </w:r>
          </w:p>
          <w:p>
            <w:pPr>
              <w:keepNext w:val="0"/>
              <w:keepLines w:val="0"/>
              <w:pageBreakBefore w:val="0"/>
              <w:widowControl w:val="0"/>
              <w:kinsoku/>
              <w:wordWrap/>
              <w:overflowPunct/>
              <w:topLinePunct w:val="0"/>
              <w:autoSpaceDE/>
              <w:autoSpaceDN/>
              <w:bidi w:val="0"/>
              <w:adjustRightInd/>
              <w:spacing w:line="360" w:lineRule="auto"/>
              <w:ind w:firstLine="50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（6）危险废物</w:t>
            </w:r>
          </w:p>
          <w:p>
            <w:pPr>
              <w:tabs>
                <w:tab w:val="left" w:pos="1081"/>
              </w:tabs>
              <w:adjustRightInd w:val="0"/>
              <w:snapToGrid w:val="0"/>
              <w:spacing w:line="360" w:lineRule="auto"/>
              <w:ind w:firstLine="50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①</w:t>
            </w:r>
            <w:r>
              <w:rPr>
                <w:rFonts w:hint="default" w:ascii="Times New Roman" w:hAnsi="Times New Roman" w:eastAsia="宋体" w:cs="Times New Roman"/>
                <w:sz w:val="24"/>
                <w:szCs w:val="24"/>
              </w:rPr>
              <w:t>废活性炭</w:t>
            </w:r>
          </w:p>
          <w:p>
            <w:pPr>
              <w:adjustRightInd w:val="0"/>
              <w:snapToGrid w:val="0"/>
              <w:spacing w:line="360" w:lineRule="auto"/>
              <w:ind w:firstLine="50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u w:val="none"/>
              </w:rPr>
              <w:t>项目</w:t>
            </w:r>
            <w:r>
              <w:rPr>
                <w:rFonts w:hint="default" w:ascii="Times New Roman" w:hAnsi="Times New Roman" w:eastAsia="宋体" w:cs="Times New Roman"/>
                <w:sz w:val="24"/>
                <w:szCs w:val="24"/>
                <w:u w:val="none"/>
              </w:rPr>
              <w:t>熔融挤出过程产生有机废气</w:t>
            </w:r>
            <w:r>
              <w:rPr>
                <w:rFonts w:hint="default" w:ascii="Times New Roman" w:hAnsi="Times New Roman" w:eastAsia="宋体" w:cs="Times New Roman"/>
                <w:color w:val="000000"/>
                <w:sz w:val="24"/>
                <w:szCs w:val="24"/>
                <w:u w:val="none"/>
              </w:rPr>
              <w:t>经配套的旋流式喷淋塔+除湿干燥装置+UV光氧催化设备+活性炭吸附装置进行处理，活性炭的吸附能力约为1：0.3，即1kg活性炭吸附0.3kg的有机废气，根据核算，项目需要活性炭吸附的有机废气量</w:t>
            </w:r>
            <w:r>
              <w:rPr>
                <w:rFonts w:hint="default" w:ascii="Times New Roman" w:hAnsi="Times New Roman" w:eastAsia="宋体" w:cs="Times New Roman"/>
                <w:color w:val="000000"/>
                <w:sz w:val="24"/>
                <w:szCs w:val="24"/>
                <w:u w:val="none"/>
                <w:lang w:val="en-US" w:eastAsia="zh-CN"/>
              </w:rPr>
              <w:t>约</w:t>
            </w:r>
            <w:r>
              <w:rPr>
                <w:rFonts w:hint="default" w:ascii="Times New Roman" w:hAnsi="Times New Roman" w:eastAsia="宋体" w:cs="Times New Roman"/>
                <w:color w:val="000000"/>
                <w:sz w:val="24"/>
                <w:szCs w:val="24"/>
                <w:u w:val="none"/>
              </w:rPr>
              <w:t>为</w:t>
            </w:r>
            <w:r>
              <w:rPr>
                <w:rFonts w:hint="default" w:ascii="Times New Roman" w:hAnsi="Times New Roman" w:eastAsia="宋体" w:cs="Times New Roman"/>
                <w:color w:val="000000"/>
                <w:sz w:val="24"/>
                <w:szCs w:val="24"/>
                <w:u w:val="none"/>
                <w:lang w:val="en-US" w:eastAsia="zh-CN"/>
              </w:rPr>
              <w:t>1.575t</w:t>
            </w:r>
            <w:r>
              <w:rPr>
                <w:rFonts w:hint="default" w:ascii="Times New Roman" w:hAnsi="Times New Roman" w:eastAsia="宋体" w:cs="Times New Roman"/>
                <w:color w:val="000000"/>
                <w:sz w:val="24"/>
                <w:szCs w:val="24"/>
                <w:u w:val="none"/>
              </w:rPr>
              <w:t>/a，则需要活性炭量为</w:t>
            </w:r>
            <w:r>
              <w:rPr>
                <w:rFonts w:hint="default" w:ascii="Times New Roman" w:hAnsi="Times New Roman" w:eastAsia="宋体" w:cs="Times New Roman"/>
                <w:color w:val="000000"/>
                <w:sz w:val="24"/>
                <w:szCs w:val="24"/>
                <w:u w:val="none"/>
                <w:lang w:val="en-US" w:eastAsia="zh-CN"/>
              </w:rPr>
              <w:t>5.25t</w:t>
            </w:r>
            <w:r>
              <w:rPr>
                <w:rFonts w:hint="default" w:ascii="Times New Roman" w:hAnsi="Times New Roman" w:eastAsia="宋体" w:cs="Times New Roman"/>
                <w:color w:val="000000"/>
                <w:sz w:val="24"/>
                <w:szCs w:val="24"/>
                <w:u w:val="none"/>
              </w:rPr>
              <w:t>/a，即废活性炭产生量约为</w:t>
            </w:r>
            <w:r>
              <w:rPr>
                <w:rFonts w:hint="default" w:ascii="Times New Roman" w:hAnsi="Times New Roman" w:eastAsia="宋体" w:cs="Times New Roman"/>
                <w:color w:val="000000"/>
                <w:sz w:val="24"/>
                <w:szCs w:val="24"/>
                <w:u w:val="none"/>
                <w:lang w:val="en-US" w:eastAsia="zh-CN"/>
              </w:rPr>
              <w:t>6.83t</w:t>
            </w:r>
            <w:r>
              <w:rPr>
                <w:rFonts w:hint="default" w:ascii="Times New Roman" w:hAnsi="Times New Roman" w:eastAsia="宋体" w:cs="Times New Roman"/>
                <w:color w:val="000000"/>
                <w:sz w:val="24"/>
                <w:szCs w:val="24"/>
                <w:u w:val="none"/>
              </w:rPr>
              <w:t>/a。</w:t>
            </w:r>
            <w:r>
              <w:rPr>
                <w:rFonts w:hint="default" w:ascii="Times New Roman" w:hAnsi="Times New Roman" w:eastAsia="宋体" w:cs="Times New Roman"/>
                <w:color w:val="000000"/>
                <w:sz w:val="24"/>
                <w:szCs w:val="24"/>
              </w:rPr>
              <w:t>根据《国家危险废物名录》（2021年版），其属于危险废物，废物类别HW49、废物代码900-039-49，收集后存放于密封的容器中，暂存于危废暂存间，委托有资质单位进行处理。</w:t>
            </w:r>
          </w:p>
          <w:p>
            <w:pPr>
              <w:tabs>
                <w:tab w:val="left" w:pos="1081"/>
              </w:tabs>
              <w:adjustRightInd w:val="0"/>
              <w:snapToGrid w:val="0"/>
              <w:spacing w:line="360" w:lineRule="auto"/>
              <w:ind w:firstLine="50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②废UV灯管</w:t>
            </w:r>
          </w:p>
          <w:p>
            <w:pPr>
              <w:adjustRightInd w:val="0"/>
              <w:snapToGrid w:val="0"/>
              <w:spacing w:line="360" w:lineRule="auto"/>
              <w:ind w:firstLine="50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sz w:val="24"/>
                <w:szCs w:val="24"/>
              </w:rPr>
              <w:t>UV光解催化设备中UV灯管使用寿命有限，经长期使用后会产生废UV灯管</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000000"/>
                <w:sz w:val="24"/>
                <w:szCs w:val="24"/>
              </w:rPr>
              <w:t>根据废气治理设施风机风量估算，每次更换废灯管产生量约为100根，每根约重100g，折合0.01t/a，每年更换一次。经对比《国家危险废物名录》（2021年本），废UV灯管属于危险废物“HW29 含汞废物”中危废代码900-023-29，经厂区危废暂存间暂存后交由有危废资质单位处置。</w:t>
            </w:r>
          </w:p>
          <w:p>
            <w:pPr>
              <w:pStyle w:val="6"/>
              <w:numPr>
                <w:ilvl w:val="0"/>
                <w:numId w:val="0"/>
              </w:numPr>
              <w:spacing w:before="0" w:after="0" w:line="360" w:lineRule="auto"/>
              <w:jc w:val="center"/>
              <w:rPr>
                <w:rFonts w:hint="default" w:ascii="Times New Roman" w:hAnsi="Times New Roman" w:eastAsia="宋体" w:cs="Times New Roman"/>
                <w:b/>
                <w:bCs/>
                <w:sz w:val="24"/>
                <w:szCs w:val="24"/>
                <w:u w:val="none"/>
              </w:rPr>
            </w:pPr>
            <w:r>
              <w:rPr>
                <w:rFonts w:hint="default" w:ascii="Times New Roman" w:hAnsi="Times New Roman" w:eastAsia="宋体" w:cs="Times New Roman"/>
                <w:b/>
                <w:bCs/>
                <w:sz w:val="24"/>
                <w:szCs w:val="24"/>
                <w:u w:val="none"/>
              </w:rPr>
              <w:t>表4-1</w:t>
            </w:r>
            <w:r>
              <w:rPr>
                <w:rFonts w:hint="eastAsia" w:ascii="Times New Roman" w:hAnsi="Times New Roman" w:cs="Times New Roman"/>
                <w:b/>
                <w:bCs/>
                <w:sz w:val="24"/>
                <w:szCs w:val="24"/>
                <w:u w:val="none"/>
                <w:lang w:val="en-US" w:eastAsia="zh-CN"/>
              </w:rPr>
              <w:t>6</w:t>
            </w:r>
            <w:r>
              <w:rPr>
                <w:rFonts w:hint="default" w:ascii="Times New Roman" w:hAnsi="Times New Roman" w:eastAsia="宋体" w:cs="Times New Roman"/>
                <w:b/>
                <w:bCs/>
                <w:sz w:val="24"/>
                <w:szCs w:val="24"/>
                <w:u w:val="none"/>
                <w:lang w:val="en-US" w:eastAsia="zh-CN"/>
              </w:rPr>
              <w:t xml:space="preserve">  </w:t>
            </w:r>
            <w:r>
              <w:rPr>
                <w:rFonts w:hint="default" w:ascii="Times New Roman" w:hAnsi="Times New Roman" w:eastAsia="宋体" w:cs="Times New Roman"/>
                <w:b/>
                <w:bCs/>
                <w:sz w:val="24"/>
                <w:szCs w:val="24"/>
                <w:u w:val="none"/>
              </w:rPr>
              <w:t>本项目各项固体废弃物产生情况统计表</w:t>
            </w:r>
          </w:p>
          <w:tbl>
            <w:tblPr>
              <w:tblStyle w:val="12"/>
              <w:tblW w:w="8940"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1456"/>
              <w:gridCol w:w="1800"/>
              <w:gridCol w:w="365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5" w:type="dxa"/>
                  <w:vAlign w:val="center"/>
                </w:tcPr>
                <w:p>
                  <w:pPr>
                    <w:pStyle w:val="6"/>
                    <w:numPr>
                      <w:ilvl w:val="0"/>
                      <w:numId w:val="0"/>
                    </w:numPr>
                    <w:spacing w:before="0" w:after="0" w:line="360" w:lineRule="auto"/>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废物名称</w:t>
                  </w:r>
                </w:p>
              </w:tc>
              <w:tc>
                <w:tcPr>
                  <w:tcW w:w="1456" w:type="dxa"/>
                  <w:vAlign w:val="center"/>
                </w:tcPr>
                <w:p>
                  <w:pPr>
                    <w:pStyle w:val="6"/>
                    <w:numPr>
                      <w:ilvl w:val="0"/>
                      <w:numId w:val="0"/>
                    </w:numPr>
                    <w:spacing w:before="0" w:after="0" w:line="360" w:lineRule="auto"/>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产生量</w:t>
                  </w:r>
                  <w:r>
                    <w:rPr>
                      <w:rFonts w:hint="default" w:ascii="Times New Roman" w:hAnsi="Times New Roman" w:eastAsia="宋体" w:cs="Times New Roman"/>
                      <w:b/>
                      <w:bCs/>
                      <w:sz w:val="21"/>
                      <w:szCs w:val="21"/>
                      <w:u w:val="none"/>
                      <w:lang w:eastAsia="zh-CN"/>
                    </w:rPr>
                    <w:t>（</w:t>
                  </w:r>
                  <w:r>
                    <w:rPr>
                      <w:rFonts w:hint="default" w:ascii="Times New Roman" w:hAnsi="Times New Roman" w:eastAsia="宋体" w:cs="Times New Roman"/>
                      <w:b/>
                      <w:bCs/>
                      <w:sz w:val="21"/>
                      <w:szCs w:val="21"/>
                      <w:u w:val="none"/>
                    </w:rPr>
                    <w:t>t/a）</w:t>
                  </w:r>
                </w:p>
              </w:tc>
              <w:tc>
                <w:tcPr>
                  <w:tcW w:w="1800" w:type="dxa"/>
                  <w:vAlign w:val="center"/>
                </w:tcPr>
                <w:p>
                  <w:pPr>
                    <w:pStyle w:val="6"/>
                    <w:numPr>
                      <w:ilvl w:val="0"/>
                      <w:numId w:val="0"/>
                    </w:numPr>
                    <w:spacing w:before="0" w:after="0" w:line="360" w:lineRule="auto"/>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废物类别</w:t>
                  </w:r>
                </w:p>
              </w:tc>
              <w:tc>
                <w:tcPr>
                  <w:tcW w:w="3659" w:type="dxa"/>
                  <w:vAlign w:val="center"/>
                </w:tcPr>
                <w:p>
                  <w:pPr>
                    <w:pStyle w:val="6"/>
                    <w:numPr>
                      <w:ilvl w:val="0"/>
                      <w:numId w:val="0"/>
                    </w:numPr>
                    <w:spacing w:before="0" w:after="0" w:line="360" w:lineRule="auto"/>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处理处置措施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5"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职工生活垃圾</w:t>
                  </w:r>
                </w:p>
              </w:tc>
              <w:tc>
                <w:tcPr>
                  <w:tcW w:w="1456"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0.75</w:t>
                  </w:r>
                </w:p>
              </w:tc>
              <w:tc>
                <w:tcPr>
                  <w:tcW w:w="1800"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生活垃圾</w:t>
                  </w:r>
                </w:p>
              </w:tc>
              <w:tc>
                <w:tcPr>
                  <w:tcW w:w="3659"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交由环卫部门处置</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5"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挤出过程产生的滤网（含滤渣）</w:t>
                  </w:r>
                </w:p>
              </w:tc>
              <w:tc>
                <w:tcPr>
                  <w:tcW w:w="1456"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4.2</w:t>
                  </w:r>
                </w:p>
              </w:tc>
              <w:tc>
                <w:tcPr>
                  <w:tcW w:w="1800"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一般固废</w:t>
                  </w:r>
                </w:p>
              </w:tc>
              <w:tc>
                <w:tcPr>
                  <w:tcW w:w="3659"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集中收集后由厂家回收处理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5"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废包装袋</w:t>
                  </w:r>
                </w:p>
              </w:tc>
              <w:tc>
                <w:tcPr>
                  <w:tcW w:w="1456"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4</w:t>
                  </w:r>
                </w:p>
              </w:tc>
              <w:tc>
                <w:tcPr>
                  <w:tcW w:w="1800"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一般固废</w:t>
                  </w:r>
                </w:p>
              </w:tc>
              <w:tc>
                <w:tcPr>
                  <w:tcW w:w="3659"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rPr>
                    <w:t>经收集后</w:t>
                  </w:r>
                  <w:r>
                    <w:rPr>
                      <w:rFonts w:hint="default" w:ascii="Times New Roman" w:hAnsi="Times New Roman" w:eastAsia="宋体" w:cs="Times New Roman"/>
                      <w:b w:val="0"/>
                      <w:bCs w:val="0"/>
                      <w:sz w:val="21"/>
                      <w:szCs w:val="21"/>
                      <w:u w:val="none"/>
                      <w:lang w:eastAsia="zh-CN"/>
                    </w:rPr>
                    <w:t>外售处理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5"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化粪池污泥</w:t>
                  </w:r>
                </w:p>
              </w:tc>
              <w:tc>
                <w:tcPr>
                  <w:tcW w:w="1456"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0.5</w:t>
                  </w:r>
                </w:p>
              </w:tc>
              <w:tc>
                <w:tcPr>
                  <w:tcW w:w="1800"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一般固废</w:t>
                  </w:r>
                </w:p>
              </w:tc>
              <w:tc>
                <w:tcPr>
                  <w:tcW w:w="3659"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sz w:val="21"/>
                      <w:szCs w:val="21"/>
                    </w:rPr>
                    <w:t>环卫部门定期清掏处理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5" w:type="dxa"/>
                  <w:vAlign w:val="center"/>
                </w:tcPr>
                <w:p>
                  <w:pPr>
                    <w:pStyle w:val="6"/>
                    <w:numPr>
                      <w:ilvl w:val="0"/>
                      <w:numId w:val="0"/>
                    </w:numPr>
                    <w:spacing w:before="0" w:after="0" w:line="360" w:lineRule="auto"/>
                    <w:ind w:left="0" w:leftChars="0" w:firstLine="0" w:firstLineChars="0"/>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不合格品</w:t>
                  </w:r>
                </w:p>
              </w:tc>
              <w:tc>
                <w:tcPr>
                  <w:tcW w:w="1456" w:type="dxa"/>
                  <w:vAlign w:val="center"/>
                </w:tcPr>
                <w:p>
                  <w:pPr>
                    <w:pStyle w:val="6"/>
                    <w:numPr>
                      <w:ilvl w:val="0"/>
                      <w:numId w:val="0"/>
                    </w:numPr>
                    <w:spacing w:before="0" w:after="0" w:line="360" w:lineRule="auto"/>
                    <w:ind w:left="0" w:leftChars="0" w:firstLine="0" w:firstLineChars="0"/>
                    <w:jc w:val="center"/>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125</w:t>
                  </w:r>
                </w:p>
              </w:tc>
              <w:tc>
                <w:tcPr>
                  <w:tcW w:w="1800" w:type="dxa"/>
                  <w:vAlign w:val="center"/>
                </w:tcPr>
                <w:p>
                  <w:pPr>
                    <w:pStyle w:val="6"/>
                    <w:numPr>
                      <w:ilvl w:val="0"/>
                      <w:numId w:val="0"/>
                    </w:numPr>
                    <w:spacing w:before="0" w:after="0" w:line="360" w:lineRule="auto"/>
                    <w:ind w:left="0" w:leftChars="0" w:firstLine="0" w:firstLineChars="0"/>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一般固废</w:t>
                  </w:r>
                </w:p>
              </w:tc>
              <w:tc>
                <w:tcPr>
                  <w:tcW w:w="3659"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经</w:t>
                  </w:r>
                  <w:r>
                    <w:rPr>
                      <w:rFonts w:hint="default" w:ascii="Times New Roman" w:hAnsi="Times New Roman" w:eastAsia="宋体" w:cs="Times New Roman"/>
                      <w:b w:val="0"/>
                      <w:bCs w:val="0"/>
                      <w:sz w:val="21"/>
                      <w:szCs w:val="21"/>
                      <w:u w:val="none"/>
                      <w:lang w:eastAsia="zh-CN"/>
                    </w:rPr>
                    <w:t>收集后</w:t>
                  </w:r>
                  <w:r>
                    <w:rPr>
                      <w:rFonts w:hint="default" w:ascii="Times New Roman" w:hAnsi="Times New Roman" w:eastAsia="宋体" w:cs="Times New Roman"/>
                      <w:b w:val="0"/>
                      <w:bCs w:val="0"/>
                      <w:sz w:val="21"/>
                      <w:szCs w:val="21"/>
                      <w:u w:val="none"/>
                    </w:rPr>
                    <w:t>回用于生产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5" w:type="dxa"/>
                  <w:vAlign w:val="center"/>
                </w:tcPr>
                <w:p>
                  <w:p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废活性炭</w:t>
                  </w:r>
                </w:p>
              </w:tc>
              <w:tc>
                <w:tcPr>
                  <w:tcW w:w="1456" w:type="dxa"/>
                  <w:vAlign w:val="center"/>
                </w:tcPr>
                <w:p>
                  <w:pPr>
                    <w:pStyle w:val="6"/>
                    <w:numPr>
                      <w:ilvl w:val="0"/>
                      <w:numId w:val="0"/>
                    </w:numPr>
                    <w:spacing w:before="0" w:after="0" w:line="360" w:lineRule="auto"/>
                    <w:ind w:left="0" w:leftChars="0" w:firstLine="0" w:firstLineChars="0"/>
                    <w:jc w:val="center"/>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6.83</w:t>
                  </w:r>
                </w:p>
              </w:tc>
              <w:tc>
                <w:tcPr>
                  <w:tcW w:w="1800" w:type="dxa"/>
                  <w:vAlign w:val="center"/>
                </w:tcPr>
                <w:p>
                  <w:pPr>
                    <w:pStyle w:val="6"/>
                    <w:numPr>
                      <w:ilvl w:val="0"/>
                      <w:numId w:val="0"/>
                    </w:numPr>
                    <w:spacing w:before="0" w:after="0" w:line="360" w:lineRule="auto"/>
                    <w:ind w:left="0" w:leftChars="0" w:firstLine="0" w:firstLineChars="0"/>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危险废物HW</w:t>
                  </w:r>
                  <w:r>
                    <w:rPr>
                      <w:rFonts w:hint="default" w:ascii="Times New Roman" w:hAnsi="Times New Roman" w:eastAsia="宋体" w:cs="Times New Roman"/>
                      <w:b w:val="0"/>
                      <w:bCs w:val="0"/>
                      <w:sz w:val="21"/>
                      <w:szCs w:val="21"/>
                      <w:u w:val="none"/>
                      <w:lang w:val="en-US" w:eastAsia="zh-CN"/>
                    </w:rPr>
                    <w:t>49</w:t>
                  </w:r>
                  <w:r>
                    <w:rPr>
                      <w:rFonts w:hint="default" w:ascii="Times New Roman" w:hAnsi="Times New Roman" w:eastAsia="宋体" w:cs="Times New Roman"/>
                      <w:b w:val="0"/>
                      <w:bCs w:val="0"/>
                      <w:sz w:val="21"/>
                      <w:szCs w:val="21"/>
                      <w:u w:val="none"/>
                    </w:rPr>
                    <w:t>（900-0</w:t>
                  </w:r>
                  <w:r>
                    <w:rPr>
                      <w:rFonts w:hint="default" w:ascii="Times New Roman" w:hAnsi="Times New Roman" w:eastAsia="宋体" w:cs="Times New Roman"/>
                      <w:b w:val="0"/>
                      <w:bCs w:val="0"/>
                      <w:sz w:val="21"/>
                      <w:szCs w:val="21"/>
                      <w:u w:val="none"/>
                      <w:lang w:val="en-US" w:eastAsia="zh-CN"/>
                    </w:rPr>
                    <w:t>39</w:t>
                  </w:r>
                  <w:r>
                    <w:rPr>
                      <w:rFonts w:hint="default" w:ascii="Times New Roman" w:hAnsi="Times New Roman" w:eastAsia="宋体" w:cs="Times New Roman"/>
                      <w:b w:val="0"/>
                      <w:bCs w:val="0"/>
                      <w:sz w:val="21"/>
                      <w:szCs w:val="21"/>
                      <w:u w:val="none"/>
                    </w:rPr>
                    <w:t>-49）</w:t>
                  </w:r>
                </w:p>
              </w:tc>
              <w:tc>
                <w:tcPr>
                  <w:tcW w:w="3659" w:type="dxa"/>
                  <w:vAlign w:val="center"/>
                </w:tcPr>
                <w:p>
                  <w:pPr>
                    <w:pStyle w:val="6"/>
                    <w:numPr>
                      <w:ilvl w:val="0"/>
                      <w:numId w:val="0"/>
                    </w:numPr>
                    <w:spacing w:before="0" w:after="0" w:line="360" w:lineRule="auto"/>
                    <w:ind w:left="0" w:leftChars="0" w:firstLine="0" w:firstLineChars="0"/>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收集后存放于密封的容器中，暂存于危废暂存间，委托有资质单位进行处理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5" w:type="dxa"/>
                  <w:vAlign w:val="center"/>
                </w:tcPr>
                <w:p>
                  <w:p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废UV灯管</w:t>
                  </w:r>
                </w:p>
              </w:tc>
              <w:tc>
                <w:tcPr>
                  <w:tcW w:w="1456" w:type="dxa"/>
                  <w:vAlign w:val="center"/>
                </w:tcPr>
                <w:p>
                  <w:pPr>
                    <w:pStyle w:val="6"/>
                    <w:numPr>
                      <w:ilvl w:val="0"/>
                      <w:numId w:val="0"/>
                    </w:numPr>
                    <w:spacing w:before="0" w:after="0" w:line="360" w:lineRule="auto"/>
                    <w:ind w:left="0" w:leftChars="0" w:firstLine="0" w:firstLineChars="0"/>
                    <w:jc w:val="center"/>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sz w:val="21"/>
                      <w:szCs w:val="21"/>
                      <w:lang w:val="en-US" w:eastAsia="zh-CN"/>
                    </w:rPr>
                    <w:t>0.01t/a</w:t>
                  </w:r>
                </w:p>
              </w:tc>
              <w:tc>
                <w:tcPr>
                  <w:tcW w:w="1800" w:type="dxa"/>
                  <w:vAlign w:val="center"/>
                </w:tcPr>
                <w:p>
                  <w:pPr>
                    <w:pStyle w:val="6"/>
                    <w:numPr>
                      <w:ilvl w:val="0"/>
                      <w:numId w:val="0"/>
                    </w:numPr>
                    <w:spacing w:before="0" w:after="0" w:line="360" w:lineRule="auto"/>
                    <w:ind w:left="0" w:leftChars="0" w:firstLine="0" w:firstLineChars="0"/>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危险废物HW</w:t>
                  </w:r>
                  <w:r>
                    <w:rPr>
                      <w:rFonts w:hint="default" w:ascii="Times New Roman" w:hAnsi="Times New Roman" w:eastAsia="宋体" w:cs="Times New Roman"/>
                      <w:b w:val="0"/>
                      <w:bCs w:val="0"/>
                      <w:sz w:val="21"/>
                      <w:szCs w:val="21"/>
                      <w:u w:val="none"/>
                      <w:lang w:val="en-US" w:eastAsia="zh-CN"/>
                    </w:rPr>
                    <w:t>29</w:t>
                  </w:r>
                  <w:r>
                    <w:rPr>
                      <w:rFonts w:hint="default" w:ascii="Times New Roman" w:hAnsi="Times New Roman" w:eastAsia="宋体" w:cs="Times New Roman"/>
                      <w:b w:val="0"/>
                      <w:bCs w:val="0"/>
                      <w:sz w:val="21"/>
                      <w:szCs w:val="21"/>
                      <w:u w:val="none"/>
                    </w:rPr>
                    <w:t>（900-023-29）</w:t>
                  </w:r>
                </w:p>
              </w:tc>
              <w:tc>
                <w:tcPr>
                  <w:tcW w:w="3659" w:type="dxa"/>
                  <w:vAlign w:val="center"/>
                </w:tcPr>
                <w:p>
                  <w:pPr>
                    <w:pStyle w:val="6"/>
                    <w:numPr>
                      <w:ilvl w:val="0"/>
                      <w:numId w:val="0"/>
                    </w:numPr>
                    <w:spacing w:before="0" w:after="0" w:line="360" w:lineRule="auto"/>
                    <w:ind w:left="0" w:leftChars="0" w:firstLine="0" w:firstLineChars="0"/>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经厂区危废暂存间暂存后交由有危废资质单位处置</w:t>
                  </w:r>
                </w:p>
              </w:tc>
            </w:tr>
          </w:tbl>
          <w:p>
            <w:pPr>
              <w:spacing w:before="0" w:after="0" w:line="360" w:lineRule="auto"/>
              <w:ind w:firstLine="500" w:firstLineChars="200"/>
              <w:jc w:val="both"/>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本项目产生的危险</w:t>
            </w:r>
            <w:r>
              <w:rPr>
                <w:rFonts w:hint="default" w:ascii="Times New Roman" w:hAnsi="Times New Roman" w:eastAsia="宋体" w:cs="Times New Roman"/>
                <w:b w:val="0"/>
                <w:bCs w:val="0"/>
                <w:sz w:val="24"/>
                <w:szCs w:val="24"/>
                <w:u w:val="none"/>
                <w:lang w:eastAsia="zh-CN"/>
              </w:rPr>
              <w:t>废物</w:t>
            </w:r>
            <w:r>
              <w:rPr>
                <w:rFonts w:hint="default" w:ascii="Times New Roman" w:hAnsi="Times New Roman" w:eastAsia="宋体" w:cs="Times New Roman"/>
                <w:b w:val="0"/>
                <w:bCs w:val="0"/>
                <w:sz w:val="24"/>
                <w:szCs w:val="24"/>
                <w:u w:val="none"/>
              </w:rPr>
              <w:t>应分类暂存于符合“</w:t>
            </w:r>
            <w:r>
              <w:rPr>
                <w:rFonts w:hint="default" w:ascii="Times New Roman" w:hAnsi="Times New Roman" w:eastAsia="宋体" w:cs="Times New Roman"/>
                <w:b w:val="0"/>
                <w:bCs w:val="0"/>
                <w:sz w:val="24"/>
                <w:szCs w:val="24"/>
                <w:u w:val="none"/>
                <w:lang w:eastAsia="zh-CN"/>
              </w:rPr>
              <w:t>六</w:t>
            </w:r>
            <w:r>
              <w:rPr>
                <w:rFonts w:hint="default" w:ascii="Times New Roman" w:hAnsi="Times New Roman" w:eastAsia="宋体" w:cs="Times New Roman"/>
                <w:b w:val="0"/>
                <w:bCs w:val="0"/>
                <w:sz w:val="24"/>
                <w:szCs w:val="24"/>
                <w:u w:val="none"/>
              </w:rPr>
              <w:t>防”要求的危险废物暂存间，根据项目实际生产情况，评价在厂区内建设一个</w:t>
            </w:r>
            <w:r>
              <w:rPr>
                <w:rFonts w:hint="eastAsia" w:ascii="Times New Roman" w:hAnsi="Times New Roman" w:eastAsia="宋体" w:cs="Times New Roman"/>
                <w:b w:val="0"/>
                <w:bCs w:val="0"/>
                <w:sz w:val="24"/>
                <w:szCs w:val="24"/>
                <w:u w:val="none"/>
                <w:lang w:val="en-US" w:eastAsia="zh-CN"/>
              </w:rPr>
              <w:t>10</w:t>
            </w:r>
            <w:r>
              <w:rPr>
                <w:rFonts w:hint="default" w:ascii="Times New Roman" w:hAnsi="Times New Roman" w:eastAsia="宋体" w:cs="Times New Roman"/>
                <w:b w:val="0"/>
                <w:bCs w:val="0"/>
                <w:sz w:val="24"/>
                <w:szCs w:val="24"/>
                <w:u w:val="none"/>
              </w:rPr>
              <w:t>m</w:t>
            </w:r>
            <w:r>
              <w:rPr>
                <w:rFonts w:hint="default" w:ascii="Times New Roman" w:hAnsi="Times New Roman" w:eastAsia="宋体" w:cs="Times New Roman"/>
                <w:b w:val="0"/>
                <w:bCs w:val="0"/>
                <w:sz w:val="24"/>
                <w:szCs w:val="24"/>
                <w:u w:val="none"/>
                <w:vertAlign w:val="superscript"/>
              </w:rPr>
              <w:t>2</w:t>
            </w:r>
            <w:r>
              <w:rPr>
                <w:rFonts w:hint="default" w:ascii="Times New Roman" w:hAnsi="Times New Roman" w:eastAsia="宋体" w:cs="Times New Roman"/>
                <w:b w:val="0"/>
                <w:bCs w:val="0"/>
                <w:sz w:val="24"/>
                <w:szCs w:val="24"/>
                <w:u w:val="none"/>
              </w:rPr>
              <w:t>的危废暂存间，对危险废物进行分类收集、分区存放，并张贴危险废物暂存标识，然后交由有资质单位处置。本项目危废汇总表见下表。</w:t>
            </w:r>
          </w:p>
          <w:p>
            <w:pPr>
              <w:pStyle w:val="3"/>
              <w:spacing w:before="0" w:after="0" w:line="360" w:lineRule="auto"/>
              <w:outlineLvl w:val="0"/>
              <w:rPr>
                <w:rFonts w:hint="default" w:ascii="Times New Roman" w:hAnsi="Times New Roman" w:eastAsia="宋体" w:cs="Times New Roman"/>
                <w:b/>
                <w:bCs/>
                <w:sz w:val="24"/>
                <w:szCs w:val="24"/>
                <w:u w:val="none"/>
              </w:rPr>
            </w:pPr>
            <w:r>
              <w:rPr>
                <w:rFonts w:hint="default" w:ascii="Times New Roman" w:hAnsi="Times New Roman" w:eastAsia="宋体" w:cs="Times New Roman"/>
                <w:b/>
                <w:bCs/>
                <w:sz w:val="24"/>
                <w:szCs w:val="24"/>
                <w:u w:val="none"/>
              </w:rPr>
              <w:t>表4-1</w:t>
            </w:r>
            <w:r>
              <w:rPr>
                <w:rFonts w:hint="eastAsia" w:cs="Times New Roman"/>
                <w:b/>
                <w:bCs/>
                <w:sz w:val="24"/>
                <w:szCs w:val="24"/>
                <w:u w:val="none"/>
                <w:lang w:val="en-US" w:eastAsia="zh-CN"/>
              </w:rPr>
              <w:t>7</w:t>
            </w:r>
            <w:r>
              <w:rPr>
                <w:rFonts w:hint="default" w:ascii="Times New Roman" w:hAnsi="Times New Roman" w:eastAsia="宋体" w:cs="Times New Roman"/>
                <w:b/>
                <w:bCs/>
                <w:sz w:val="24"/>
                <w:szCs w:val="24"/>
                <w:u w:val="none"/>
              </w:rPr>
              <w:t>本项目危险废弃物产生情况统计表</w:t>
            </w:r>
          </w:p>
          <w:tbl>
            <w:tblPr>
              <w:tblStyle w:val="12"/>
              <w:tblW w:w="8940"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675"/>
              <w:gridCol w:w="765"/>
              <w:gridCol w:w="904"/>
              <w:gridCol w:w="793"/>
              <w:gridCol w:w="709"/>
              <w:gridCol w:w="425"/>
              <w:gridCol w:w="709"/>
              <w:gridCol w:w="709"/>
              <w:gridCol w:w="708"/>
              <w:gridCol w:w="709"/>
              <w:gridCol w:w="138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2" w:hRule="atLeast"/>
                <w:jc w:val="center"/>
              </w:trPr>
              <w:tc>
                <w:tcPr>
                  <w:tcW w:w="447" w:type="dxa"/>
                  <w:vAlign w:val="center"/>
                </w:tcPr>
                <w:p>
                  <w:pPr>
                    <w:spacing w:line="360" w:lineRule="auto"/>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序号</w:t>
                  </w:r>
                </w:p>
              </w:tc>
              <w:tc>
                <w:tcPr>
                  <w:tcW w:w="675" w:type="dxa"/>
                  <w:vAlign w:val="center"/>
                </w:tcPr>
                <w:p>
                  <w:pPr>
                    <w:spacing w:before="0" w:after="0" w:line="360" w:lineRule="auto"/>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危险废物名称</w:t>
                  </w:r>
                </w:p>
              </w:tc>
              <w:tc>
                <w:tcPr>
                  <w:tcW w:w="765" w:type="dxa"/>
                  <w:vAlign w:val="center"/>
                </w:tcPr>
                <w:p>
                  <w:pPr>
                    <w:spacing w:before="0" w:after="0" w:line="360" w:lineRule="auto"/>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危险废物类别</w:t>
                  </w:r>
                </w:p>
              </w:tc>
              <w:tc>
                <w:tcPr>
                  <w:tcW w:w="904" w:type="dxa"/>
                  <w:vAlign w:val="center"/>
                </w:tcPr>
                <w:p>
                  <w:pPr>
                    <w:spacing w:before="0" w:after="0" w:line="360" w:lineRule="auto"/>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危险废物代码</w:t>
                  </w:r>
                </w:p>
              </w:tc>
              <w:tc>
                <w:tcPr>
                  <w:tcW w:w="793" w:type="dxa"/>
                  <w:vAlign w:val="center"/>
                </w:tcPr>
                <w:p>
                  <w:pPr>
                    <w:spacing w:before="0" w:after="0" w:line="360" w:lineRule="auto"/>
                    <w:jc w:val="center"/>
                    <w:rPr>
                      <w:rFonts w:hint="default" w:ascii="Times New Roman" w:hAnsi="Times New Roman" w:eastAsia="宋体" w:cs="Times New Roman"/>
                      <w:b/>
                      <w:bCs/>
                      <w:sz w:val="21"/>
                      <w:szCs w:val="21"/>
                      <w:u w:val="none"/>
                      <w:lang w:eastAsia="zh-CN"/>
                    </w:rPr>
                  </w:pPr>
                  <w:r>
                    <w:rPr>
                      <w:rFonts w:hint="default" w:ascii="Times New Roman" w:hAnsi="Times New Roman" w:eastAsia="宋体" w:cs="Times New Roman"/>
                      <w:b/>
                      <w:bCs/>
                      <w:sz w:val="21"/>
                      <w:szCs w:val="21"/>
                      <w:u w:val="none"/>
                    </w:rPr>
                    <w:t>产生量</w:t>
                  </w:r>
                  <w:r>
                    <w:rPr>
                      <w:rFonts w:hint="default" w:ascii="Times New Roman" w:hAnsi="Times New Roman" w:eastAsia="宋体" w:cs="Times New Roman"/>
                      <w:b/>
                      <w:bCs/>
                      <w:sz w:val="21"/>
                      <w:szCs w:val="21"/>
                      <w:u w:val="none"/>
                      <w:lang w:eastAsia="zh-CN"/>
                    </w:rPr>
                    <w:t>（</w:t>
                  </w:r>
                  <w:r>
                    <w:rPr>
                      <w:rFonts w:hint="default" w:ascii="Times New Roman" w:hAnsi="Times New Roman" w:eastAsia="宋体" w:cs="Times New Roman"/>
                      <w:b/>
                      <w:bCs/>
                      <w:sz w:val="21"/>
                      <w:szCs w:val="21"/>
                      <w:u w:val="none"/>
                      <w:lang w:val="en-US" w:eastAsia="zh-CN"/>
                    </w:rPr>
                    <w:t>t/a</w:t>
                  </w:r>
                  <w:r>
                    <w:rPr>
                      <w:rFonts w:hint="default" w:ascii="Times New Roman" w:hAnsi="Times New Roman" w:eastAsia="宋体" w:cs="Times New Roman"/>
                      <w:b/>
                      <w:bCs/>
                      <w:sz w:val="21"/>
                      <w:szCs w:val="21"/>
                      <w:u w:val="none"/>
                      <w:lang w:eastAsia="zh-CN"/>
                    </w:rPr>
                    <w:t>）</w:t>
                  </w:r>
                </w:p>
              </w:tc>
              <w:tc>
                <w:tcPr>
                  <w:tcW w:w="709" w:type="dxa"/>
                  <w:vAlign w:val="center"/>
                </w:tcPr>
                <w:p>
                  <w:pPr>
                    <w:spacing w:before="0" w:after="0" w:line="360" w:lineRule="auto"/>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产生工序及装置</w:t>
                  </w:r>
                </w:p>
              </w:tc>
              <w:tc>
                <w:tcPr>
                  <w:tcW w:w="425" w:type="dxa"/>
                  <w:vAlign w:val="center"/>
                </w:tcPr>
                <w:p>
                  <w:pPr>
                    <w:spacing w:before="0" w:after="0" w:line="360" w:lineRule="auto"/>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形态</w:t>
                  </w:r>
                </w:p>
              </w:tc>
              <w:tc>
                <w:tcPr>
                  <w:tcW w:w="709" w:type="dxa"/>
                  <w:vAlign w:val="center"/>
                </w:tcPr>
                <w:p>
                  <w:pPr>
                    <w:spacing w:before="0" w:after="0" w:line="360" w:lineRule="auto"/>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主要成分</w:t>
                  </w:r>
                </w:p>
              </w:tc>
              <w:tc>
                <w:tcPr>
                  <w:tcW w:w="709" w:type="dxa"/>
                  <w:vAlign w:val="center"/>
                </w:tcPr>
                <w:p>
                  <w:pPr>
                    <w:spacing w:before="0" w:after="0" w:line="360" w:lineRule="auto"/>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有害成分</w:t>
                  </w:r>
                </w:p>
              </w:tc>
              <w:tc>
                <w:tcPr>
                  <w:tcW w:w="708" w:type="dxa"/>
                  <w:vAlign w:val="center"/>
                </w:tcPr>
                <w:p>
                  <w:pPr>
                    <w:spacing w:before="0" w:after="0" w:line="360" w:lineRule="auto"/>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产生周期</w:t>
                  </w:r>
                </w:p>
              </w:tc>
              <w:tc>
                <w:tcPr>
                  <w:tcW w:w="709" w:type="dxa"/>
                  <w:vAlign w:val="center"/>
                </w:tcPr>
                <w:p>
                  <w:pPr>
                    <w:spacing w:before="0" w:after="0" w:line="360" w:lineRule="auto"/>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危险特性</w:t>
                  </w:r>
                </w:p>
              </w:tc>
              <w:tc>
                <w:tcPr>
                  <w:tcW w:w="1387" w:type="dxa"/>
                  <w:vAlign w:val="center"/>
                </w:tcPr>
                <w:p>
                  <w:pPr>
                    <w:spacing w:before="0" w:after="0" w:line="360" w:lineRule="auto"/>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污染防止措施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7" w:type="dxa"/>
                  <w:vAlign w:val="center"/>
                </w:tcPr>
                <w:p>
                  <w:pPr>
                    <w:spacing w:line="360" w:lineRule="auto"/>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w:t>
                  </w:r>
                </w:p>
              </w:tc>
              <w:tc>
                <w:tcPr>
                  <w:tcW w:w="675"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废活性炭</w:t>
                  </w:r>
                </w:p>
              </w:tc>
              <w:tc>
                <w:tcPr>
                  <w:tcW w:w="765" w:type="dxa"/>
                  <w:vAlign w:val="center"/>
                </w:tcPr>
                <w:p>
                  <w:p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HW</w:t>
                  </w:r>
                  <w:r>
                    <w:rPr>
                      <w:rFonts w:hint="default" w:ascii="Times New Roman" w:hAnsi="Times New Roman" w:eastAsia="宋体" w:cs="Times New Roman"/>
                      <w:b w:val="0"/>
                      <w:bCs w:val="0"/>
                      <w:sz w:val="21"/>
                      <w:szCs w:val="21"/>
                      <w:u w:val="none"/>
                      <w:lang w:val="en-US" w:eastAsia="zh-CN"/>
                    </w:rPr>
                    <w:t>49</w:t>
                  </w:r>
                </w:p>
              </w:tc>
              <w:tc>
                <w:tcPr>
                  <w:tcW w:w="904" w:type="dxa"/>
                  <w:vAlign w:val="center"/>
                </w:tcPr>
                <w:p>
                  <w:p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900-0</w:t>
                  </w:r>
                  <w:r>
                    <w:rPr>
                      <w:rFonts w:hint="default" w:ascii="Times New Roman" w:hAnsi="Times New Roman" w:eastAsia="宋体" w:cs="Times New Roman"/>
                      <w:b w:val="0"/>
                      <w:bCs w:val="0"/>
                      <w:sz w:val="21"/>
                      <w:szCs w:val="21"/>
                      <w:u w:val="none"/>
                      <w:lang w:val="en-US" w:eastAsia="zh-CN"/>
                    </w:rPr>
                    <w:t>39</w:t>
                  </w:r>
                  <w:r>
                    <w:rPr>
                      <w:rFonts w:hint="default" w:ascii="Times New Roman" w:hAnsi="Times New Roman" w:eastAsia="宋体" w:cs="Times New Roman"/>
                      <w:b w:val="0"/>
                      <w:bCs w:val="0"/>
                      <w:sz w:val="21"/>
                      <w:szCs w:val="21"/>
                      <w:u w:val="none"/>
                    </w:rPr>
                    <w:t>-49</w:t>
                  </w:r>
                </w:p>
              </w:tc>
              <w:tc>
                <w:tcPr>
                  <w:tcW w:w="793" w:type="dxa"/>
                  <w:vAlign w:val="center"/>
                </w:tcPr>
                <w:p>
                  <w:pPr>
                    <w:pStyle w:val="6"/>
                    <w:numPr>
                      <w:ilvl w:val="0"/>
                      <w:numId w:val="0"/>
                    </w:numPr>
                    <w:spacing w:before="0" w:after="0" w:line="360" w:lineRule="auto"/>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6.83</w:t>
                  </w:r>
                </w:p>
              </w:tc>
              <w:tc>
                <w:tcPr>
                  <w:tcW w:w="709" w:type="dxa"/>
                  <w:vAlign w:val="center"/>
                </w:tcPr>
                <w:p>
                  <w:pPr>
                    <w:spacing w:before="0" w:after="0" w:line="360" w:lineRule="auto"/>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废气处理装置</w:t>
                  </w:r>
                </w:p>
              </w:tc>
              <w:tc>
                <w:tcPr>
                  <w:tcW w:w="425" w:type="dxa"/>
                  <w:vAlign w:val="center"/>
                </w:tcPr>
                <w:p>
                  <w:pPr>
                    <w:spacing w:before="0" w:after="0" w:line="360" w:lineRule="auto"/>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固态</w:t>
                  </w:r>
                </w:p>
              </w:tc>
              <w:tc>
                <w:tcPr>
                  <w:tcW w:w="709" w:type="dxa"/>
                  <w:vAlign w:val="center"/>
                </w:tcPr>
                <w:p>
                  <w:pPr>
                    <w:spacing w:before="0" w:after="0" w:line="360" w:lineRule="auto"/>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挥发性有机物</w:t>
                  </w:r>
                </w:p>
              </w:tc>
              <w:tc>
                <w:tcPr>
                  <w:tcW w:w="709" w:type="dxa"/>
                  <w:vAlign w:val="center"/>
                </w:tcPr>
                <w:p>
                  <w:pPr>
                    <w:spacing w:before="0" w:after="0" w:line="360" w:lineRule="auto"/>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挥发性有机物</w:t>
                  </w:r>
                </w:p>
              </w:tc>
              <w:tc>
                <w:tcPr>
                  <w:tcW w:w="708" w:type="dxa"/>
                  <w:vAlign w:val="center"/>
                </w:tcPr>
                <w:p>
                  <w:pPr>
                    <w:spacing w:before="0" w:after="0" w:line="360" w:lineRule="auto"/>
                    <w:jc w:val="center"/>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半年</w:t>
                  </w:r>
                </w:p>
              </w:tc>
              <w:tc>
                <w:tcPr>
                  <w:tcW w:w="709" w:type="dxa"/>
                  <w:vAlign w:val="center"/>
                </w:tcPr>
                <w:p>
                  <w:p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T</w:t>
                  </w:r>
                </w:p>
              </w:tc>
              <w:tc>
                <w:tcPr>
                  <w:tcW w:w="1387" w:type="dxa"/>
                  <w:vAlign w:val="center"/>
                </w:tcPr>
                <w:p>
                  <w:p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lang w:eastAsia="zh-CN"/>
                    </w:rPr>
                    <w:t>收集后存放于密封的容器中，暂存于危废暂存间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7" w:type="dxa"/>
                  <w:vAlign w:val="center"/>
                </w:tcPr>
                <w:p>
                  <w:pPr>
                    <w:spacing w:line="360" w:lineRule="auto"/>
                    <w:jc w:val="center"/>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w:t>
                  </w:r>
                </w:p>
              </w:tc>
              <w:tc>
                <w:tcPr>
                  <w:tcW w:w="675" w:type="dxa"/>
                  <w:vAlign w:val="center"/>
                </w:tcPr>
                <w:p>
                  <w:pPr>
                    <w:pStyle w:val="6"/>
                    <w:numPr>
                      <w:ilvl w:val="0"/>
                      <w:numId w:val="0"/>
                    </w:numPr>
                    <w:spacing w:before="0" w:after="0" w:line="360" w:lineRule="auto"/>
                    <w:ind w:left="0" w:leftChars="0" w:firstLine="0" w:firstLineChars="0"/>
                    <w:jc w:val="center"/>
                    <w:rPr>
                      <w:rFonts w:hint="default" w:ascii="Times New Roman" w:hAnsi="Times New Roman" w:eastAsia="宋体" w:cs="Times New Roman"/>
                      <w:b w:val="0"/>
                      <w:bCs w:val="0"/>
                      <w:sz w:val="21"/>
                      <w:szCs w:val="21"/>
                      <w:u w:val="none"/>
                      <w:lang w:eastAsia="zh-CN"/>
                    </w:rPr>
                  </w:pPr>
                  <w:r>
                    <w:rPr>
                      <w:rFonts w:hint="eastAsia" w:ascii="Times New Roman" w:hAnsi="Times New Roman" w:cs="Times New Roman"/>
                      <w:b w:val="0"/>
                      <w:bCs w:val="0"/>
                      <w:sz w:val="21"/>
                      <w:szCs w:val="21"/>
                      <w:u w:val="none"/>
                      <w:lang w:eastAsia="zh-CN"/>
                    </w:rPr>
                    <w:t>废</w:t>
                  </w:r>
                  <w:r>
                    <w:rPr>
                      <w:rFonts w:hint="eastAsia" w:ascii="Times New Roman" w:hAnsi="Times New Roman" w:cs="Times New Roman"/>
                      <w:b w:val="0"/>
                      <w:bCs w:val="0"/>
                      <w:sz w:val="21"/>
                      <w:szCs w:val="21"/>
                      <w:u w:val="none"/>
                      <w:lang w:val="en-US" w:eastAsia="zh-CN"/>
                    </w:rPr>
                    <w:t>UV灯管</w:t>
                  </w:r>
                </w:p>
              </w:tc>
              <w:tc>
                <w:tcPr>
                  <w:tcW w:w="765" w:type="dxa"/>
                  <w:vAlign w:val="center"/>
                </w:tcPr>
                <w:p>
                  <w:pPr>
                    <w:spacing w:before="0" w:after="0" w:line="360" w:lineRule="auto"/>
                    <w:jc w:val="center"/>
                    <w:rPr>
                      <w:rFonts w:hint="default" w:ascii="Times New Roman" w:hAnsi="Times New Roman" w:eastAsia="宋体" w:cs="Times New Roman"/>
                      <w:b w:val="0"/>
                      <w:bCs w:val="0"/>
                      <w:sz w:val="21"/>
                      <w:szCs w:val="21"/>
                      <w:u w:val="none"/>
                      <w:lang w:val="en-US"/>
                    </w:rPr>
                  </w:pPr>
                  <w:r>
                    <w:rPr>
                      <w:rFonts w:hint="default" w:ascii="Times New Roman" w:hAnsi="Times New Roman" w:eastAsia="宋体" w:cs="Times New Roman"/>
                      <w:b w:val="0"/>
                      <w:bCs w:val="0"/>
                      <w:sz w:val="21"/>
                      <w:szCs w:val="21"/>
                      <w:u w:val="none"/>
                    </w:rPr>
                    <w:t>HW</w:t>
                  </w:r>
                  <w:r>
                    <w:rPr>
                      <w:rFonts w:hint="default" w:ascii="Times New Roman" w:hAnsi="Times New Roman" w:eastAsia="宋体" w:cs="Times New Roman"/>
                      <w:b w:val="0"/>
                      <w:bCs w:val="0"/>
                      <w:sz w:val="21"/>
                      <w:szCs w:val="21"/>
                      <w:u w:val="none"/>
                      <w:lang w:val="en-US" w:eastAsia="zh-CN"/>
                    </w:rPr>
                    <w:t>29</w:t>
                  </w:r>
                </w:p>
              </w:tc>
              <w:tc>
                <w:tcPr>
                  <w:tcW w:w="904" w:type="dxa"/>
                  <w:vAlign w:val="center"/>
                </w:tcPr>
                <w:p>
                  <w:pPr>
                    <w:spacing w:before="0" w:after="0" w:line="360" w:lineRule="auto"/>
                    <w:jc w:val="center"/>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rPr>
                    <w:t>900-023-29</w:t>
                  </w:r>
                </w:p>
              </w:tc>
              <w:tc>
                <w:tcPr>
                  <w:tcW w:w="793" w:type="dxa"/>
                  <w:vAlign w:val="center"/>
                </w:tcPr>
                <w:p>
                  <w:pPr>
                    <w:pStyle w:val="6"/>
                    <w:numPr>
                      <w:ilvl w:val="0"/>
                      <w:numId w:val="0"/>
                    </w:numPr>
                    <w:spacing w:before="0" w:after="0" w:line="360" w:lineRule="auto"/>
                    <w:ind w:left="0" w:leftChars="0" w:firstLine="0" w:firstLineChars="0"/>
                    <w:jc w:val="center"/>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0.</w:t>
                  </w:r>
                  <w:r>
                    <w:rPr>
                      <w:rFonts w:hint="eastAsia" w:ascii="Times New Roman" w:hAnsi="Times New Roman" w:eastAsia="宋体" w:cs="Times New Roman"/>
                      <w:b w:val="0"/>
                      <w:bCs w:val="0"/>
                      <w:sz w:val="21"/>
                      <w:szCs w:val="21"/>
                      <w:u w:val="none"/>
                      <w:lang w:val="en-US" w:eastAsia="zh-CN"/>
                    </w:rPr>
                    <w:t>0</w:t>
                  </w:r>
                  <w:r>
                    <w:rPr>
                      <w:rFonts w:hint="default" w:ascii="Times New Roman" w:hAnsi="Times New Roman" w:eastAsia="宋体" w:cs="Times New Roman"/>
                      <w:b w:val="0"/>
                      <w:bCs w:val="0"/>
                      <w:sz w:val="21"/>
                      <w:szCs w:val="21"/>
                      <w:u w:val="none"/>
                      <w:lang w:val="en-US" w:eastAsia="zh-CN"/>
                    </w:rPr>
                    <w:t>1</w:t>
                  </w:r>
                </w:p>
              </w:tc>
              <w:tc>
                <w:tcPr>
                  <w:tcW w:w="709" w:type="dxa"/>
                  <w:vAlign w:val="center"/>
                </w:tcPr>
                <w:p>
                  <w:pPr>
                    <w:spacing w:before="0" w:after="0" w:line="360" w:lineRule="auto"/>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废气处理装置</w:t>
                  </w:r>
                </w:p>
              </w:tc>
              <w:tc>
                <w:tcPr>
                  <w:tcW w:w="425" w:type="dxa"/>
                  <w:vAlign w:val="center"/>
                </w:tcPr>
                <w:p>
                  <w:pPr>
                    <w:spacing w:before="0" w:after="0" w:line="360" w:lineRule="auto"/>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固态</w:t>
                  </w:r>
                </w:p>
              </w:tc>
              <w:tc>
                <w:tcPr>
                  <w:tcW w:w="709" w:type="dxa"/>
                  <w:vAlign w:val="center"/>
                </w:tcPr>
                <w:p>
                  <w:pPr>
                    <w:spacing w:before="0" w:after="0" w:line="360" w:lineRule="auto"/>
                    <w:jc w:val="center"/>
                    <w:rPr>
                      <w:rFonts w:hint="default"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eastAsia="zh-CN"/>
                    </w:rPr>
                    <w:t>汞</w:t>
                  </w:r>
                </w:p>
              </w:tc>
              <w:tc>
                <w:tcPr>
                  <w:tcW w:w="709" w:type="dxa"/>
                  <w:vAlign w:val="center"/>
                </w:tcPr>
                <w:p>
                  <w:pPr>
                    <w:spacing w:before="0" w:after="0" w:line="360" w:lineRule="auto"/>
                    <w:jc w:val="center"/>
                    <w:rPr>
                      <w:rFonts w:hint="default"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eastAsia="zh-CN"/>
                    </w:rPr>
                    <w:t>汞</w:t>
                  </w:r>
                </w:p>
              </w:tc>
              <w:tc>
                <w:tcPr>
                  <w:tcW w:w="708" w:type="dxa"/>
                  <w:vAlign w:val="center"/>
                </w:tcPr>
                <w:p>
                  <w:pPr>
                    <w:spacing w:before="0" w:after="0" w:line="360" w:lineRule="auto"/>
                    <w:jc w:val="center"/>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1</w:t>
                  </w:r>
                  <w:r>
                    <w:rPr>
                      <w:rFonts w:hint="default" w:ascii="Times New Roman" w:hAnsi="Times New Roman" w:eastAsia="宋体" w:cs="Times New Roman"/>
                      <w:b w:val="0"/>
                      <w:bCs w:val="0"/>
                      <w:sz w:val="21"/>
                      <w:szCs w:val="21"/>
                      <w:u w:val="none"/>
                    </w:rPr>
                    <w:t>年</w:t>
                  </w:r>
                </w:p>
              </w:tc>
              <w:tc>
                <w:tcPr>
                  <w:tcW w:w="709" w:type="dxa"/>
                  <w:vAlign w:val="center"/>
                </w:tcPr>
                <w:p>
                  <w:p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T</w:t>
                  </w:r>
                </w:p>
              </w:tc>
              <w:tc>
                <w:tcPr>
                  <w:tcW w:w="1387" w:type="dxa"/>
                  <w:vAlign w:val="center"/>
                </w:tcPr>
                <w:p>
                  <w:pPr>
                    <w:spacing w:before="0" w:after="0" w:line="360" w:lineRule="auto"/>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收集后存放于密封的容器中，暂存于危废暂存间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8940" w:type="dxa"/>
                  <w:gridSpan w:val="12"/>
                  <w:vAlign w:val="center"/>
                </w:tcPr>
                <w:p>
                  <w:pPr>
                    <w:spacing w:before="0" w:after="0" w:line="360" w:lineRule="auto"/>
                    <w:jc w:val="both"/>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注：T毒性</w:t>
                  </w:r>
                  <w:r>
                    <w:rPr>
                      <w:rFonts w:hint="default" w:ascii="Times New Roman" w:hAnsi="Times New Roman" w:eastAsia="宋体" w:cs="Times New Roman"/>
                      <w:b w:val="0"/>
                      <w:bCs w:val="0"/>
                      <w:sz w:val="21"/>
                      <w:szCs w:val="21"/>
                      <w:u w:val="none"/>
                      <w:lang w:eastAsia="zh-CN"/>
                    </w:rPr>
                    <w:t>，</w:t>
                  </w:r>
                  <w:r>
                    <w:rPr>
                      <w:rFonts w:hint="default" w:ascii="Times New Roman" w:hAnsi="Times New Roman" w:eastAsia="宋体" w:cs="Times New Roman"/>
                      <w:b w:val="0"/>
                      <w:bCs w:val="0"/>
                      <w:sz w:val="21"/>
                      <w:szCs w:val="21"/>
                      <w:u w:val="none"/>
                      <w:lang w:val="en-US" w:eastAsia="zh-CN"/>
                    </w:rPr>
                    <w:t>I易燃性，n感染性</w:t>
                  </w:r>
                  <w:r>
                    <w:rPr>
                      <w:rFonts w:hint="default" w:ascii="Times New Roman" w:hAnsi="Times New Roman" w:eastAsia="宋体" w:cs="Times New Roman"/>
                      <w:b w:val="0"/>
                      <w:bCs w:val="0"/>
                      <w:sz w:val="21"/>
                      <w:szCs w:val="21"/>
                      <w:u w:val="none"/>
                    </w:rPr>
                    <w:t>。</w:t>
                  </w:r>
                </w:p>
              </w:tc>
            </w:tr>
          </w:tbl>
          <w:p>
            <w:pPr>
              <w:spacing w:before="0" w:after="0" w:line="360" w:lineRule="auto"/>
              <w:ind w:firstLine="500" w:firstLineChars="200"/>
              <w:jc w:val="both"/>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本项目危废贮存场所基本情况一览表见下表：</w:t>
            </w:r>
          </w:p>
          <w:p>
            <w:pPr>
              <w:pStyle w:val="3"/>
              <w:spacing w:before="0" w:after="0" w:line="360" w:lineRule="auto"/>
              <w:outlineLvl w:val="0"/>
              <w:rPr>
                <w:rFonts w:hint="default" w:ascii="Times New Roman" w:hAnsi="Times New Roman" w:eastAsia="宋体" w:cs="Times New Roman"/>
                <w:b/>
                <w:sz w:val="24"/>
                <w:szCs w:val="24"/>
                <w:u w:val="none"/>
              </w:rPr>
            </w:pPr>
            <w:r>
              <w:rPr>
                <w:rFonts w:hint="default" w:ascii="Times New Roman" w:hAnsi="Times New Roman" w:eastAsia="宋体" w:cs="Times New Roman"/>
                <w:b/>
                <w:sz w:val="24"/>
                <w:szCs w:val="24"/>
                <w:u w:val="none"/>
              </w:rPr>
              <w:t>表4-1</w:t>
            </w:r>
            <w:r>
              <w:rPr>
                <w:rFonts w:hint="eastAsia" w:cs="Times New Roman"/>
                <w:b/>
                <w:sz w:val="24"/>
                <w:szCs w:val="24"/>
                <w:u w:val="none"/>
                <w:lang w:val="en-US" w:eastAsia="zh-CN"/>
              </w:rPr>
              <w:t>8</w:t>
            </w:r>
            <w:r>
              <w:rPr>
                <w:rFonts w:hint="default" w:ascii="Times New Roman" w:hAnsi="Times New Roman" w:eastAsia="宋体" w:cs="Times New Roman"/>
                <w:b/>
                <w:sz w:val="24"/>
                <w:szCs w:val="24"/>
                <w:u w:val="none"/>
                <w:lang w:val="en-US" w:eastAsia="zh-CN"/>
              </w:rPr>
              <w:t xml:space="preserve">  </w:t>
            </w:r>
            <w:r>
              <w:rPr>
                <w:rFonts w:hint="default" w:ascii="Times New Roman" w:hAnsi="Times New Roman" w:eastAsia="宋体" w:cs="Times New Roman"/>
                <w:b/>
                <w:sz w:val="24"/>
                <w:szCs w:val="24"/>
                <w:u w:val="none"/>
              </w:rPr>
              <w:t>本项目危废贮存场所基本情况一览表</w:t>
            </w:r>
          </w:p>
          <w:tbl>
            <w:tblPr>
              <w:tblStyle w:val="12"/>
              <w:tblW w:w="9003"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275"/>
              <w:gridCol w:w="1065"/>
              <w:gridCol w:w="810"/>
              <w:gridCol w:w="1125"/>
              <w:gridCol w:w="968"/>
              <w:gridCol w:w="709"/>
              <w:gridCol w:w="1023"/>
              <w:gridCol w:w="780"/>
              <w:gridCol w:w="74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9" w:type="dxa"/>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1275" w:type="dxa"/>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贮存场所（设施）名称</w:t>
                  </w:r>
                </w:p>
              </w:tc>
              <w:tc>
                <w:tcPr>
                  <w:tcW w:w="1065" w:type="dxa"/>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危险废物名称</w:t>
                  </w:r>
                </w:p>
              </w:tc>
              <w:tc>
                <w:tcPr>
                  <w:tcW w:w="810" w:type="dxa"/>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危险废物类别</w:t>
                  </w:r>
                </w:p>
              </w:tc>
              <w:tc>
                <w:tcPr>
                  <w:tcW w:w="1125" w:type="dxa"/>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危险废物代码</w:t>
                  </w:r>
                </w:p>
              </w:tc>
              <w:tc>
                <w:tcPr>
                  <w:tcW w:w="968" w:type="dxa"/>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位置</w:t>
                  </w:r>
                </w:p>
              </w:tc>
              <w:tc>
                <w:tcPr>
                  <w:tcW w:w="709" w:type="dxa"/>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占地面积</w:t>
                  </w:r>
                </w:p>
              </w:tc>
              <w:tc>
                <w:tcPr>
                  <w:tcW w:w="1023" w:type="dxa"/>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贮存方式</w:t>
                  </w:r>
                </w:p>
              </w:tc>
              <w:tc>
                <w:tcPr>
                  <w:tcW w:w="780" w:type="dxa"/>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lang w:eastAsia="zh-CN"/>
                    </w:rPr>
                    <w:t>最大</w:t>
                  </w:r>
                  <w:r>
                    <w:rPr>
                      <w:rFonts w:hint="default" w:ascii="Times New Roman" w:hAnsi="Times New Roman" w:eastAsia="宋体" w:cs="Times New Roman"/>
                      <w:b w:val="0"/>
                      <w:bCs w:val="0"/>
                      <w:sz w:val="21"/>
                      <w:szCs w:val="21"/>
                      <w:u w:val="none"/>
                    </w:rPr>
                    <w:t>贮存能力</w:t>
                  </w:r>
                </w:p>
              </w:tc>
              <w:tc>
                <w:tcPr>
                  <w:tcW w:w="749" w:type="dxa"/>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lang w:eastAsia="zh-CN"/>
                    </w:rPr>
                    <w:t>最长</w:t>
                  </w:r>
                  <w:r>
                    <w:rPr>
                      <w:rFonts w:hint="default" w:ascii="Times New Roman" w:hAnsi="Times New Roman" w:eastAsia="宋体" w:cs="Times New Roman"/>
                      <w:b w:val="0"/>
                      <w:bCs w:val="0"/>
                      <w:sz w:val="21"/>
                      <w:szCs w:val="21"/>
                      <w:u w:val="none"/>
                    </w:rPr>
                    <w:t>贮存周期</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499" w:type="dxa"/>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1</w:t>
                  </w:r>
                </w:p>
              </w:tc>
              <w:tc>
                <w:tcPr>
                  <w:tcW w:w="1275" w:type="dxa"/>
                  <w:vMerge w:val="restart"/>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危废暂存间</w:t>
                  </w:r>
                </w:p>
              </w:tc>
              <w:tc>
                <w:tcPr>
                  <w:tcW w:w="1065" w:type="dxa"/>
                  <w:vAlign w:val="center"/>
                </w:tcPr>
                <w:p>
                  <w:pPr>
                    <w:pStyle w:val="6"/>
                    <w:numPr>
                      <w:ilvl w:val="0"/>
                      <w:numId w:val="0"/>
                    </w:numPr>
                    <w:spacing w:before="0" w:after="0" w:line="360" w:lineRule="auto"/>
                    <w:ind w:left="0" w:leftChars="0" w:firstLine="0" w:firstLineChars="0"/>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废活性炭</w:t>
                  </w:r>
                </w:p>
              </w:tc>
              <w:tc>
                <w:tcPr>
                  <w:tcW w:w="810" w:type="dxa"/>
                  <w:vAlign w:val="center"/>
                </w:tcPr>
                <w:p>
                  <w:p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HW</w:t>
                  </w:r>
                  <w:r>
                    <w:rPr>
                      <w:rFonts w:hint="default" w:ascii="Times New Roman" w:hAnsi="Times New Roman" w:eastAsia="宋体" w:cs="Times New Roman"/>
                      <w:b w:val="0"/>
                      <w:bCs w:val="0"/>
                      <w:sz w:val="21"/>
                      <w:szCs w:val="21"/>
                      <w:u w:val="none"/>
                      <w:lang w:val="en-US" w:eastAsia="zh-CN"/>
                    </w:rPr>
                    <w:t>49</w:t>
                  </w:r>
                </w:p>
              </w:tc>
              <w:tc>
                <w:tcPr>
                  <w:tcW w:w="1125" w:type="dxa"/>
                  <w:vAlign w:val="center"/>
                </w:tcPr>
                <w:p>
                  <w:p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900-0</w:t>
                  </w:r>
                  <w:r>
                    <w:rPr>
                      <w:rFonts w:hint="default" w:ascii="Times New Roman" w:hAnsi="Times New Roman" w:eastAsia="宋体" w:cs="Times New Roman"/>
                      <w:b w:val="0"/>
                      <w:bCs w:val="0"/>
                      <w:sz w:val="21"/>
                      <w:szCs w:val="21"/>
                      <w:u w:val="none"/>
                      <w:lang w:val="en-US" w:eastAsia="zh-CN"/>
                    </w:rPr>
                    <w:t>39</w:t>
                  </w:r>
                  <w:r>
                    <w:rPr>
                      <w:rFonts w:hint="default" w:ascii="Times New Roman" w:hAnsi="Times New Roman" w:eastAsia="宋体" w:cs="Times New Roman"/>
                      <w:b w:val="0"/>
                      <w:bCs w:val="0"/>
                      <w:sz w:val="21"/>
                      <w:szCs w:val="21"/>
                      <w:u w:val="none"/>
                    </w:rPr>
                    <w:t>-49</w:t>
                  </w:r>
                </w:p>
              </w:tc>
              <w:tc>
                <w:tcPr>
                  <w:tcW w:w="968" w:type="dxa"/>
                  <w:vMerge w:val="restart"/>
                  <w:vAlign w:val="center"/>
                </w:tcPr>
                <w:p>
                  <w:pPr>
                    <w:pStyle w:val="3"/>
                    <w:spacing w:line="360" w:lineRule="auto"/>
                    <w:outlineLvl w:val="0"/>
                    <w:rPr>
                      <w:rFonts w:hint="default" w:ascii="Times New Roman" w:hAnsi="Times New Roman" w:eastAsia="宋体" w:cs="Times New Roman"/>
                      <w:b w:val="0"/>
                      <w:bCs w:val="0"/>
                      <w:sz w:val="21"/>
                      <w:szCs w:val="21"/>
                      <w:u w:val="none"/>
                      <w:lang w:eastAsia="zh-CN"/>
                    </w:rPr>
                  </w:pPr>
                  <w:r>
                    <w:rPr>
                      <w:rFonts w:hint="default" w:ascii="Times New Roman" w:hAnsi="Times New Roman" w:eastAsia="宋体" w:cs="Times New Roman"/>
                      <w:b w:val="0"/>
                      <w:bCs w:val="0"/>
                      <w:sz w:val="21"/>
                      <w:szCs w:val="21"/>
                      <w:u w:val="none"/>
                      <w:lang w:eastAsia="zh-CN"/>
                    </w:rPr>
                    <w:t>生产车间东侧</w:t>
                  </w:r>
                </w:p>
              </w:tc>
              <w:tc>
                <w:tcPr>
                  <w:tcW w:w="709" w:type="dxa"/>
                  <w:vMerge w:val="restart"/>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lang w:val="en-US" w:eastAsia="zh-CN"/>
                    </w:rPr>
                    <w:t>10</w:t>
                  </w:r>
                  <w:r>
                    <w:rPr>
                      <w:rFonts w:hint="default" w:ascii="Times New Roman" w:hAnsi="Times New Roman" w:eastAsia="宋体" w:cs="Times New Roman"/>
                      <w:b w:val="0"/>
                      <w:bCs w:val="0"/>
                      <w:sz w:val="21"/>
                      <w:szCs w:val="21"/>
                      <w:u w:val="none"/>
                    </w:rPr>
                    <w:t>m</w:t>
                  </w:r>
                  <w:r>
                    <w:rPr>
                      <w:rFonts w:hint="default" w:ascii="Times New Roman" w:hAnsi="Times New Roman" w:eastAsia="宋体" w:cs="Times New Roman"/>
                      <w:b w:val="0"/>
                      <w:bCs w:val="0"/>
                      <w:sz w:val="21"/>
                      <w:szCs w:val="21"/>
                      <w:u w:val="none"/>
                      <w:vertAlign w:val="superscript"/>
                    </w:rPr>
                    <w:t>2</w:t>
                  </w:r>
                </w:p>
              </w:tc>
              <w:tc>
                <w:tcPr>
                  <w:tcW w:w="1023" w:type="dxa"/>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分类用容器密闭存放</w:t>
                  </w:r>
                </w:p>
              </w:tc>
              <w:tc>
                <w:tcPr>
                  <w:tcW w:w="780" w:type="dxa"/>
                  <w:vMerge w:val="restart"/>
                  <w:vAlign w:val="center"/>
                </w:tcPr>
                <w:p>
                  <w:pPr>
                    <w:pStyle w:val="3"/>
                    <w:spacing w:line="360" w:lineRule="auto"/>
                    <w:outlineLvl w:val="0"/>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20</w:t>
                  </w:r>
                  <w:r>
                    <w:rPr>
                      <w:rFonts w:hint="default" w:ascii="Times New Roman" w:hAnsi="Times New Roman" w:eastAsia="宋体" w:cs="Times New Roman"/>
                      <w:b w:val="0"/>
                      <w:bCs w:val="0"/>
                      <w:sz w:val="21"/>
                      <w:szCs w:val="21"/>
                      <w:u w:val="none"/>
                      <w:lang w:val="en-US" w:eastAsia="zh-CN"/>
                    </w:rPr>
                    <w:t>t</w:t>
                  </w:r>
                </w:p>
              </w:tc>
              <w:tc>
                <w:tcPr>
                  <w:tcW w:w="749" w:type="dxa"/>
                  <w:vAlign w:val="center"/>
                </w:tcPr>
                <w:p>
                  <w:pPr>
                    <w:pStyle w:val="3"/>
                    <w:spacing w:line="360" w:lineRule="auto"/>
                    <w:outlineLvl w:val="0"/>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1年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499" w:type="dxa"/>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2</w:t>
                  </w:r>
                </w:p>
              </w:tc>
              <w:tc>
                <w:tcPr>
                  <w:tcW w:w="1275" w:type="dxa"/>
                  <w:vMerge w:val="continue"/>
                  <w:vAlign w:val="center"/>
                </w:tcPr>
                <w:p>
                  <w:pPr>
                    <w:pStyle w:val="3"/>
                    <w:spacing w:line="360" w:lineRule="auto"/>
                    <w:outlineLvl w:val="0"/>
                    <w:rPr>
                      <w:rFonts w:hint="default" w:ascii="Times New Roman" w:hAnsi="Times New Roman" w:eastAsia="宋体" w:cs="Times New Roman"/>
                      <w:b w:val="0"/>
                      <w:bCs w:val="0"/>
                      <w:sz w:val="21"/>
                      <w:szCs w:val="21"/>
                      <w:u w:val="none"/>
                    </w:rPr>
                  </w:pPr>
                </w:p>
              </w:tc>
              <w:tc>
                <w:tcPr>
                  <w:tcW w:w="1065" w:type="dxa"/>
                  <w:vAlign w:val="center"/>
                </w:tcPr>
                <w:p>
                  <w:pPr>
                    <w:pStyle w:val="6"/>
                    <w:numPr>
                      <w:ilvl w:val="0"/>
                      <w:numId w:val="0"/>
                    </w:numPr>
                    <w:spacing w:before="0" w:after="0" w:line="360" w:lineRule="auto"/>
                    <w:ind w:left="0" w:leftChars="0" w:firstLine="0" w:firstLineChars="0"/>
                    <w:jc w:val="center"/>
                    <w:rPr>
                      <w:rFonts w:hint="default" w:ascii="Times New Roman" w:hAnsi="Times New Roman" w:eastAsia="宋体" w:cs="Times New Roman"/>
                      <w:b w:val="0"/>
                      <w:bCs w:val="0"/>
                      <w:sz w:val="21"/>
                      <w:szCs w:val="21"/>
                      <w:u w:val="none"/>
                      <w:lang w:eastAsia="zh-CN"/>
                    </w:rPr>
                  </w:pPr>
                  <w:r>
                    <w:rPr>
                      <w:rFonts w:hint="default" w:ascii="Times New Roman" w:hAnsi="Times New Roman" w:cs="Times New Roman"/>
                      <w:b w:val="0"/>
                      <w:bCs w:val="0"/>
                      <w:sz w:val="21"/>
                      <w:szCs w:val="21"/>
                      <w:u w:val="none"/>
                      <w:lang w:eastAsia="zh-CN"/>
                    </w:rPr>
                    <w:t>废</w:t>
                  </w:r>
                  <w:r>
                    <w:rPr>
                      <w:rFonts w:hint="default" w:ascii="Times New Roman" w:hAnsi="Times New Roman" w:cs="Times New Roman"/>
                      <w:b w:val="0"/>
                      <w:bCs w:val="0"/>
                      <w:sz w:val="21"/>
                      <w:szCs w:val="21"/>
                      <w:u w:val="none"/>
                      <w:lang w:val="en-US" w:eastAsia="zh-CN"/>
                    </w:rPr>
                    <w:t>UV灯管</w:t>
                  </w:r>
                </w:p>
              </w:tc>
              <w:tc>
                <w:tcPr>
                  <w:tcW w:w="810" w:type="dxa"/>
                  <w:vAlign w:val="center"/>
                </w:tcPr>
                <w:p>
                  <w:p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HW</w:t>
                  </w:r>
                  <w:r>
                    <w:rPr>
                      <w:rFonts w:hint="default" w:ascii="Times New Roman" w:hAnsi="Times New Roman" w:eastAsia="宋体" w:cs="Times New Roman"/>
                      <w:b w:val="0"/>
                      <w:bCs w:val="0"/>
                      <w:sz w:val="21"/>
                      <w:szCs w:val="21"/>
                      <w:u w:val="none"/>
                      <w:lang w:val="en-US" w:eastAsia="zh-CN"/>
                    </w:rPr>
                    <w:t>29</w:t>
                  </w:r>
                </w:p>
              </w:tc>
              <w:tc>
                <w:tcPr>
                  <w:tcW w:w="1125" w:type="dxa"/>
                  <w:vAlign w:val="center"/>
                </w:tcPr>
                <w:p>
                  <w:pPr>
                    <w:spacing w:before="0" w:after="0" w:line="360" w:lineRule="auto"/>
                    <w:jc w:val="center"/>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900-023-29</w:t>
                  </w:r>
                </w:p>
              </w:tc>
              <w:tc>
                <w:tcPr>
                  <w:tcW w:w="968" w:type="dxa"/>
                  <w:vMerge w:val="continue"/>
                  <w:vAlign w:val="center"/>
                </w:tcPr>
                <w:p>
                  <w:pPr>
                    <w:pStyle w:val="3"/>
                    <w:spacing w:line="360" w:lineRule="auto"/>
                    <w:outlineLvl w:val="0"/>
                    <w:rPr>
                      <w:rFonts w:hint="default" w:ascii="Times New Roman" w:hAnsi="Times New Roman" w:eastAsia="宋体" w:cs="Times New Roman"/>
                      <w:b w:val="0"/>
                      <w:bCs w:val="0"/>
                      <w:sz w:val="21"/>
                      <w:szCs w:val="21"/>
                      <w:u w:val="none"/>
                    </w:rPr>
                  </w:pPr>
                </w:p>
              </w:tc>
              <w:tc>
                <w:tcPr>
                  <w:tcW w:w="709" w:type="dxa"/>
                  <w:vMerge w:val="continue"/>
                  <w:vAlign w:val="center"/>
                </w:tcPr>
                <w:p>
                  <w:pPr>
                    <w:pStyle w:val="3"/>
                    <w:spacing w:line="360" w:lineRule="auto"/>
                    <w:outlineLvl w:val="0"/>
                    <w:rPr>
                      <w:rFonts w:hint="default" w:ascii="Times New Roman" w:hAnsi="Times New Roman" w:eastAsia="宋体" w:cs="Times New Roman"/>
                      <w:b w:val="0"/>
                      <w:bCs w:val="0"/>
                      <w:sz w:val="21"/>
                      <w:szCs w:val="21"/>
                      <w:u w:val="none"/>
                    </w:rPr>
                  </w:pPr>
                </w:p>
              </w:tc>
              <w:tc>
                <w:tcPr>
                  <w:tcW w:w="1023" w:type="dxa"/>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分类用容器密闭存放</w:t>
                  </w:r>
                </w:p>
              </w:tc>
              <w:tc>
                <w:tcPr>
                  <w:tcW w:w="780" w:type="dxa"/>
                  <w:vMerge w:val="continue"/>
                  <w:vAlign w:val="center"/>
                </w:tcPr>
                <w:p>
                  <w:pPr>
                    <w:pStyle w:val="3"/>
                    <w:spacing w:line="360" w:lineRule="auto"/>
                    <w:outlineLvl w:val="0"/>
                    <w:rPr>
                      <w:rFonts w:hint="default" w:ascii="Times New Roman" w:hAnsi="Times New Roman" w:eastAsia="宋体" w:cs="Times New Roman"/>
                      <w:b w:val="0"/>
                      <w:bCs w:val="0"/>
                      <w:sz w:val="21"/>
                      <w:szCs w:val="21"/>
                      <w:u w:val="none"/>
                    </w:rPr>
                  </w:pPr>
                </w:p>
              </w:tc>
              <w:tc>
                <w:tcPr>
                  <w:tcW w:w="749" w:type="dxa"/>
                  <w:vAlign w:val="center"/>
                </w:tcPr>
                <w:p>
                  <w:pPr>
                    <w:pStyle w:val="3"/>
                    <w:spacing w:line="360" w:lineRule="auto"/>
                    <w:outlineLvl w:val="0"/>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lang w:val="en-US" w:eastAsia="zh-CN"/>
                    </w:rPr>
                    <w:t>1年</w:t>
                  </w:r>
                </w:p>
              </w:tc>
            </w:tr>
          </w:tbl>
          <w:p>
            <w:pPr>
              <w:spacing w:before="0" w:after="0" w:line="360" w:lineRule="auto"/>
              <w:ind w:firstLine="500" w:firstLineChars="200"/>
              <w:jc w:val="both"/>
              <w:rPr>
                <w:rFonts w:hint="default" w:ascii="Times New Roman" w:hAnsi="Times New Roman" w:eastAsia="宋体" w:cs="Times New Roman"/>
                <w:b/>
                <w:bCs/>
                <w:sz w:val="24"/>
                <w:szCs w:val="24"/>
                <w:u w:val="none"/>
              </w:rPr>
            </w:pPr>
            <w:r>
              <w:rPr>
                <w:rFonts w:hint="default" w:ascii="Times New Roman" w:hAnsi="Times New Roman" w:eastAsia="宋体" w:cs="Times New Roman"/>
                <w:b/>
                <w:bCs/>
                <w:sz w:val="24"/>
                <w:szCs w:val="24"/>
                <w:u w:val="none"/>
                <w:lang w:eastAsia="zh-CN"/>
              </w:rPr>
              <w:t>一般固废堆存间建设及管理要求：</w:t>
            </w:r>
          </w:p>
          <w:p>
            <w:pPr>
              <w:spacing w:before="0" w:after="0" w:line="360" w:lineRule="auto"/>
              <w:ind w:firstLine="500" w:firstLineChars="200"/>
              <w:jc w:val="both"/>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一般工业固体废物暂存于一般固废暂存间，执行《中华人民共和国固体废物污染环境防治法（2020 修订）》）中相关要求。各类废物可分类收集、定点堆放在厂区内专设区域。应符合如下要求：①贮存、处置场应采取防渗漏、防雨淋、防扬尘等环境保护</w:t>
            </w:r>
            <w:r>
              <w:rPr>
                <w:rFonts w:hint="default" w:ascii="Times New Roman" w:hAnsi="Times New Roman" w:eastAsia="宋体" w:cs="Times New Roman"/>
                <w:b w:val="0"/>
                <w:bCs w:val="0"/>
                <w:sz w:val="24"/>
                <w:szCs w:val="24"/>
                <w:u w:val="none"/>
                <w:lang w:eastAsia="zh-CN"/>
              </w:rPr>
              <w:t>措施</w:t>
            </w:r>
            <w:r>
              <w:rPr>
                <w:rFonts w:hint="default" w:ascii="Times New Roman" w:hAnsi="Times New Roman" w:eastAsia="宋体" w:cs="Times New Roman"/>
                <w:b w:val="0"/>
                <w:bCs w:val="0"/>
                <w:sz w:val="24"/>
                <w:szCs w:val="24"/>
                <w:u w:val="none"/>
              </w:rPr>
              <w:t>。②贮存、处置场应按 GB15562.2 设置环境保护图形标志。③一般工业固体废物贮存、处置场，禁止危险废物和生活垃圾混入。④应建立档案制度，将一般工业固体废物的种类和数量以及维护信息，详细记录在案，长期保存，供随时查阅。</w:t>
            </w:r>
          </w:p>
          <w:p>
            <w:pPr>
              <w:spacing w:before="0" w:after="0" w:line="360" w:lineRule="auto"/>
              <w:ind w:firstLine="500" w:firstLineChars="200"/>
              <w:jc w:val="both"/>
              <w:rPr>
                <w:rFonts w:hint="default" w:ascii="Times New Roman" w:hAnsi="Times New Roman" w:eastAsia="宋体" w:cs="Times New Roman"/>
                <w:b/>
                <w:bCs/>
                <w:sz w:val="24"/>
                <w:szCs w:val="24"/>
                <w:u w:val="none"/>
              </w:rPr>
            </w:pPr>
            <w:r>
              <w:rPr>
                <w:rFonts w:hint="default" w:ascii="Times New Roman" w:hAnsi="Times New Roman" w:eastAsia="宋体" w:cs="Times New Roman"/>
                <w:b/>
                <w:bCs/>
                <w:sz w:val="24"/>
                <w:szCs w:val="24"/>
                <w:u w:val="none"/>
              </w:rPr>
              <w:t>危废暂存间应满足如下要求：</w:t>
            </w:r>
          </w:p>
          <w:p>
            <w:pPr>
              <w:spacing w:before="0" w:after="0" w:line="360" w:lineRule="auto"/>
              <w:ind w:firstLine="500" w:firstLineChars="200"/>
              <w:jc w:val="both"/>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（1）必须有耐腐蚀的硬化地面和基础防渗层，地面无裂隙；设施底部必须高于地下水最高水位；</w:t>
            </w:r>
          </w:p>
          <w:p>
            <w:pPr>
              <w:spacing w:before="0" w:after="0" w:line="360" w:lineRule="auto"/>
              <w:ind w:firstLine="500" w:firstLineChars="200"/>
              <w:jc w:val="both"/>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（2）危险废物贮存设施应满足“</w:t>
            </w:r>
            <w:r>
              <w:rPr>
                <w:rFonts w:hint="default" w:ascii="Times New Roman" w:hAnsi="Times New Roman" w:eastAsia="宋体" w:cs="Times New Roman"/>
                <w:b w:val="0"/>
                <w:bCs w:val="0"/>
                <w:sz w:val="24"/>
                <w:szCs w:val="24"/>
                <w:u w:val="none"/>
                <w:lang w:eastAsia="zh-CN"/>
              </w:rPr>
              <w:t>六</w:t>
            </w:r>
            <w:r>
              <w:rPr>
                <w:rFonts w:hint="default" w:ascii="Times New Roman" w:hAnsi="Times New Roman" w:eastAsia="宋体" w:cs="Times New Roman"/>
                <w:b w:val="0"/>
                <w:bCs w:val="0"/>
                <w:sz w:val="24"/>
                <w:szCs w:val="24"/>
                <w:u w:val="none"/>
              </w:rPr>
              <w:t>防”要求；贮存设施地面须作硬化处理，场所应有雨棚、围堰或围墙；</w:t>
            </w:r>
          </w:p>
          <w:p>
            <w:pPr>
              <w:spacing w:before="0" w:after="0" w:line="360" w:lineRule="auto"/>
              <w:ind w:firstLine="500" w:firstLineChars="200"/>
              <w:jc w:val="both"/>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（3）应当使用符合标准的容器盛装危险废物，且容器保证完好无损；不同种类的危险废物不得混合，危险废物应分类储存于容器桶中，保证不散失，不泄露，且危废暂存桶内衬材质要与物料不发生反应。</w:t>
            </w:r>
          </w:p>
          <w:p>
            <w:pPr>
              <w:spacing w:before="0" w:after="0" w:line="360" w:lineRule="auto"/>
              <w:ind w:firstLine="500" w:firstLineChars="200"/>
              <w:jc w:val="both"/>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（4）危险废物贮存场所必须设置危险废物警告标志，盛装危险废物的容器上必须粘贴符合标准的标签。标志标签必须保持清晰、完整，如有损坏、退色等不符合标准的情况，应当及时修复或更换；</w:t>
            </w:r>
          </w:p>
          <w:p>
            <w:pPr>
              <w:spacing w:before="0" w:after="0" w:line="360" w:lineRule="auto"/>
              <w:ind w:firstLine="500" w:firstLineChars="200"/>
              <w:jc w:val="both"/>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（5）按《环境保护图形标识—固体废物贮存（处置）场》（GB15562.2）</w:t>
            </w:r>
            <w:r>
              <w:rPr>
                <w:rFonts w:hint="default" w:ascii="Times New Roman" w:hAnsi="Times New Roman" w:eastAsia="宋体" w:cs="Times New Roman"/>
                <w:b w:val="0"/>
                <w:bCs w:val="0"/>
                <w:sz w:val="24"/>
                <w:szCs w:val="24"/>
                <w:u w:val="none"/>
                <w:lang w:eastAsia="zh-CN"/>
              </w:rPr>
              <w:t>和《危险废物识别标志设置技术规范》（HJ 1276-2022）</w:t>
            </w:r>
            <w:r>
              <w:rPr>
                <w:rFonts w:hint="default" w:ascii="Times New Roman" w:hAnsi="Times New Roman" w:eastAsia="宋体" w:cs="Times New Roman"/>
                <w:b w:val="0"/>
                <w:bCs w:val="0"/>
                <w:sz w:val="24"/>
                <w:szCs w:val="24"/>
                <w:u w:val="none"/>
              </w:rPr>
              <w:t>要求设置环境保护图形标志。</w:t>
            </w:r>
          </w:p>
          <w:p>
            <w:pPr>
              <w:spacing w:before="0" w:after="0" w:line="360" w:lineRule="auto"/>
              <w:ind w:firstLine="500" w:firstLineChars="200"/>
              <w:jc w:val="both"/>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（6）危险废物贮存时间最长不得超过1年，定期交由有资质单位合理处置。</w:t>
            </w:r>
          </w:p>
          <w:p>
            <w:pPr>
              <w:spacing w:before="0" w:after="0" w:line="360" w:lineRule="auto"/>
              <w:ind w:firstLine="500" w:firstLineChars="200"/>
              <w:jc w:val="both"/>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（7）危险废物贮存场地不得放置其它物品，保持场地清洁干净，并配备相应的消防器材和个人防护用品等。</w:t>
            </w:r>
          </w:p>
          <w:p>
            <w:pPr>
              <w:spacing w:before="0" w:after="0" w:line="360" w:lineRule="auto"/>
              <w:ind w:firstLine="500" w:firstLineChars="200"/>
              <w:jc w:val="both"/>
              <w:rPr>
                <w:rFonts w:hint="default" w:ascii="Times New Roman" w:hAnsi="Times New Roman" w:eastAsia="宋体" w:cs="Times New Roman"/>
                <w:b/>
                <w:bCs/>
                <w:sz w:val="24"/>
                <w:szCs w:val="24"/>
                <w:u w:val="none"/>
              </w:rPr>
            </w:pPr>
            <w:r>
              <w:rPr>
                <w:rFonts w:hint="default" w:ascii="Times New Roman" w:hAnsi="Times New Roman" w:eastAsia="宋体" w:cs="Times New Roman"/>
                <w:b/>
                <w:bCs/>
                <w:sz w:val="24"/>
                <w:szCs w:val="24"/>
                <w:u w:val="none"/>
              </w:rPr>
              <w:t>危废管理要求：</w:t>
            </w:r>
          </w:p>
          <w:p>
            <w:pPr>
              <w:spacing w:before="0" w:after="0" w:line="360" w:lineRule="auto"/>
              <w:ind w:firstLine="500" w:firstLineChars="200"/>
              <w:jc w:val="both"/>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1）建立危险废物的管理制度，配备专职人员，设立危险废物的产生、收集、贮存、处置台帐，记录反映整个危废物品的产生量、收集量、处置去向和处置数量，做到记录详细、完整。记录上注明危险废物的名称、来源、数量、特性和包装容器的类别、入库日期、存放库位、废物出库日期及接收单位名称。</w:t>
            </w:r>
          </w:p>
          <w:p>
            <w:pPr>
              <w:spacing w:before="0" w:after="0" w:line="360" w:lineRule="auto"/>
              <w:ind w:firstLine="500" w:firstLineChars="200"/>
              <w:jc w:val="both"/>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（2）危险废物交由资质的单位处置或回收、利用，在转运过程中应按环保规定向主管的环保部门提出申请办理转移联单，杜绝非法转移。</w:t>
            </w:r>
          </w:p>
          <w:p>
            <w:pPr>
              <w:spacing w:before="0" w:after="0" w:line="360" w:lineRule="auto"/>
              <w:ind w:firstLine="500" w:firstLineChars="200"/>
              <w:jc w:val="both"/>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（3）定期对所贮存的危险废物包装容器及贮存设施进行检查，发现破损，应及时采取措施清理更换，杜绝跑、冒、滴、漏现象的产生。</w:t>
            </w:r>
          </w:p>
          <w:p>
            <w:pPr>
              <w:spacing w:before="0" w:after="0" w:line="360" w:lineRule="auto"/>
              <w:ind w:firstLine="500" w:firstLineChars="200"/>
              <w:jc w:val="both"/>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（4）禁止将危险废物混入非危险废物中贮存；</w:t>
            </w:r>
          </w:p>
          <w:p>
            <w:pPr>
              <w:spacing w:before="0" w:after="0" w:line="360" w:lineRule="auto"/>
              <w:ind w:firstLine="500" w:firstLineChars="200"/>
              <w:jc w:val="both"/>
              <w:rPr>
                <w:rFonts w:hint="default" w:ascii="Times New Roman" w:hAnsi="Times New Roman" w:eastAsia="宋体" w:cs="Times New Roman"/>
                <w:b w:val="0"/>
                <w:bCs w:val="0"/>
                <w:sz w:val="24"/>
                <w:szCs w:val="24"/>
                <w:u w:val="none"/>
              </w:rPr>
            </w:pPr>
            <w:r>
              <w:rPr>
                <w:rFonts w:hint="default" w:ascii="Times New Roman" w:hAnsi="Times New Roman" w:eastAsia="宋体" w:cs="Times New Roman"/>
                <w:b w:val="0"/>
                <w:bCs w:val="0"/>
                <w:sz w:val="24"/>
                <w:szCs w:val="24"/>
                <w:u w:val="none"/>
              </w:rPr>
              <w:t>（5）企业设置危废管理人员，责任到人，制定相关的管理条例及制度，规定上墙，危废日常管理应做到“定点、定岗、定责”，杜绝人为事故污染。</w:t>
            </w:r>
          </w:p>
          <w:p>
            <w:pPr>
              <w:spacing w:before="0" w:after="0" w:line="360" w:lineRule="auto"/>
              <w:ind w:firstLine="500" w:firstLineChars="200"/>
              <w:jc w:val="both"/>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b w:val="0"/>
                <w:bCs w:val="0"/>
                <w:sz w:val="24"/>
                <w:szCs w:val="24"/>
                <w:u w:val="none"/>
              </w:rPr>
              <w:t>综上所述，项目产生的固体废物通过以上措施处理后，可以得到及时、妥善的处理和处置，不会产生二次污染，对周围环境无明显影响。</w:t>
            </w:r>
          </w:p>
          <w:p>
            <w:pPr>
              <w:numPr>
                <w:ilvl w:val="0"/>
                <w:numId w:val="0"/>
              </w:numPr>
              <w:spacing w:line="360" w:lineRule="auto"/>
              <w:jc w:val="both"/>
              <w:rPr>
                <w:rFonts w:hint="default" w:ascii="Times New Roman" w:hAnsi="Times New Roman" w:cs="Times New Roman"/>
                <w:b/>
                <w:bCs/>
                <w:sz w:val="24"/>
                <w:szCs w:val="24"/>
              </w:rPr>
            </w:pPr>
            <w:r>
              <w:rPr>
                <w:rFonts w:hint="eastAsia" w:ascii="Times New Roman" w:hAnsi="Times New Roman" w:cs="Times New Roman"/>
                <w:b/>
                <w:bCs/>
                <w:sz w:val="24"/>
                <w:szCs w:val="24"/>
                <w:lang w:eastAsia="zh-CN"/>
              </w:rPr>
              <w:t>五、</w:t>
            </w:r>
            <w:r>
              <w:rPr>
                <w:rFonts w:hint="default" w:ascii="Times New Roman" w:hAnsi="Times New Roman" w:cs="Times New Roman"/>
                <w:b/>
                <w:bCs/>
                <w:sz w:val="24"/>
                <w:szCs w:val="24"/>
              </w:rPr>
              <w:t>地下水和土壤环境影响分析</w:t>
            </w:r>
          </w:p>
          <w:p>
            <w:pPr>
              <w:numPr>
                <w:ilvl w:val="0"/>
                <w:numId w:val="0"/>
              </w:num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对于本项目污染防治措施，按照“源头控制、分区防治、污染监控、应急响应”相结合的原则，从污染物的产生、入渗、扩散、应急响应进行控制，具体措施如下</w:t>
            </w:r>
          </w:p>
          <w:p>
            <w:pPr>
              <w:numPr>
                <w:ilvl w:val="0"/>
                <w:numId w:val="0"/>
              </w:num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（1）源头控制</w:t>
            </w:r>
          </w:p>
          <w:p>
            <w:pPr>
              <w:numPr>
                <w:ilvl w:val="0"/>
                <w:numId w:val="0"/>
              </w:num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加强</w:t>
            </w:r>
            <w:r>
              <w:rPr>
                <w:rFonts w:hint="eastAsia" w:ascii="Times New Roman" w:hAnsi="Times New Roman" w:cs="Times New Roman"/>
                <w:b w:val="0"/>
                <w:bCs w:val="0"/>
                <w:sz w:val="24"/>
                <w:szCs w:val="24"/>
                <w:lang w:eastAsia="zh-CN"/>
              </w:rPr>
              <w:t>废活性炭和</w:t>
            </w:r>
            <w:r>
              <w:rPr>
                <w:rFonts w:hint="default" w:ascii="Times New Roman" w:hAnsi="Times New Roman" w:cs="Times New Roman"/>
                <w:b w:val="0"/>
                <w:bCs w:val="0"/>
                <w:sz w:val="24"/>
                <w:szCs w:val="24"/>
              </w:rPr>
              <w:t>废UV灯管的管理妥善存放，防止</w:t>
            </w:r>
            <w:r>
              <w:rPr>
                <w:rFonts w:hint="eastAsia" w:ascii="Times New Roman" w:hAnsi="Times New Roman" w:cs="Times New Roman"/>
                <w:b w:val="0"/>
                <w:bCs w:val="0"/>
                <w:sz w:val="24"/>
                <w:szCs w:val="24"/>
                <w:lang w:eastAsia="zh-CN"/>
              </w:rPr>
              <w:t>存放</w:t>
            </w:r>
            <w:r>
              <w:rPr>
                <w:rFonts w:hint="default" w:ascii="Times New Roman" w:hAnsi="Times New Roman" w:cs="Times New Roman"/>
                <w:b w:val="0"/>
                <w:bCs w:val="0"/>
                <w:sz w:val="24"/>
                <w:szCs w:val="24"/>
              </w:rPr>
              <w:t>容器破裂或倾倒，造成泄漏，地面须作硬化防渗处理。</w:t>
            </w:r>
          </w:p>
          <w:p>
            <w:pPr>
              <w:numPr>
                <w:ilvl w:val="0"/>
                <w:numId w:val="0"/>
              </w:num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（2）分区防治措施</w:t>
            </w:r>
          </w:p>
          <w:p>
            <w:pPr>
              <w:numPr>
                <w:ilvl w:val="0"/>
                <w:numId w:val="0"/>
              </w:num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根据本项目的特点，本项目厂区应实行分区防渗，按不同影响程度将厂区划分为重点防渗区和一般防渗区。</w:t>
            </w:r>
          </w:p>
          <w:p>
            <w:pPr>
              <w:numPr>
                <w:ilvl w:val="0"/>
                <w:numId w:val="0"/>
              </w:num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bCs/>
                <w:sz w:val="24"/>
                <w:szCs w:val="24"/>
              </w:rPr>
              <w:t>一般防渗区：</w:t>
            </w:r>
            <w:r>
              <w:rPr>
                <w:rFonts w:hint="default" w:ascii="Times New Roman" w:hAnsi="Times New Roman" w:cs="Times New Roman"/>
                <w:b w:val="0"/>
                <w:bCs w:val="0"/>
                <w:sz w:val="24"/>
                <w:szCs w:val="24"/>
                <w:u w:val="none"/>
              </w:rPr>
              <w:t>主要为生产车间</w:t>
            </w:r>
            <w:r>
              <w:rPr>
                <w:rFonts w:hint="eastAsia" w:ascii="Times New Roman" w:hAnsi="Times New Roman" w:cs="Times New Roman"/>
                <w:b w:val="0"/>
                <w:bCs w:val="0"/>
                <w:sz w:val="24"/>
                <w:szCs w:val="24"/>
                <w:u w:val="none"/>
                <w:lang w:eastAsia="zh-CN"/>
              </w:rPr>
              <w:t>（除重点防渗区外）</w:t>
            </w:r>
            <w:r>
              <w:rPr>
                <w:rFonts w:hint="default" w:ascii="Times New Roman" w:hAnsi="Times New Roman" w:cs="Times New Roman"/>
                <w:b w:val="0"/>
                <w:bCs w:val="0"/>
                <w:sz w:val="24"/>
                <w:szCs w:val="24"/>
                <w:u w:val="none"/>
              </w:rPr>
              <w:t>、</w:t>
            </w:r>
            <w:r>
              <w:rPr>
                <w:rFonts w:hint="eastAsia" w:ascii="Times New Roman" w:hAnsi="Times New Roman" w:cs="Times New Roman"/>
                <w:b w:val="0"/>
                <w:bCs w:val="0"/>
                <w:sz w:val="24"/>
                <w:szCs w:val="24"/>
                <w:u w:val="none"/>
                <w:lang w:eastAsia="zh-CN"/>
              </w:rPr>
              <w:t>化粪池、冷却水池、喷淋塔循环水池和</w:t>
            </w:r>
            <w:r>
              <w:rPr>
                <w:rFonts w:hint="default" w:ascii="Times New Roman" w:hAnsi="Times New Roman" w:cs="Times New Roman"/>
                <w:b w:val="0"/>
                <w:bCs w:val="0"/>
                <w:sz w:val="24"/>
                <w:szCs w:val="24"/>
                <w:u w:val="none"/>
              </w:rPr>
              <w:t>一般固废暂存间</w:t>
            </w:r>
            <w:r>
              <w:rPr>
                <w:rFonts w:hint="default" w:ascii="Times New Roman" w:hAnsi="Times New Roman" w:cs="Times New Roman"/>
                <w:b w:val="0"/>
                <w:bCs w:val="0"/>
                <w:sz w:val="24"/>
                <w:szCs w:val="24"/>
              </w:rPr>
              <w:t>。一般防渗区参照《一般工业固废贮存、处置场污染控制标准》（GB18599-2020）的相关要求进行防渗设计，防渗层采用抗渗混凝土，防渗性能应相当于渗透系数 1.0×10</w:t>
            </w:r>
            <w:r>
              <w:rPr>
                <w:rFonts w:hint="default" w:ascii="Times New Roman" w:hAnsi="Times New Roman" w:cs="Times New Roman"/>
                <w:b w:val="0"/>
                <w:bCs w:val="0"/>
                <w:sz w:val="24"/>
                <w:szCs w:val="24"/>
                <w:vertAlign w:val="superscript"/>
              </w:rPr>
              <w:t>-7</w:t>
            </w:r>
            <w:r>
              <w:rPr>
                <w:rFonts w:hint="default" w:ascii="Times New Roman" w:hAnsi="Times New Roman" w:cs="Times New Roman"/>
                <w:b w:val="0"/>
                <w:bCs w:val="0"/>
                <w:sz w:val="24"/>
                <w:szCs w:val="24"/>
              </w:rPr>
              <w:t>cm/s 和厚度1.5m的黏土层的防渗性能。</w:t>
            </w:r>
          </w:p>
          <w:p>
            <w:pPr>
              <w:numPr>
                <w:ilvl w:val="0"/>
                <w:numId w:val="0"/>
              </w:num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bCs/>
                <w:sz w:val="24"/>
                <w:szCs w:val="24"/>
              </w:rPr>
              <w:t>重点防渗区：</w:t>
            </w:r>
            <w:r>
              <w:rPr>
                <w:rFonts w:hint="default" w:ascii="Times New Roman" w:hAnsi="Times New Roman" w:cs="Times New Roman"/>
                <w:b w:val="0"/>
                <w:bCs w:val="0"/>
                <w:sz w:val="24"/>
                <w:szCs w:val="24"/>
              </w:rPr>
              <w:t>主要为危险废物暂存间，严格按照《危险废物贮存污染控制标准》（GB18597-2023）的要求规范建设，防渗措施可满足防渗要求，渗透系数≤10</w:t>
            </w:r>
            <w:r>
              <w:rPr>
                <w:rFonts w:hint="default" w:ascii="Times New Roman" w:hAnsi="Times New Roman" w:cs="Times New Roman"/>
                <w:b w:val="0"/>
                <w:bCs w:val="0"/>
                <w:sz w:val="24"/>
                <w:szCs w:val="24"/>
                <w:vertAlign w:val="superscript"/>
              </w:rPr>
              <w:t>-10</w:t>
            </w:r>
            <w:r>
              <w:rPr>
                <w:rFonts w:hint="default" w:ascii="Times New Roman" w:hAnsi="Times New Roman" w:cs="Times New Roman"/>
                <w:b w:val="0"/>
                <w:bCs w:val="0"/>
                <w:sz w:val="24"/>
                <w:szCs w:val="24"/>
              </w:rPr>
              <w:t>cm/s，危险废物贮存设施的地面与裙脚用坚固、防渗的材料建造，建筑材料与危险废物相容（即不相互反应）。</w:t>
            </w:r>
          </w:p>
          <w:p>
            <w:pPr>
              <w:numPr>
                <w:ilvl w:val="0"/>
                <w:numId w:val="0"/>
              </w:num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另外，本项目厂区地面</w:t>
            </w:r>
            <w:r>
              <w:rPr>
                <w:rFonts w:hint="eastAsia" w:ascii="Times New Roman" w:hAnsi="Times New Roman" w:cs="Times New Roman"/>
                <w:b w:val="0"/>
                <w:bCs w:val="0"/>
                <w:sz w:val="24"/>
                <w:szCs w:val="24"/>
                <w:lang w:eastAsia="zh-CN"/>
              </w:rPr>
              <w:t>需</w:t>
            </w:r>
            <w:r>
              <w:rPr>
                <w:rFonts w:hint="default" w:ascii="Times New Roman" w:hAnsi="Times New Roman" w:cs="Times New Roman"/>
                <w:b w:val="0"/>
                <w:bCs w:val="0"/>
                <w:sz w:val="24"/>
                <w:szCs w:val="24"/>
              </w:rPr>
              <w:t>采用硬化等工程防渗措施，能够有效防护上部污染物向含水层中的迁移。</w:t>
            </w:r>
          </w:p>
          <w:p>
            <w:pPr>
              <w:numPr>
                <w:ilvl w:val="0"/>
                <w:numId w:val="0"/>
              </w:numPr>
              <w:spacing w:before="0" w:after="0" w:line="360" w:lineRule="auto"/>
              <w:ind w:firstLine="500" w:firstLineChars="200"/>
              <w:jc w:val="both"/>
              <w:rPr>
                <w:rFonts w:hint="eastAsia" w:ascii="Times New Roman" w:hAnsi="Times New Roman" w:eastAsia="宋体" w:cs="Times New Roman"/>
                <w:b/>
                <w:bCs/>
                <w:sz w:val="24"/>
                <w:szCs w:val="24"/>
                <w:u w:val="none"/>
                <w:lang w:eastAsia="zh-CN"/>
              </w:rPr>
            </w:pPr>
            <w:r>
              <w:rPr>
                <w:rFonts w:hint="eastAsia" w:ascii="Times New Roman" w:hAnsi="Times New Roman" w:eastAsia="宋体" w:cs="Times New Roman"/>
                <w:b/>
                <w:bCs/>
                <w:sz w:val="24"/>
                <w:szCs w:val="24"/>
                <w:u w:val="none"/>
                <w:lang w:eastAsia="zh-CN"/>
              </w:rPr>
              <w:t>土壤大气沉降污染防治措施</w:t>
            </w:r>
          </w:p>
          <w:p>
            <w:pPr>
              <w:numPr>
                <w:ilvl w:val="0"/>
                <w:numId w:val="0"/>
              </w:numPr>
              <w:spacing w:before="0" w:after="0" w:line="360" w:lineRule="auto"/>
              <w:ind w:firstLine="500" w:firstLineChars="200"/>
              <w:jc w:val="both"/>
              <w:rPr>
                <w:rFonts w:hint="eastAsia" w:ascii="Times New Roman" w:hAnsi="Times New Roman" w:eastAsia="宋体" w:cs="Times New Roman"/>
                <w:b w:val="0"/>
                <w:bCs w:val="0"/>
                <w:sz w:val="24"/>
                <w:szCs w:val="24"/>
                <w:u w:val="none"/>
                <w:lang w:eastAsia="zh-CN"/>
              </w:rPr>
            </w:pPr>
            <w:r>
              <w:rPr>
                <w:rFonts w:hint="eastAsia" w:ascii="Times New Roman" w:hAnsi="Times New Roman" w:eastAsia="宋体" w:cs="Times New Roman"/>
                <w:b w:val="0"/>
                <w:bCs w:val="0"/>
                <w:sz w:val="24"/>
                <w:szCs w:val="24"/>
                <w:u w:val="none"/>
                <w:lang w:eastAsia="zh-CN"/>
              </w:rPr>
              <w:t>（1）源头控制措施</w:t>
            </w:r>
          </w:p>
          <w:p>
            <w:pPr>
              <w:numPr>
                <w:ilvl w:val="0"/>
                <w:numId w:val="0"/>
              </w:numPr>
              <w:spacing w:before="0" w:after="0" w:line="360" w:lineRule="auto"/>
              <w:ind w:firstLine="500" w:firstLineChars="200"/>
              <w:jc w:val="both"/>
              <w:rPr>
                <w:rFonts w:hint="eastAsia" w:ascii="Times New Roman" w:hAnsi="Times New Roman" w:eastAsia="宋体" w:cs="Times New Roman"/>
                <w:b w:val="0"/>
                <w:bCs w:val="0"/>
                <w:sz w:val="24"/>
                <w:szCs w:val="24"/>
                <w:u w:val="none"/>
                <w:lang w:eastAsia="zh-CN"/>
              </w:rPr>
            </w:pPr>
            <w:r>
              <w:rPr>
                <w:rFonts w:hint="eastAsia" w:ascii="Times New Roman" w:hAnsi="Times New Roman" w:eastAsia="宋体" w:cs="Times New Roman"/>
                <w:b w:val="0"/>
                <w:bCs w:val="0"/>
                <w:sz w:val="24"/>
                <w:szCs w:val="24"/>
                <w:u w:val="none"/>
                <w:lang w:eastAsia="zh-CN"/>
              </w:rPr>
              <w:t xml:space="preserve">1、本项目选择先进、成熟、可靠的工艺技术和较清洁的原辅材料，并对产生的废物进行合理的回用和治理，以尽可能从源头上减少污染物排放。 </w:t>
            </w:r>
          </w:p>
          <w:p>
            <w:pPr>
              <w:numPr>
                <w:ilvl w:val="0"/>
                <w:numId w:val="0"/>
              </w:numPr>
              <w:spacing w:before="0" w:after="0" w:line="360" w:lineRule="auto"/>
              <w:ind w:firstLine="500" w:firstLineChars="200"/>
              <w:jc w:val="both"/>
              <w:rPr>
                <w:rFonts w:hint="eastAsia" w:ascii="Times New Roman" w:hAnsi="Times New Roman" w:eastAsia="宋体" w:cs="Times New Roman"/>
                <w:b w:val="0"/>
                <w:bCs w:val="0"/>
                <w:sz w:val="24"/>
                <w:szCs w:val="24"/>
                <w:u w:val="none"/>
                <w:lang w:eastAsia="zh-CN"/>
              </w:rPr>
            </w:pPr>
            <w:r>
              <w:rPr>
                <w:rFonts w:hint="eastAsia" w:ascii="Times New Roman" w:hAnsi="Times New Roman" w:cs="Times New Roman"/>
                <w:b w:val="0"/>
                <w:bCs w:val="0"/>
                <w:sz w:val="24"/>
                <w:szCs w:val="24"/>
                <w:u w:val="none"/>
                <w:lang w:val="en-US" w:eastAsia="zh-CN"/>
              </w:rPr>
              <w:t>2</w:t>
            </w:r>
            <w:r>
              <w:rPr>
                <w:rFonts w:hint="eastAsia" w:ascii="Times New Roman" w:hAnsi="Times New Roman" w:eastAsia="宋体" w:cs="Times New Roman"/>
                <w:b w:val="0"/>
                <w:bCs w:val="0"/>
                <w:sz w:val="24"/>
                <w:szCs w:val="24"/>
                <w:u w:val="none"/>
                <w:lang w:eastAsia="zh-CN"/>
              </w:rPr>
              <w:t>、严格按照国家相关规范要求，</w:t>
            </w:r>
            <w:r>
              <w:rPr>
                <w:rFonts w:hint="eastAsia" w:ascii="Times New Roman" w:hAnsi="Times New Roman" w:cs="Times New Roman"/>
                <w:b w:val="0"/>
                <w:bCs w:val="0"/>
                <w:sz w:val="24"/>
                <w:szCs w:val="24"/>
                <w:u w:val="none"/>
                <w:lang w:eastAsia="zh-CN"/>
              </w:rPr>
              <w:t>废活性炭</w:t>
            </w:r>
            <w:r>
              <w:rPr>
                <w:rFonts w:hint="eastAsia" w:ascii="Times New Roman" w:hAnsi="Times New Roman" w:eastAsia="宋体" w:cs="Times New Roman"/>
                <w:b w:val="0"/>
                <w:bCs w:val="0"/>
                <w:sz w:val="24"/>
                <w:szCs w:val="24"/>
                <w:u w:val="none"/>
                <w:lang w:eastAsia="zh-CN"/>
              </w:rPr>
              <w:t>密闭储存</w:t>
            </w:r>
            <w:r>
              <w:rPr>
                <w:rFonts w:hint="eastAsia" w:ascii="Times New Roman" w:hAnsi="Times New Roman" w:cs="Times New Roman"/>
                <w:b w:val="0"/>
                <w:bCs w:val="0"/>
                <w:sz w:val="24"/>
                <w:szCs w:val="24"/>
                <w:u w:val="none"/>
                <w:lang w:eastAsia="zh-CN"/>
              </w:rPr>
              <w:t>在危废暂存间</w:t>
            </w:r>
            <w:r>
              <w:rPr>
                <w:rFonts w:hint="eastAsia" w:ascii="Times New Roman" w:hAnsi="Times New Roman" w:eastAsia="宋体" w:cs="Times New Roman"/>
                <w:b w:val="0"/>
                <w:bCs w:val="0"/>
                <w:sz w:val="24"/>
                <w:szCs w:val="24"/>
                <w:u w:val="none"/>
                <w:lang w:eastAsia="zh-CN"/>
              </w:rPr>
              <w:t xml:space="preserve">；对工艺设备定期检查、检修，从源头上控制和杜绝污染物的跑、冒、滴、漏。 </w:t>
            </w:r>
          </w:p>
          <w:p>
            <w:pPr>
              <w:numPr>
                <w:ilvl w:val="0"/>
                <w:numId w:val="0"/>
              </w:numPr>
              <w:spacing w:before="0" w:after="0" w:line="360" w:lineRule="auto"/>
              <w:ind w:firstLine="500" w:firstLineChars="200"/>
              <w:jc w:val="both"/>
              <w:rPr>
                <w:rFonts w:hint="eastAsia" w:ascii="Times New Roman" w:hAnsi="Times New Roman" w:eastAsia="宋体" w:cs="Times New Roman"/>
                <w:b w:val="0"/>
                <w:bCs w:val="0"/>
                <w:sz w:val="24"/>
                <w:szCs w:val="24"/>
                <w:u w:val="none"/>
                <w:lang w:eastAsia="zh-CN"/>
              </w:rPr>
            </w:pPr>
            <w:r>
              <w:rPr>
                <w:rFonts w:hint="eastAsia" w:ascii="Times New Roman" w:hAnsi="Times New Roman" w:cs="Times New Roman"/>
                <w:b w:val="0"/>
                <w:bCs w:val="0"/>
                <w:sz w:val="24"/>
                <w:szCs w:val="24"/>
                <w:u w:val="none"/>
                <w:lang w:val="en-US" w:eastAsia="zh-CN"/>
              </w:rPr>
              <w:t>3</w:t>
            </w:r>
            <w:r>
              <w:rPr>
                <w:rFonts w:hint="eastAsia" w:ascii="Times New Roman" w:hAnsi="Times New Roman" w:eastAsia="宋体" w:cs="Times New Roman"/>
                <w:b w:val="0"/>
                <w:bCs w:val="0"/>
                <w:sz w:val="24"/>
                <w:szCs w:val="24"/>
                <w:u w:val="none"/>
                <w:lang w:eastAsia="zh-CN"/>
              </w:rPr>
              <w:t xml:space="preserve">、切实贯彻执行“预防为主、防治结合”的方针，生产区全部进行硬化并进行防渗处理，严禁下渗污染。 </w:t>
            </w:r>
          </w:p>
          <w:p>
            <w:pPr>
              <w:numPr>
                <w:ilvl w:val="0"/>
                <w:numId w:val="0"/>
              </w:numPr>
              <w:spacing w:before="0" w:after="0" w:line="360" w:lineRule="auto"/>
              <w:ind w:firstLine="500" w:firstLineChars="200"/>
              <w:jc w:val="both"/>
              <w:rPr>
                <w:rFonts w:hint="eastAsia" w:ascii="Times New Roman" w:hAnsi="Times New Roman" w:eastAsia="宋体" w:cs="Times New Roman"/>
                <w:b w:val="0"/>
                <w:bCs w:val="0"/>
                <w:sz w:val="24"/>
                <w:szCs w:val="24"/>
                <w:u w:val="none"/>
                <w:lang w:eastAsia="zh-CN"/>
              </w:rPr>
            </w:pPr>
            <w:r>
              <w:rPr>
                <w:rFonts w:hint="eastAsia" w:ascii="Times New Roman" w:hAnsi="Times New Roman" w:eastAsia="宋体" w:cs="Times New Roman"/>
                <w:b w:val="0"/>
                <w:bCs w:val="0"/>
                <w:sz w:val="24"/>
                <w:szCs w:val="24"/>
                <w:u w:val="none"/>
                <w:lang w:eastAsia="zh-CN"/>
              </w:rPr>
              <w:t xml:space="preserve">（2）过程防控措施 </w:t>
            </w:r>
          </w:p>
          <w:p>
            <w:pPr>
              <w:numPr>
                <w:ilvl w:val="0"/>
                <w:numId w:val="0"/>
              </w:numPr>
              <w:spacing w:before="0" w:after="0" w:line="360" w:lineRule="auto"/>
              <w:ind w:firstLine="500" w:firstLineChars="200"/>
              <w:jc w:val="both"/>
              <w:rPr>
                <w:rFonts w:hint="eastAsia" w:ascii="Times New Roman" w:hAnsi="Times New Roman" w:eastAsia="宋体" w:cs="Times New Roman"/>
                <w:b w:val="0"/>
                <w:bCs w:val="0"/>
                <w:sz w:val="24"/>
                <w:szCs w:val="24"/>
                <w:u w:val="none"/>
                <w:lang w:eastAsia="zh-CN"/>
              </w:rPr>
            </w:pPr>
            <w:r>
              <w:rPr>
                <w:rFonts w:hint="eastAsia" w:ascii="Times New Roman" w:hAnsi="Times New Roman" w:eastAsia="宋体" w:cs="Times New Roman"/>
                <w:b w:val="0"/>
                <w:bCs w:val="0"/>
                <w:sz w:val="24"/>
                <w:szCs w:val="24"/>
                <w:u w:val="none"/>
                <w:lang w:eastAsia="zh-CN"/>
              </w:rPr>
              <w:t xml:space="preserve">1、占地范围内采取绿化措施，种植具有较强吸附能力的植物为主，对大气沉降污染物进行吸附去除； </w:t>
            </w:r>
          </w:p>
          <w:p>
            <w:pPr>
              <w:numPr>
                <w:ilvl w:val="0"/>
                <w:numId w:val="0"/>
              </w:numPr>
              <w:spacing w:before="0" w:after="0" w:line="360" w:lineRule="auto"/>
              <w:ind w:firstLine="500" w:firstLineChars="200"/>
              <w:jc w:val="both"/>
              <w:rPr>
                <w:rFonts w:hint="eastAsia" w:ascii="Times New Roman" w:hAnsi="Times New Roman" w:eastAsia="宋体" w:cs="Times New Roman"/>
                <w:b w:val="0"/>
                <w:bCs w:val="0"/>
                <w:sz w:val="24"/>
                <w:szCs w:val="24"/>
                <w:u w:val="none"/>
                <w:lang w:eastAsia="zh-CN"/>
              </w:rPr>
            </w:pPr>
            <w:r>
              <w:rPr>
                <w:rFonts w:hint="eastAsia" w:ascii="Times New Roman" w:hAnsi="Times New Roman" w:eastAsia="宋体" w:cs="Times New Roman"/>
                <w:b w:val="0"/>
                <w:bCs w:val="0"/>
                <w:sz w:val="24"/>
                <w:szCs w:val="24"/>
                <w:u w:val="none"/>
                <w:lang w:eastAsia="zh-CN"/>
              </w:rPr>
              <w:t>2、</w:t>
            </w:r>
            <w:r>
              <w:rPr>
                <w:rFonts w:hint="eastAsia" w:ascii="Times New Roman" w:hAnsi="Times New Roman" w:cs="Times New Roman"/>
                <w:b w:val="0"/>
                <w:bCs w:val="0"/>
                <w:sz w:val="24"/>
                <w:szCs w:val="24"/>
                <w:u w:val="none"/>
                <w:lang w:eastAsia="zh-CN"/>
              </w:rPr>
              <w:t>生产车间</w:t>
            </w:r>
            <w:r>
              <w:rPr>
                <w:rFonts w:hint="eastAsia" w:ascii="Times New Roman" w:hAnsi="Times New Roman" w:eastAsia="宋体" w:cs="Times New Roman"/>
                <w:b w:val="0"/>
                <w:bCs w:val="0"/>
                <w:sz w:val="24"/>
                <w:szCs w:val="24"/>
                <w:u w:val="none"/>
                <w:lang w:eastAsia="zh-CN"/>
              </w:rPr>
              <w:t>地面设置</w:t>
            </w:r>
            <w:r>
              <w:rPr>
                <w:rFonts w:hint="eastAsia" w:ascii="Times New Roman" w:hAnsi="Times New Roman" w:cs="Times New Roman"/>
                <w:b w:val="0"/>
                <w:bCs w:val="0"/>
                <w:sz w:val="24"/>
                <w:szCs w:val="24"/>
                <w:u w:val="none"/>
                <w:lang w:eastAsia="zh-CN"/>
              </w:rPr>
              <w:t>防渗</w:t>
            </w:r>
            <w:r>
              <w:rPr>
                <w:rFonts w:hint="eastAsia" w:ascii="Times New Roman" w:hAnsi="Times New Roman" w:eastAsia="宋体" w:cs="Times New Roman"/>
                <w:b w:val="0"/>
                <w:bCs w:val="0"/>
                <w:sz w:val="24"/>
                <w:szCs w:val="24"/>
                <w:u w:val="none"/>
                <w:lang w:eastAsia="zh-CN"/>
              </w:rPr>
              <w:t>地面</w:t>
            </w:r>
            <w:r>
              <w:rPr>
                <w:rFonts w:hint="eastAsia" w:ascii="Times New Roman" w:hAnsi="Times New Roman" w:cs="Times New Roman"/>
                <w:b w:val="0"/>
                <w:bCs w:val="0"/>
                <w:sz w:val="24"/>
                <w:szCs w:val="24"/>
                <w:u w:val="none"/>
                <w:lang w:eastAsia="zh-CN"/>
              </w:rPr>
              <w:t>，</w:t>
            </w:r>
            <w:r>
              <w:rPr>
                <w:rFonts w:hint="default" w:ascii="Times New Roman" w:hAnsi="Times New Roman" w:eastAsia="宋体" w:cs="Times New Roman"/>
                <w:b w:val="0"/>
                <w:bCs w:val="0"/>
                <w:sz w:val="24"/>
                <w:szCs w:val="24"/>
                <w:u w:val="none"/>
              </w:rPr>
              <w:t>危险废物贮存设施应满足“</w:t>
            </w:r>
            <w:r>
              <w:rPr>
                <w:rFonts w:hint="default" w:ascii="Times New Roman" w:hAnsi="Times New Roman" w:eastAsia="宋体" w:cs="Times New Roman"/>
                <w:b w:val="0"/>
                <w:bCs w:val="0"/>
                <w:sz w:val="24"/>
                <w:szCs w:val="24"/>
                <w:u w:val="none"/>
                <w:lang w:eastAsia="zh-CN"/>
              </w:rPr>
              <w:t>六</w:t>
            </w:r>
            <w:r>
              <w:rPr>
                <w:rFonts w:hint="default" w:ascii="Times New Roman" w:hAnsi="Times New Roman" w:eastAsia="宋体" w:cs="Times New Roman"/>
                <w:b w:val="0"/>
                <w:bCs w:val="0"/>
                <w:sz w:val="24"/>
                <w:szCs w:val="24"/>
                <w:u w:val="none"/>
              </w:rPr>
              <w:t>防”要求；贮存设施地面须作硬化处理，场所应有雨棚、围堰或围墙</w:t>
            </w:r>
            <w:r>
              <w:rPr>
                <w:rFonts w:hint="eastAsia" w:ascii="Times New Roman" w:hAnsi="Times New Roman" w:eastAsia="宋体" w:cs="Times New Roman"/>
                <w:b w:val="0"/>
                <w:bCs w:val="0"/>
                <w:sz w:val="24"/>
                <w:szCs w:val="24"/>
                <w:u w:val="none"/>
                <w:lang w:eastAsia="zh-CN"/>
              </w:rPr>
              <w:t>，以防止泄漏污染物漫流造成土壤环境污染</w:t>
            </w:r>
            <w:r>
              <w:rPr>
                <w:rFonts w:hint="eastAsia" w:ascii="Times New Roman" w:hAnsi="Times New Roman" w:cs="Times New Roman"/>
                <w:b w:val="0"/>
                <w:bCs w:val="0"/>
                <w:sz w:val="24"/>
                <w:szCs w:val="24"/>
                <w:u w:val="none"/>
                <w:lang w:eastAsia="zh-CN"/>
              </w:rPr>
              <w:t>。</w:t>
            </w:r>
          </w:p>
          <w:p>
            <w:pPr>
              <w:numPr>
                <w:ilvl w:val="0"/>
                <w:numId w:val="0"/>
              </w:numPr>
              <w:spacing w:before="0" w:after="0" w:line="360" w:lineRule="auto"/>
              <w:ind w:firstLine="500" w:firstLineChars="200"/>
              <w:jc w:val="both"/>
              <w:rPr>
                <w:rFonts w:hint="default" w:ascii="Times New Roman" w:hAnsi="Times New Roman" w:cs="Times New Roman"/>
                <w:b w:val="0"/>
                <w:bCs w:val="0"/>
                <w:sz w:val="24"/>
                <w:szCs w:val="24"/>
                <w:u w:val="none"/>
              </w:rPr>
            </w:pPr>
            <w:r>
              <w:rPr>
                <w:rFonts w:hint="default" w:ascii="Times New Roman" w:hAnsi="Times New Roman" w:cs="Times New Roman"/>
                <w:b w:val="0"/>
                <w:bCs w:val="0"/>
                <w:sz w:val="24"/>
                <w:szCs w:val="24"/>
                <w:u w:val="none"/>
              </w:rPr>
              <w:t>综上所述，本项目厂区范围内</w:t>
            </w:r>
            <w:r>
              <w:rPr>
                <w:rFonts w:hint="eastAsia" w:ascii="Times New Roman" w:hAnsi="Times New Roman" w:cs="Times New Roman"/>
                <w:b w:val="0"/>
                <w:bCs w:val="0"/>
                <w:sz w:val="24"/>
                <w:szCs w:val="24"/>
                <w:u w:val="none"/>
                <w:lang w:eastAsia="zh-CN"/>
              </w:rPr>
              <w:t>均</w:t>
            </w:r>
            <w:r>
              <w:rPr>
                <w:rFonts w:hint="default" w:ascii="Times New Roman" w:hAnsi="Times New Roman" w:cs="Times New Roman"/>
                <w:b w:val="0"/>
                <w:bCs w:val="0"/>
                <w:sz w:val="24"/>
                <w:szCs w:val="24"/>
                <w:u w:val="none"/>
              </w:rPr>
              <w:t>采取硬化措施，采取有效的防渗、防漏措施，</w:t>
            </w:r>
          </w:p>
          <w:p>
            <w:pPr>
              <w:numPr>
                <w:ilvl w:val="0"/>
                <w:numId w:val="0"/>
              </w:numPr>
              <w:spacing w:before="0" w:after="0" w:line="360" w:lineRule="auto"/>
              <w:jc w:val="both"/>
              <w:rPr>
                <w:rFonts w:hint="default" w:ascii="Times New Roman" w:hAnsi="Times New Roman" w:cs="Times New Roman"/>
                <w:b w:val="0"/>
                <w:bCs w:val="0"/>
                <w:sz w:val="24"/>
                <w:szCs w:val="24"/>
                <w:u w:val="none"/>
              </w:rPr>
            </w:pPr>
            <w:r>
              <w:rPr>
                <w:rFonts w:hint="default" w:ascii="Times New Roman" w:hAnsi="Times New Roman" w:cs="Times New Roman"/>
                <w:b w:val="0"/>
                <w:bCs w:val="0"/>
                <w:sz w:val="24"/>
                <w:szCs w:val="24"/>
                <w:u w:val="none"/>
              </w:rPr>
              <w:t>则本项目无地下水及土壤污染途径，故不开展土壤及地下水环境影响评价。</w:t>
            </w:r>
          </w:p>
          <w:p>
            <w:pPr>
              <w:numPr>
                <w:ilvl w:val="0"/>
                <w:numId w:val="0"/>
              </w:numPr>
              <w:spacing w:before="0" w:after="0" w:line="360" w:lineRule="auto"/>
              <w:jc w:val="both"/>
              <w:rPr>
                <w:rFonts w:hint="default" w:ascii="Times New Roman" w:hAnsi="Times New Roman" w:cs="Times New Roman"/>
                <w:b/>
                <w:bCs/>
                <w:sz w:val="24"/>
                <w:szCs w:val="24"/>
              </w:rPr>
            </w:pPr>
            <w:r>
              <w:rPr>
                <w:rFonts w:hint="eastAsia" w:ascii="Times New Roman" w:hAnsi="Times New Roman" w:cs="Times New Roman"/>
                <w:b/>
                <w:bCs/>
                <w:sz w:val="24"/>
                <w:szCs w:val="24"/>
                <w:lang w:eastAsia="zh-CN"/>
              </w:rPr>
              <w:t>六、</w:t>
            </w:r>
            <w:r>
              <w:rPr>
                <w:rFonts w:hint="default" w:ascii="Times New Roman" w:hAnsi="Times New Roman" w:cs="Times New Roman"/>
                <w:b/>
                <w:bCs/>
                <w:sz w:val="24"/>
                <w:szCs w:val="24"/>
              </w:rPr>
              <w:t>环境风险影响分析</w:t>
            </w:r>
          </w:p>
          <w:p>
            <w:pPr>
              <w:spacing w:before="0" w:after="0" w:line="360" w:lineRule="auto"/>
              <w:ind w:firstLine="500" w:firstLineChars="200"/>
              <w:jc w:val="both"/>
              <w:rPr>
                <w:rFonts w:hint="default" w:ascii="Times New Roman" w:hAnsi="Times New Roman" w:cs="Times New Roman"/>
                <w:b/>
                <w:bCs/>
                <w:sz w:val="24"/>
                <w:szCs w:val="24"/>
              </w:rPr>
            </w:pPr>
            <w:r>
              <w:rPr>
                <w:rFonts w:hint="default" w:ascii="Times New Roman" w:hAnsi="Times New Roman" w:cs="Times New Roman"/>
                <w:sz w:val="24"/>
                <w:szCs w:val="24"/>
              </w:rPr>
              <w:t>根据《建设项目环境风险评价技术导则》（HJ169-2018）附录 B，危险物质数量和分布情况详见下表 4-1</w:t>
            </w:r>
            <w:r>
              <w:rPr>
                <w:rFonts w:hint="eastAsia" w:ascii="Times New Roman" w:hAnsi="Times New Roman" w:cs="Times New Roman"/>
                <w:sz w:val="24"/>
                <w:szCs w:val="24"/>
                <w:lang w:val="en-US" w:eastAsia="zh-CN"/>
              </w:rPr>
              <w:t>9</w:t>
            </w:r>
            <w:r>
              <w:rPr>
                <w:rFonts w:hint="default" w:ascii="Times New Roman" w:hAnsi="Times New Roman" w:cs="Times New Roman"/>
                <w:sz w:val="24"/>
                <w:szCs w:val="24"/>
              </w:rPr>
              <w:t>。</w:t>
            </w:r>
          </w:p>
          <w:p>
            <w:pPr>
              <w:spacing w:before="0" w:after="0" w:line="360" w:lineRule="auto"/>
              <w:ind w:left="440" w:leftChars="200"/>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表4-1</w:t>
            </w:r>
            <w:r>
              <w:rPr>
                <w:rFonts w:hint="eastAsia" w:ascii="Times New Roman" w:hAnsi="Times New Roman" w:cs="Times New Roman"/>
                <w:b/>
                <w:bCs/>
                <w:sz w:val="24"/>
                <w:szCs w:val="24"/>
                <w:lang w:val="en-US" w:eastAsia="zh-CN"/>
              </w:rPr>
              <w:t>9</w:t>
            </w:r>
            <w:r>
              <w:rPr>
                <w:rFonts w:hint="default" w:ascii="Times New Roman" w:hAnsi="Times New Roman" w:cs="Times New Roman"/>
                <w:b/>
                <w:bCs/>
                <w:sz w:val="24"/>
                <w:szCs w:val="24"/>
              </w:rPr>
              <w:t xml:space="preserve">    本项目主要风险物质贮存量及临界量</w:t>
            </w:r>
          </w:p>
          <w:tbl>
            <w:tblPr>
              <w:tblStyle w:val="22"/>
              <w:tblW w:w="895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0"/>
              <w:gridCol w:w="1180"/>
              <w:gridCol w:w="1799"/>
              <w:gridCol w:w="1052"/>
              <w:gridCol w:w="1404"/>
              <w:gridCol w:w="1095"/>
              <w:gridCol w:w="1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6" w:hRule="atLeast"/>
                <w:jc w:val="center"/>
              </w:trPr>
              <w:tc>
                <w:tcPr>
                  <w:tcW w:w="670" w:type="dxa"/>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180" w:type="dxa"/>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799" w:type="dxa"/>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主要危险成分</w:t>
                  </w:r>
                </w:p>
              </w:tc>
              <w:tc>
                <w:tcPr>
                  <w:tcW w:w="1052" w:type="dxa"/>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临界量/t</w:t>
                  </w:r>
                </w:p>
              </w:tc>
              <w:tc>
                <w:tcPr>
                  <w:tcW w:w="1404" w:type="dxa"/>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最大存在总量/t</w:t>
                  </w:r>
                </w:p>
              </w:tc>
              <w:tc>
                <w:tcPr>
                  <w:tcW w:w="1095" w:type="dxa"/>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Q 值</w:t>
                  </w:r>
                </w:p>
              </w:tc>
              <w:tc>
                <w:tcPr>
                  <w:tcW w:w="1755" w:type="dxa"/>
                  <w:tcBorders>
                    <w:tl2br w:val="nil"/>
                    <w:tr2bl w:val="nil"/>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储存位置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1" w:hRule="atLeast"/>
                <w:jc w:val="center"/>
              </w:trPr>
              <w:tc>
                <w:tcPr>
                  <w:tcW w:w="670" w:type="dxa"/>
                  <w:tcBorders>
                    <w:tl2br w:val="nil"/>
                    <w:tr2bl w:val="nil"/>
                  </w:tcBorders>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1</w:t>
                  </w:r>
                </w:p>
              </w:tc>
              <w:tc>
                <w:tcPr>
                  <w:tcW w:w="1180" w:type="dxa"/>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废活性炭</w:t>
                  </w:r>
                </w:p>
              </w:tc>
              <w:tc>
                <w:tcPr>
                  <w:tcW w:w="1799" w:type="dxa"/>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危害水环境物质</w:t>
                  </w:r>
                </w:p>
              </w:tc>
              <w:tc>
                <w:tcPr>
                  <w:tcW w:w="1052" w:type="dxa"/>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1404" w:type="dxa"/>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6.83</w:t>
                  </w:r>
                </w:p>
              </w:tc>
              <w:tc>
                <w:tcPr>
                  <w:tcW w:w="1095" w:type="dxa"/>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0.0683</w:t>
                  </w:r>
                </w:p>
              </w:tc>
              <w:tc>
                <w:tcPr>
                  <w:tcW w:w="1755" w:type="dxa"/>
                  <w:tcBorders>
                    <w:tl2br w:val="nil"/>
                    <w:tr2bl w:val="nil"/>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w:t>
                  </w:r>
                </w:p>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暂存间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jc w:val="center"/>
              </w:trPr>
              <w:tc>
                <w:tcPr>
                  <w:tcW w:w="670" w:type="dxa"/>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1180" w:type="dxa"/>
                  <w:tcBorders>
                    <w:tl2br w:val="nil"/>
                    <w:tr2bl w:val="nil"/>
                  </w:tcBorders>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合计</w:t>
                  </w:r>
                </w:p>
              </w:tc>
              <w:tc>
                <w:tcPr>
                  <w:tcW w:w="1799" w:type="dxa"/>
                  <w:tcBorders>
                    <w:tl2br w:val="nil"/>
                    <w:tr2bl w:val="nil"/>
                  </w:tcBorders>
                  <w:vAlign w:val="center"/>
                </w:tcPr>
                <w:p>
                  <w:pPr>
                    <w:bidi w:val="0"/>
                    <w:jc w:val="center"/>
                    <w:rPr>
                      <w:rFonts w:hint="default" w:ascii="Times New Roman" w:hAnsi="Times New Roman" w:eastAsia="宋体" w:cs="Times New Roman"/>
                      <w:sz w:val="21"/>
                      <w:szCs w:val="21"/>
                      <w:lang w:eastAsia="zh-CN"/>
                    </w:rPr>
                  </w:pPr>
                </w:p>
              </w:tc>
              <w:tc>
                <w:tcPr>
                  <w:tcW w:w="1052" w:type="dxa"/>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p>
              </w:tc>
              <w:tc>
                <w:tcPr>
                  <w:tcW w:w="1404" w:type="dxa"/>
                  <w:tcBorders>
                    <w:tl2br w:val="nil"/>
                    <w:tr2bl w:val="nil"/>
                  </w:tcBorders>
                  <w:vAlign w:val="center"/>
                </w:tcPr>
                <w:p>
                  <w:pPr>
                    <w:bidi w:val="0"/>
                    <w:jc w:val="center"/>
                    <w:rPr>
                      <w:rFonts w:hint="default" w:ascii="Times New Roman" w:hAnsi="Times New Roman" w:eastAsia="宋体" w:cs="Times New Roman"/>
                      <w:sz w:val="21"/>
                      <w:szCs w:val="21"/>
                    </w:rPr>
                  </w:pPr>
                </w:p>
              </w:tc>
              <w:tc>
                <w:tcPr>
                  <w:tcW w:w="1095" w:type="dxa"/>
                  <w:tcBorders>
                    <w:tl2br w:val="nil"/>
                    <w:tr2bl w:val="nil"/>
                  </w:tcBorders>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0.0683</w:t>
                  </w:r>
                </w:p>
              </w:tc>
              <w:tc>
                <w:tcPr>
                  <w:tcW w:w="1755" w:type="dxa"/>
                  <w:tcBorders>
                    <w:tl2br w:val="nil"/>
                    <w:tr2bl w:val="nil"/>
                  </w:tcBorders>
                  <w:vAlign w:val="center"/>
                </w:tcPr>
                <w:p>
                  <w:pPr>
                    <w:bidi w:val="0"/>
                    <w:jc w:val="center"/>
                    <w:rPr>
                      <w:rFonts w:hint="default" w:ascii="Times New Roman" w:hAnsi="Times New Roman" w:eastAsia="宋体" w:cs="Times New Roman"/>
                      <w:sz w:val="21"/>
                      <w:szCs w:val="21"/>
                    </w:rPr>
                  </w:pPr>
                </w:p>
              </w:tc>
            </w:tr>
          </w:tbl>
          <w:p>
            <w:pPr>
              <w:spacing w:before="0" w:after="0" w:line="360" w:lineRule="auto"/>
              <w:ind w:firstLine="500" w:firstLineChars="200"/>
              <w:jc w:val="both"/>
              <w:rPr>
                <w:rFonts w:hint="default" w:ascii="Times New Roman" w:hAnsi="Times New Roman" w:eastAsia="宋体" w:cs="Times New Roman"/>
                <w:b w:val="0"/>
                <w:bCs w:val="0"/>
                <w:sz w:val="24"/>
                <w:szCs w:val="24"/>
                <w:u w:val="none"/>
                <w:lang w:val="en-US" w:eastAsia="zh-CN"/>
              </w:rPr>
            </w:pPr>
            <w:r>
              <w:rPr>
                <w:rFonts w:hint="eastAsia" w:ascii="Times New Roman" w:hAnsi="Times New Roman" w:cs="Times New Roman"/>
                <w:b w:val="0"/>
                <w:bCs w:val="0"/>
                <w:sz w:val="24"/>
                <w:szCs w:val="24"/>
                <w:u w:val="none"/>
                <w:lang w:eastAsia="zh-CN"/>
              </w:rPr>
              <w:t>备注：</w:t>
            </w:r>
            <w:r>
              <w:rPr>
                <w:rFonts w:hint="eastAsia" w:ascii="Times New Roman" w:hAnsi="Times New Roman" w:cs="Times New Roman"/>
                <w:b w:val="0"/>
                <w:bCs w:val="0"/>
                <w:sz w:val="24"/>
                <w:szCs w:val="24"/>
                <w:u w:val="none"/>
                <w:lang w:val="en-US" w:eastAsia="zh-CN"/>
              </w:rPr>
              <w:t>废活性炭依据表B.2中危害水环境物质（急性毒性类别1）</w:t>
            </w:r>
          </w:p>
          <w:p>
            <w:p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上表可知，危险物质总量与其临界量比值 Q=0.</w:t>
            </w:r>
            <w:r>
              <w:rPr>
                <w:rFonts w:hint="eastAsia" w:ascii="Times New Roman" w:hAnsi="Times New Roman" w:cs="Times New Roman"/>
                <w:b w:val="0"/>
                <w:bCs w:val="0"/>
                <w:sz w:val="24"/>
                <w:szCs w:val="24"/>
                <w:lang w:val="en-US" w:eastAsia="zh-CN"/>
              </w:rPr>
              <w:t>0683</w:t>
            </w:r>
            <w:r>
              <w:rPr>
                <w:rFonts w:hint="default" w:ascii="Times New Roman" w:hAnsi="Times New Roman" w:cs="Times New Roman"/>
                <w:b w:val="0"/>
                <w:bCs w:val="0"/>
                <w:sz w:val="24"/>
                <w:szCs w:val="24"/>
              </w:rPr>
              <w:t>＜1，评价工作等级为简单分析。</w:t>
            </w:r>
          </w:p>
          <w:p>
            <w:pPr>
              <w:spacing w:before="0" w:after="0" w:line="360" w:lineRule="auto"/>
              <w:ind w:left="440" w:leftChars="200"/>
              <w:jc w:val="both"/>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1、</w:t>
            </w:r>
            <w:r>
              <w:rPr>
                <w:rFonts w:hint="default" w:ascii="Times New Roman" w:hAnsi="Times New Roman" w:cs="Times New Roman"/>
                <w:b/>
                <w:bCs/>
                <w:sz w:val="24"/>
                <w:szCs w:val="24"/>
              </w:rPr>
              <w:t>影响途径</w:t>
            </w:r>
          </w:p>
          <w:p>
            <w:pPr>
              <w:spacing w:before="0" w:after="0" w:line="360" w:lineRule="auto"/>
              <w:ind w:left="440" w:left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项目的环境风险识别结果见下表4-</w:t>
            </w:r>
            <w:r>
              <w:rPr>
                <w:rFonts w:hint="eastAsia" w:ascii="Times New Roman" w:hAnsi="Times New Roman" w:cs="Times New Roman"/>
                <w:b w:val="0"/>
                <w:bCs w:val="0"/>
                <w:sz w:val="24"/>
                <w:szCs w:val="24"/>
                <w:lang w:val="en-US" w:eastAsia="zh-CN"/>
              </w:rPr>
              <w:t>20</w:t>
            </w:r>
            <w:r>
              <w:rPr>
                <w:rFonts w:hint="default" w:ascii="Times New Roman" w:hAnsi="Times New Roman" w:cs="Times New Roman"/>
                <w:b w:val="0"/>
                <w:bCs w:val="0"/>
                <w:sz w:val="24"/>
                <w:szCs w:val="24"/>
              </w:rPr>
              <w:t>所示：</w:t>
            </w:r>
          </w:p>
          <w:p>
            <w:pPr>
              <w:spacing w:before="0" w:after="0" w:line="360" w:lineRule="auto"/>
              <w:ind w:left="440" w:leftChars="200"/>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表4-</w:t>
            </w:r>
            <w:r>
              <w:rPr>
                <w:rFonts w:hint="eastAsia" w:ascii="Times New Roman" w:hAnsi="Times New Roman" w:cs="Times New Roman"/>
                <w:b/>
                <w:bCs/>
                <w:sz w:val="24"/>
                <w:szCs w:val="24"/>
                <w:lang w:val="en-US" w:eastAsia="zh-CN"/>
              </w:rPr>
              <w:t>20</w:t>
            </w:r>
            <w:r>
              <w:rPr>
                <w:rFonts w:hint="default" w:ascii="Times New Roman" w:hAnsi="Times New Roman" w:cs="Times New Roman"/>
                <w:b/>
                <w:bCs/>
                <w:sz w:val="24"/>
                <w:szCs w:val="24"/>
              </w:rPr>
              <w:t xml:space="preserve">   本项目环境风险识别表</w:t>
            </w:r>
          </w:p>
          <w:tbl>
            <w:tblPr>
              <w:tblStyle w:val="12"/>
              <w:tblW w:w="89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vAlign w:val="center"/>
                </w:tcPr>
                <w:p>
                  <w:pPr>
                    <w:bidi w:val="0"/>
                    <w:spacing w:line="360" w:lineRule="auto"/>
                    <w:jc w:val="center"/>
                    <w:rPr>
                      <w:vertAlign w:val="baseline"/>
                    </w:rPr>
                  </w:pPr>
                  <w:r>
                    <w:rPr>
                      <w:rFonts w:hint="default" w:ascii="Times New Roman" w:hAnsi="Times New Roman" w:eastAsia="宋体" w:cs="Times New Roman"/>
                      <w:b/>
                      <w:bCs/>
                      <w:sz w:val="21"/>
                      <w:szCs w:val="21"/>
                    </w:rPr>
                    <w:t>风险源</w:t>
                  </w:r>
                </w:p>
              </w:tc>
              <w:tc>
                <w:tcPr>
                  <w:tcW w:w="2130" w:type="dxa"/>
                  <w:vAlign w:val="center"/>
                </w:tcPr>
                <w:p>
                  <w:pPr>
                    <w:bidi w:val="0"/>
                    <w:spacing w:line="360" w:lineRule="auto"/>
                    <w:jc w:val="center"/>
                    <w:rPr>
                      <w:vertAlign w:val="baseline"/>
                    </w:rPr>
                  </w:pPr>
                  <w:r>
                    <w:rPr>
                      <w:rFonts w:hint="default" w:ascii="Times New Roman" w:hAnsi="Times New Roman" w:eastAsia="宋体" w:cs="Times New Roman"/>
                      <w:b/>
                      <w:bCs/>
                      <w:sz w:val="21"/>
                      <w:szCs w:val="21"/>
                    </w:rPr>
                    <w:t>主要风险物质</w:t>
                  </w:r>
                </w:p>
              </w:tc>
              <w:tc>
                <w:tcPr>
                  <w:tcW w:w="2131" w:type="dxa"/>
                  <w:vAlign w:val="center"/>
                </w:tcPr>
                <w:p>
                  <w:pPr>
                    <w:bidi w:val="0"/>
                    <w:spacing w:line="360" w:lineRule="auto"/>
                    <w:jc w:val="center"/>
                    <w:rPr>
                      <w:vertAlign w:val="baseline"/>
                    </w:rPr>
                  </w:pPr>
                  <w:r>
                    <w:rPr>
                      <w:rFonts w:hint="default" w:ascii="Times New Roman" w:hAnsi="Times New Roman" w:eastAsia="宋体" w:cs="Times New Roman"/>
                      <w:b/>
                      <w:bCs/>
                      <w:sz w:val="21"/>
                      <w:szCs w:val="21"/>
                    </w:rPr>
                    <w:t>环境风险类型</w:t>
                  </w:r>
                </w:p>
              </w:tc>
              <w:tc>
                <w:tcPr>
                  <w:tcW w:w="2536" w:type="dxa"/>
                  <w:vAlign w:val="center"/>
                </w:tcPr>
                <w:p>
                  <w:pPr>
                    <w:bidi w:val="0"/>
                    <w:spacing w:line="360" w:lineRule="auto"/>
                    <w:jc w:val="center"/>
                    <w:rPr>
                      <w:vertAlign w:val="baseline"/>
                    </w:rPr>
                  </w:pPr>
                  <w:r>
                    <w:rPr>
                      <w:rFonts w:hint="default" w:ascii="Times New Roman" w:hAnsi="Times New Roman" w:eastAsia="宋体" w:cs="Times New Roman"/>
                      <w:b/>
                      <w:bCs/>
                      <w:sz w:val="21"/>
                      <w:szCs w:val="21"/>
                    </w:rPr>
                    <w:t>环境影响途径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vAlign w:val="center"/>
                </w:tcPr>
                <w:p>
                  <w:pPr>
                    <w:bidi w:val="0"/>
                    <w:spacing w:line="360" w:lineRule="auto"/>
                    <w:jc w:val="center"/>
                    <w:rPr>
                      <w:vertAlign w:val="baseline"/>
                    </w:rPr>
                  </w:pPr>
                  <w:r>
                    <w:rPr>
                      <w:rFonts w:hint="default" w:ascii="Times New Roman" w:hAnsi="Times New Roman" w:eastAsia="宋体" w:cs="Times New Roman"/>
                      <w:sz w:val="21"/>
                      <w:szCs w:val="21"/>
                    </w:rPr>
                    <w:t>危险废物暂存间</w:t>
                  </w:r>
                </w:p>
              </w:tc>
              <w:tc>
                <w:tcPr>
                  <w:tcW w:w="2130" w:type="dxa"/>
                  <w:vAlign w:val="center"/>
                </w:tcPr>
                <w:p>
                  <w:pPr>
                    <w:bidi w:val="0"/>
                    <w:spacing w:line="360" w:lineRule="auto"/>
                    <w:jc w:val="center"/>
                    <w:rPr>
                      <w:vertAlign w:val="baseline"/>
                    </w:rPr>
                  </w:pPr>
                  <w:r>
                    <w:rPr>
                      <w:rFonts w:hint="default" w:ascii="Times New Roman" w:hAnsi="Times New Roman" w:eastAsia="宋体" w:cs="Times New Roman"/>
                      <w:sz w:val="21"/>
                      <w:szCs w:val="21"/>
                    </w:rPr>
                    <w:t>废活性炭</w:t>
                  </w:r>
                </w:p>
              </w:tc>
              <w:tc>
                <w:tcPr>
                  <w:tcW w:w="2131" w:type="dxa"/>
                  <w:vAlign w:val="center"/>
                </w:tcPr>
                <w:p>
                  <w:pPr>
                    <w:bidi w:val="0"/>
                    <w:spacing w:line="360" w:lineRule="auto"/>
                    <w:jc w:val="center"/>
                    <w:rPr>
                      <w:vertAlign w:val="baseline"/>
                    </w:rPr>
                  </w:pPr>
                  <w:r>
                    <w:rPr>
                      <w:rFonts w:hint="default" w:ascii="Times New Roman" w:hAnsi="Times New Roman" w:eastAsia="宋体" w:cs="Times New Roman"/>
                      <w:sz w:val="21"/>
                      <w:szCs w:val="21"/>
                    </w:rPr>
                    <w:t>泄漏</w:t>
                  </w:r>
                </w:p>
              </w:tc>
              <w:tc>
                <w:tcPr>
                  <w:tcW w:w="2536" w:type="dxa"/>
                  <w:vAlign w:val="center"/>
                </w:tcPr>
                <w:p>
                  <w:pPr>
                    <w:bidi w:val="0"/>
                    <w:spacing w:line="360" w:lineRule="auto"/>
                    <w:jc w:val="center"/>
                    <w:rPr>
                      <w:vertAlign w:val="baseline"/>
                    </w:rPr>
                  </w:pPr>
                  <w:r>
                    <w:rPr>
                      <w:rFonts w:hint="default" w:ascii="Times New Roman" w:hAnsi="Times New Roman" w:eastAsia="宋体" w:cs="Times New Roman"/>
                      <w:sz w:val="21"/>
                      <w:szCs w:val="21"/>
                    </w:rPr>
                    <w:t>地表水、地下水、大气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vAlign w:val="center"/>
                </w:tcPr>
                <w:p>
                  <w:pPr>
                    <w:bidi w:val="0"/>
                    <w:spacing w:line="360" w:lineRule="auto"/>
                    <w:jc w:val="center"/>
                    <w:rPr>
                      <w:vertAlign w:val="baseline"/>
                    </w:rPr>
                  </w:pPr>
                  <w:r>
                    <w:rPr>
                      <w:rFonts w:hint="default" w:ascii="Times New Roman" w:hAnsi="Times New Roman" w:eastAsia="宋体" w:cs="Times New Roman"/>
                      <w:sz w:val="21"/>
                      <w:szCs w:val="21"/>
                    </w:rPr>
                    <w:t>废气处理设施</w:t>
                  </w:r>
                </w:p>
              </w:tc>
              <w:tc>
                <w:tcPr>
                  <w:tcW w:w="2130" w:type="dxa"/>
                  <w:vAlign w:val="center"/>
                </w:tcPr>
                <w:p>
                  <w:pPr>
                    <w:bidi w:val="0"/>
                    <w:spacing w:line="360" w:lineRule="auto"/>
                    <w:jc w:val="center"/>
                    <w:rPr>
                      <w:vertAlign w:val="baseline"/>
                    </w:rPr>
                  </w:pPr>
                  <w:r>
                    <w:rPr>
                      <w:rFonts w:hint="default" w:ascii="Times New Roman" w:hAnsi="Times New Roman" w:eastAsia="宋体" w:cs="Times New Roman"/>
                      <w:sz w:val="21"/>
                      <w:szCs w:val="21"/>
                    </w:rPr>
                    <w:t>有机废气</w:t>
                  </w:r>
                  <w:r>
                    <w:rPr>
                      <w:rFonts w:hint="eastAsia" w:ascii="Times New Roman" w:hAnsi="Times New Roman" w:eastAsia="宋体" w:cs="Times New Roman"/>
                      <w:sz w:val="21"/>
                      <w:szCs w:val="21"/>
                      <w:lang w:eastAsia="zh-CN"/>
                    </w:rPr>
                    <w:t>物</w:t>
                  </w:r>
                </w:p>
              </w:tc>
              <w:tc>
                <w:tcPr>
                  <w:tcW w:w="2131" w:type="dxa"/>
                  <w:vAlign w:val="center"/>
                </w:tcPr>
                <w:p>
                  <w:pPr>
                    <w:bidi w:val="0"/>
                    <w:spacing w:line="360" w:lineRule="auto"/>
                    <w:jc w:val="center"/>
                    <w:rPr>
                      <w:vertAlign w:val="baseline"/>
                    </w:rPr>
                  </w:pPr>
                  <w:r>
                    <w:rPr>
                      <w:rFonts w:hint="default" w:ascii="Times New Roman" w:hAnsi="Times New Roman" w:eastAsia="宋体" w:cs="Times New Roman"/>
                      <w:sz w:val="21"/>
                      <w:szCs w:val="21"/>
                    </w:rPr>
                    <w:t>泄漏</w:t>
                  </w:r>
                </w:p>
              </w:tc>
              <w:tc>
                <w:tcPr>
                  <w:tcW w:w="2536" w:type="dxa"/>
                  <w:vAlign w:val="center"/>
                </w:tcPr>
                <w:p>
                  <w:pPr>
                    <w:bidi w:val="0"/>
                    <w:spacing w:line="360" w:lineRule="auto"/>
                    <w:jc w:val="center"/>
                    <w:rPr>
                      <w:vertAlign w:val="baseline"/>
                    </w:rPr>
                  </w:pPr>
                  <w:r>
                    <w:rPr>
                      <w:rFonts w:hint="default" w:ascii="Times New Roman" w:hAnsi="Times New Roman" w:eastAsia="宋体" w:cs="Times New Roman"/>
                      <w:sz w:val="21"/>
                      <w:szCs w:val="21"/>
                    </w:rPr>
                    <w:t>大气</w:t>
                  </w:r>
                </w:p>
              </w:tc>
            </w:tr>
          </w:tbl>
          <w:p>
            <w:pPr>
              <w:spacing w:before="0" w:after="0" w:line="360" w:lineRule="auto"/>
              <w:ind w:left="440" w:leftChars="200"/>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表4-</w:t>
            </w:r>
            <w:r>
              <w:rPr>
                <w:rFonts w:hint="eastAsia" w:ascii="Times New Roman" w:hAnsi="Times New Roman" w:cs="Times New Roman"/>
                <w:b/>
                <w:bCs/>
                <w:sz w:val="24"/>
                <w:szCs w:val="24"/>
                <w:lang w:val="en-US" w:eastAsia="zh-CN"/>
              </w:rPr>
              <w:t>21</w:t>
            </w:r>
            <w:r>
              <w:rPr>
                <w:rFonts w:hint="default" w:ascii="Times New Roman" w:hAnsi="Times New Roman" w:cs="Times New Roman"/>
                <w:b/>
                <w:bCs/>
                <w:sz w:val="24"/>
                <w:szCs w:val="24"/>
              </w:rPr>
              <w:t xml:space="preserve">  主要物料特性及危害一览表</w:t>
            </w:r>
          </w:p>
          <w:tbl>
            <w:tblPr>
              <w:tblStyle w:val="12"/>
              <w:tblW w:w="90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110"/>
              <w:gridCol w:w="7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0" w:type="dxa"/>
                  <w:vAlign w:val="center"/>
                </w:tcPr>
                <w:p>
                  <w:pPr>
                    <w:bidi w:val="0"/>
                    <w:spacing w:line="360" w:lineRule="auto"/>
                    <w:jc w:val="center"/>
                    <w:rPr>
                      <w:rFonts w:hint="default" w:ascii="Times New Roman" w:hAnsi="Times New Roman" w:eastAsia="宋体" w:cs="Times New Roman"/>
                      <w:b w:val="0"/>
                      <w:bCs w:val="0"/>
                      <w:sz w:val="21"/>
                      <w:szCs w:val="21"/>
                      <w:u w:val="none"/>
                      <w:vertAlign w:val="baseline"/>
                      <w:lang w:eastAsia="zh-CN"/>
                    </w:rPr>
                  </w:pPr>
                  <w:r>
                    <w:rPr>
                      <w:rFonts w:hint="default" w:ascii="Times New Roman" w:hAnsi="Times New Roman" w:eastAsia="宋体" w:cs="Times New Roman"/>
                      <w:b w:val="0"/>
                      <w:bCs w:val="0"/>
                      <w:sz w:val="21"/>
                      <w:szCs w:val="21"/>
                      <w:u w:val="none"/>
                    </w:rPr>
                    <w:t>风险</w:t>
                  </w:r>
                  <w:r>
                    <w:rPr>
                      <w:rFonts w:hint="default" w:ascii="Times New Roman" w:hAnsi="Times New Roman" w:cs="Times New Roman"/>
                      <w:b w:val="0"/>
                      <w:bCs w:val="0"/>
                      <w:sz w:val="21"/>
                      <w:szCs w:val="21"/>
                      <w:u w:val="none"/>
                      <w:lang w:eastAsia="zh-CN"/>
                    </w:rPr>
                    <w:t>物质</w:t>
                  </w:r>
                </w:p>
              </w:tc>
              <w:tc>
                <w:tcPr>
                  <w:tcW w:w="1110" w:type="dxa"/>
                  <w:vAlign w:val="center"/>
                </w:tcPr>
                <w:p>
                  <w:pPr>
                    <w:bidi w:val="0"/>
                    <w:spacing w:line="360" w:lineRule="auto"/>
                    <w:jc w:val="center"/>
                    <w:rPr>
                      <w:rFonts w:hint="default" w:ascii="Times New Roman" w:hAnsi="Times New Roman" w:eastAsia="宋体" w:cs="Times New Roman"/>
                      <w:b w:val="0"/>
                      <w:bCs w:val="0"/>
                      <w:sz w:val="21"/>
                      <w:szCs w:val="21"/>
                      <w:u w:val="none"/>
                      <w:vertAlign w:val="baseline"/>
                      <w:lang w:eastAsia="zh-CN"/>
                    </w:rPr>
                  </w:pPr>
                  <w:r>
                    <w:rPr>
                      <w:rFonts w:hint="default" w:ascii="Times New Roman" w:hAnsi="Times New Roman" w:cs="Times New Roman"/>
                      <w:b w:val="0"/>
                      <w:bCs w:val="0"/>
                      <w:sz w:val="21"/>
                      <w:szCs w:val="21"/>
                      <w:u w:val="none"/>
                      <w:vertAlign w:val="baseline"/>
                      <w:lang w:eastAsia="zh-CN"/>
                    </w:rPr>
                    <w:t>主要成分</w:t>
                  </w:r>
                </w:p>
              </w:tc>
              <w:tc>
                <w:tcPr>
                  <w:tcW w:w="7170" w:type="dxa"/>
                  <w:vAlign w:val="center"/>
                </w:tcPr>
                <w:p>
                  <w:pPr>
                    <w:bidi w:val="0"/>
                    <w:spacing w:line="360" w:lineRule="auto"/>
                    <w:jc w:val="center"/>
                    <w:rPr>
                      <w:rFonts w:hint="default" w:ascii="Times New Roman" w:hAnsi="Times New Roman" w:cs="Times New Roman"/>
                      <w:b w:val="0"/>
                      <w:bCs w:val="0"/>
                      <w:sz w:val="21"/>
                      <w:szCs w:val="21"/>
                      <w:u w:val="none"/>
                      <w:lang w:eastAsia="zh-CN"/>
                    </w:rPr>
                  </w:pPr>
                  <w:r>
                    <w:rPr>
                      <w:rFonts w:hint="default" w:ascii="Times New Roman" w:hAnsi="Times New Roman" w:cs="Times New Roman"/>
                      <w:b w:val="0"/>
                      <w:bCs w:val="0"/>
                      <w:sz w:val="21"/>
                      <w:szCs w:val="21"/>
                      <w:u w:val="none"/>
                      <w:lang w:eastAsia="zh-CN"/>
                    </w:rPr>
                    <w:t>物理特性及危害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0" w:type="dxa"/>
                  <w:vAlign w:val="center"/>
                </w:tcPr>
                <w:p>
                  <w:pPr>
                    <w:bidi w:val="0"/>
                    <w:spacing w:line="360" w:lineRule="auto"/>
                    <w:jc w:val="center"/>
                    <w:rPr>
                      <w:rFonts w:hint="default" w:ascii="Times New Roman" w:hAnsi="Times New Roman" w:cs="Times New Roman"/>
                      <w:b w:val="0"/>
                      <w:bCs w:val="0"/>
                      <w:sz w:val="21"/>
                      <w:szCs w:val="21"/>
                      <w:u w:val="none"/>
                      <w:vertAlign w:val="baseline"/>
                    </w:rPr>
                  </w:pPr>
                  <w:r>
                    <w:rPr>
                      <w:rFonts w:hint="default" w:ascii="Times New Roman" w:hAnsi="Times New Roman" w:eastAsia="宋体" w:cs="Times New Roman"/>
                      <w:b w:val="0"/>
                      <w:bCs w:val="0"/>
                      <w:sz w:val="21"/>
                      <w:szCs w:val="21"/>
                      <w:u w:val="none"/>
                    </w:rPr>
                    <w:t>废活性炭</w:t>
                  </w:r>
                </w:p>
              </w:tc>
              <w:tc>
                <w:tcPr>
                  <w:tcW w:w="1110" w:type="dxa"/>
                  <w:vAlign w:val="center"/>
                </w:tcPr>
                <w:p>
                  <w:pPr>
                    <w:bidi w:val="0"/>
                    <w:spacing w:line="360" w:lineRule="auto"/>
                    <w:jc w:val="center"/>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cs="Times New Roman"/>
                      <w:b w:val="0"/>
                      <w:bCs w:val="0"/>
                      <w:sz w:val="21"/>
                      <w:szCs w:val="21"/>
                      <w:u w:val="none"/>
                      <w:vertAlign w:val="baseline"/>
                      <w:lang w:val="en-US" w:eastAsia="zh-CN"/>
                    </w:rPr>
                    <w:t>挥发性有机物</w:t>
                  </w:r>
                </w:p>
              </w:tc>
              <w:tc>
                <w:tcPr>
                  <w:tcW w:w="7170" w:type="dxa"/>
                  <w:vAlign w:val="center"/>
                </w:tcPr>
                <w:p>
                  <w:pPr>
                    <w:bidi w:val="0"/>
                    <w:spacing w:line="360" w:lineRule="auto"/>
                    <w:jc w:val="both"/>
                    <w:rPr>
                      <w:rFonts w:hint="default" w:ascii="Times New Roman" w:hAnsi="Times New Roman" w:cs="Times New Roman"/>
                      <w:b w:val="0"/>
                      <w:bCs w:val="0"/>
                      <w:sz w:val="21"/>
                      <w:szCs w:val="21"/>
                      <w:u w:val="none"/>
                      <w:vertAlign w:val="baseline"/>
                      <w:lang w:eastAsia="zh-CN"/>
                    </w:rPr>
                  </w:pPr>
                  <w:r>
                    <w:rPr>
                      <w:rFonts w:hint="default" w:ascii="Times New Roman" w:hAnsi="Times New Roman" w:cs="Times New Roman"/>
                      <w:b w:val="0"/>
                      <w:bCs w:val="0"/>
                      <w:sz w:val="21"/>
                      <w:szCs w:val="21"/>
                      <w:u w:val="none"/>
                      <w:vertAlign w:val="baseline"/>
                    </w:rPr>
                    <w:t>挥发性有机物，简称VOCs，是常温下，饱和蒸气压约大于70 Pa; 常压下，沸点在50 - 260 oC有机化合物;常见的有芳烃类、酯类、醇类、醛类、酮类、烷烃类等。这些物质有毒、有害、致癌；形成光化学烟雾和PM2.5</w:t>
                  </w:r>
                  <w:r>
                    <w:rPr>
                      <w:rFonts w:hint="default" w:ascii="Times New Roman" w:hAnsi="Times New Roman" w:cs="Times New Roman"/>
                      <w:b w:val="0"/>
                      <w:bCs w:val="0"/>
                      <w:sz w:val="21"/>
                      <w:szCs w:val="21"/>
                      <w:u w:val="none"/>
                      <w:vertAlign w:val="baseline"/>
                      <w:lang w:eastAsia="zh-CN"/>
                    </w:rPr>
                    <w:t>。</w:t>
                  </w:r>
                </w:p>
                <w:p>
                  <w:pPr>
                    <w:bidi w:val="0"/>
                    <w:spacing w:line="360" w:lineRule="auto"/>
                    <w:jc w:val="center"/>
                    <w:rPr>
                      <w:rFonts w:hint="default" w:ascii="Times New Roman" w:hAnsi="Times New Roman" w:eastAsia="宋体" w:cs="Times New Roman"/>
                      <w:b w:val="0"/>
                      <w:bCs w:val="0"/>
                      <w:sz w:val="21"/>
                      <w:szCs w:val="21"/>
                      <w:u w:val="none"/>
                      <w:vertAlign w:val="baseline"/>
                      <w:lang w:eastAsia="zh-CN"/>
                    </w:rPr>
                  </w:pPr>
                  <w:r>
                    <w:rPr>
                      <w:rFonts w:hint="default" w:ascii="Times New Roman" w:hAnsi="Times New Roman" w:cs="Times New Roman"/>
                      <w:b w:val="0"/>
                      <w:bCs w:val="0"/>
                      <w:sz w:val="21"/>
                      <w:szCs w:val="21"/>
                      <w:u w:val="none"/>
                      <w:vertAlign w:val="baseline"/>
                      <w:lang w:eastAsia="zh-CN"/>
                    </w:rPr>
                    <w:t>毒性及危害：1.大多数VOCs具有刺激性气味或臭味，可引起人们感官上的不愉快，严重降低人们的生活质量。恶臭气体指一切刺激嗅觉器官并引起人们不愉快的气体物质。2.VOCs成分复杂，可导致人体出现诸多的不适症状。还具有毒性、刺激性及致畸致癌等症状。3.VOCs增加烟雾及臭氧的地表浓度，会对人造成伤害同时也会危害农作物。4.VOCs造成火灾及爆炸事故，尤其是常发生在石油化工企业。5.部分VOCs可破坏臭氧层，如氟氯烃物质。</w:t>
                  </w:r>
                </w:p>
              </w:tc>
            </w:tr>
          </w:tbl>
          <w:p>
            <w:pPr>
              <w:spacing w:before="0" w:after="0" w:line="360" w:lineRule="auto"/>
              <w:ind w:left="440" w:leftChars="200"/>
              <w:jc w:val="both"/>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2、</w:t>
            </w:r>
            <w:r>
              <w:rPr>
                <w:rFonts w:hint="default" w:ascii="Times New Roman" w:hAnsi="Times New Roman" w:cs="Times New Roman"/>
                <w:b/>
                <w:bCs/>
                <w:sz w:val="24"/>
                <w:szCs w:val="24"/>
              </w:rPr>
              <w:t>环境风险分析</w:t>
            </w:r>
          </w:p>
          <w:p>
            <w:pPr>
              <w:spacing w:before="0" w:after="0" w:line="360" w:lineRule="auto"/>
              <w:ind w:left="440" w:leftChars="200"/>
              <w:jc w:val="both"/>
              <w:rPr>
                <w:rFonts w:hint="default"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1</w:t>
            </w:r>
            <w:r>
              <w:rPr>
                <w:rFonts w:hint="eastAsia" w:ascii="Times New Roman" w:hAnsi="Times New Roman" w:cs="Times New Roman"/>
                <w:b/>
                <w:bCs/>
                <w:sz w:val="24"/>
                <w:szCs w:val="24"/>
                <w:lang w:eastAsia="zh-CN"/>
              </w:rPr>
              <w:t>）</w:t>
            </w:r>
            <w:r>
              <w:rPr>
                <w:rFonts w:hint="default" w:ascii="Times New Roman" w:hAnsi="Times New Roman" w:cs="Times New Roman"/>
                <w:b/>
                <w:bCs/>
                <w:sz w:val="24"/>
                <w:szCs w:val="24"/>
              </w:rPr>
              <w:t>泄漏环境风险</w:t>
            </w:r>
          </w:p>
          <w:p>
            <w:p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本项目废活性炭一旦发生泄露，将对周边区域的水体、大气及生态环境等造成一定程度的污染。</w:t>
            </w:r>
          </w:p>
          <w:p>
            <w:p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本项目废气处理设施故障或设备运行过程密闭系统失效，有机废气未经收集或处理直接排放对周围大气造成短时影响。</w:t>
            </w:r>
          </w:p>
          <w:p>
            <w:pPr>
              <w:spacing w:before="0" w:after="0" w:line="360" w:lineRule="auto"/>
              <w:ind w:left="440" w:leftChars="200"/>
              <w:jc w:val="both"/>
              <w:rPr>
                <w:rFonts w:hint="default"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2</w:t>
            </w:r>
            <w:r>
              <w:rPr>
                <w:rFonts w:hint="eastAsia" w:ascii="Times New Roman" w:hAnsi="Times New Roman" w:cs="Times New Roman"/>
                <w:b/>
                <w:bCs/>
                <w:sz w:val="24"/>
                <w:szCs w:val="24"/>
                <w:lang w:eastAsia="zh-CN"/>
              </w:rPr>
              <w:t>）</w:t>
            </w:r>
            <w:r>
              <w:rPr>
                <w:rFonts w:hint="default" w:ascii="Times New Roman" w:hAnsi="Times New Roman" w:cs="Times New Roman"/>
                <w:b/>
                <w:bCs/>
                <w:sz w:val="24"/>
                <w:szCs w:val="24"/>
              </w:rPr>
              <w:t>火灾事故风险事故</w:t>
            </w:r>
          </w:p>
          <w:p>
            <w:p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当发生火灾事故时，在火灾的灭火过程中，消防喷水、泡沫喷淋等均会产生废水，以上消防废液含有大量的石油类，若直接经过市政雨水或污水管网进入纳污水体或市政污水处理厂，含高浓度的消防排水势必对地面水体造成极为不利的影响。本项目发生火灾事故时，项目内的燃烧废气会飞扬，气体排放随风向向外扩散，在不利风向时，周围的企业及员工及村庄等均会受到不同程度的影响。</w:t>
            </w:r>
          </w:p>
          <w:p>
            <w:pPr>
              <w:spacing w:before="0" w:after="0" w:line="360" w:lineRule="auto"/>
              <w:ind w:left="440" w:leftChars="200"/>
              <w:jc w:val="both"/>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rPr>
              <w:t>风险防范措施及应急要求</w:t>
            </w:r>
          </w:p>
          <w:p>
            <w:pPr>
              <w:spacing w:before="0" w:after="0" w:line="360" w:lineRule="auto"/>
              <w:ind w:left="440" w:leftChars="200"/>
              <w:jc w:val="both"/>
              <w:rPr>
                <w:rFonts w:hint="default"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1</w:t>
            </w:r>
            <w:r>
              <w:rPr>
                <w:rFonts w:hint="eastAsia" w:ascii="Times New Roman" w:hAnsi="Times New Roman" w:cs="Times New Roman"/>
                <w:b/>
                <w:bCs/>
                <w:sz w:val="24"/>
                <w:szCs w:val="24"/>
                <w:lang w:eastAsia="zh-CN"/>
              </w:rPr>
              <w:t>）</w:t>
            </w:r>
            <w:r>
              <w:rPr>
                <w:rFonts w:hint="default" w:ascii="Times New Roman" w:hAnsi="Times New Roman" w:cs="Times New Roman"/>
                <w:b/>
                <w:bCs/>
                <w:sz w:val="24"/>
                <w:szCs w:val="24"/>
              </w:rPr>
              <w:t>水环境风险防范措施及应急要求</w:t>
            </w:r>
          </w:p>
          <w:p>
            <w:p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①</w:t>
            </w:r>
            <w:r>
              <w:rPr>
                <w:rFonts w:hint="default" w:ascii="Times New Roman" w:hAnsi="Times New Roman" w:cs="Times New Roman"/>
                <w:b w:val="0"/>
                <w:bCs w:val="0"/>
                <w:sz w:val="24"/>
                <w:szCs w:val="24"/>
                <w:u w:val="none"/>
              </w:rPr>
              <w:t>生产车间</w:t>
            </w:r>
            <w:r>
              <w:rPr>
                <w:rFonts w:hint="eastAsia" w:ascii="Times New Roman" w:hAnsi="Times New Roman" w:cs="Times New Roman"/>
                <w:b w:val="0"/>
                <w:bCs w:val="0"/>
                <w:sz w:val="24"/>
                <w:szCs w:val="24"/>
                <w:u w:val="none"/>
                <w:lang w:eastAsia="zh-CN"/>
              </w:rPr>
              <w:t>（除重点防渗区外）</w:t>
            </w:r>
            <w:r>
              <w:rPr>
                <w:rFonts w:hint="default" w:ascii="Times New Roman" w:hAnsi="Times New Roman" w:cs="Times New Roman"/>
                <w:b w:val="0"/>
                <w:bCs w:val="0"/>
                <w:sz w:val="24"/>
                <w:szCs w:val="24"/>
                <w:u w:val="none"/>
              </w:rPr>
              <w:t>、</w:t>
            </w:r>
            <w:r>
              <w:rPr>
                <w:rFonts w:hint="eastAsia" w:ascii="Times New Roman" w:hAnsi="Times New Roman" w:cs="Times New Roman"/>
                <w:b w:val="0"/>
                <w:bCs w:val="0"/>
                <w:sz w:val="24"/>
                <w:szCs w:val="24"/>
                <w:u w:val="none"/>
                <w:lang w:eastAsia="zh-CN"/>
              </w:rPr>
              <w:t>化粪池、冷却水池、喷淋塔循环水池和</w:t>
            </w:r>
            <w:r>
              <w:rPr>
                <w:rFonts w:hint="default" w:ascii="Times New Roman" w:hAnsi="Times New Roman" w:cs="Times New Roman"/>
                <w:b w:val="0"/>
                <w:bCs w:val="0"/>
                <w:sz w:val="24"/>
                <w:szCs w:val="24"/>
                <w:u w:val="none"/>
              </w:rPr>
              <w:t>一般固废暂存间</w:t>
            </w:r>
            <w:r>
              <w:rPr>
                <w:rFonts w:hint="default" w:ascii="Times New Roman" w:hAnsi="Times New Roman" w:cs="Times New Roman"/>
                <w:b w:val="0"/>
                <w:bCs w:val="0"/>
                <w:sz w:val="24"/>
                <w:szCs w:val="24"/>
              </w:rPr>
              <w:t>地面必须作水泥硬底化防渗处理，发生散落时，材料不会通过地面渗入地下而污染地下水、地表水</w:t>
            </w:r>
            <w:r>
              <w:rPr>
                <w:rFonts w:hint="eastAsia" w:ascii="Times New Roman" w:hAnsi="Times New Roman" w:cs="Times New Roman"/>
                <w:b w:val="0"/>
                <w:bCs w:val="0"/>
                <w:sz w:val="24"/>
                <w:szCs w:val="24"/>
                <w:lang w:eastAsia="zh-CN"/>
              </w:rPr>
              <w:t>；</w:t>
            </w:r>
            <w:r>
              <w:rPr>
                <w:rFonts w:hint="eastAsia" w:ascii="Times New Roman" w:hAnsi="Times New Roman" w:cs="Times New Roman"/>
                <w:b w:val="0"/>
                <w:bCs w:val="0"/>
                <w:sz w:val="24"/>
                <w:szCs w:val="24"/>
                <w:u w:val="none"/>
                <w:lang w:eastAsia="zh-CN"/>
              </w:rPr>
              <w:t>对于危废暂存间易发生泄露的区域，地面设置防渗地面</w:t>
            </w:r>
            <w:r>
              <w:rPr>
                <w:rFonts w:hint="default" w:ascii="Times New Roman" w:hAnsi="Times New Roman" w:cs="Times New Roman"/>
                <w:b w:val="0"/>
                <w:bCs w:val="0"/>
                <w:sz w:val="24"/>
                <w:szCs w:val="24"/>
                <w:u w:val="none"/>
              </w:rPr>
              <w:t>。</w:t>
            </w:r>
          </w:p>
          <w:p>
            <w:p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②建议建设单位在雨水管网的厂区出口处设置一个闸门，发生火灾事故时及时关闭闸门，防止消防废水流出厂区，将其可能产生的环境影响控制在厂区之内。</w:t>
            </w:r>
          </w:p>
          <w:p>
            <w:p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③发生火灾事故时，在事故发生位置四周用装满沙土的袋子围成围堰拦截消防废液，并在厂内采取导流方式将消防废液、泡沫等统一收集，集中处理，消除隐患后交由有资质单位处理。</w:t>
            </w:r>
          </w:p>
          <w:p>
            <w:p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④危险废物暂存间做好</w:t>
            </w:r>
            <w:r>
              <w:rPr>
                <w:rFonts w:hint="eastAsia" w:ascii="Times New Roman" w:hAnsi="Times New Roman" w:cs="Times New Roman"/>
                <w:b w:val="0"/>
                <w:bCs w:val="0"/>
                <w:sz w:val="24"/>
                <w:szCs w:val="24"/>
                <w:lang w:eastAsia="zh-CN"/>
              </w:rPr>
              <w:t>“六防”</w:t>
            </w:r>
            <w:r>
              <w:rPr>
                <w:rFonts w:hint="default" w:ascii="Times New Roman" w:hAnsi="Times New Roman" w:cs="Times New Roman"/>
                <w:b w:val="0"/>
                <w:bCs w:val="0"/>
                <w:sz w:val="24"/>
                <w:szCs w:val="24"/>
              </w:rPr>
              <w:t>措施，发生泄漏时不会通过地面渗入地下而污染地下水、地表水。</w:t>
            </w:r>
          </w:p>
          <w:p>
            <w:pPr>
              <w:spacing w:before="0" w:after="0" w:line="360" w:lineRule="auto"/>
              <w:ind w:left="440" w:leftChars="200"/>
              <w:jc w:val="both"/>
              <w:rPr>
                <w:rFonts w:hint="default"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2</w:t>
            </w:r>
            <w:r>
              <w:rPr>
                <w:rFonts w:hint="eastAsia" w:ascii="Times New Roman" w:hAnsi="Times New Roman" w:cs="Times New Roman"/>
                <w:b/>
                <w:bCs/>
                <w:sz w:val="24"/>
                <w:szCs w:val="24"/>
                <w:lang w:eastAsia="zh-CN"/>
              </w:rPr>
              <w:t>）</w:t>
            </w:r>
            <w:r>
              <w:rPr>
                <w:rFonts w:hint="default" w:ascii="Times New Roman" w:hAnsi="Times New Roman" w:cs="Times New Roman"/>
                <w:b/>
                <w:bCs/>
                <w:sz w:val="24"/>
                <w:szCs w:val="24"/>
              </w:rPr>
              <w:t>大气环境风险防范措施及应急要求</w:t>
            </w:r>
          </w:p>
          <w:p>
            <w:p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①发生火灾事故时，应及时采取相应的灭火措施并疏散厂内员工，必要时启动突发事故应急预案，及时疏散周围的居民。</w:t>
            </w:r>
          </w:p>
          <w:p>
            <w:p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②火灾事故或物料泄露发生时会伴随恶臭污染物产生，救援人员或厂内员工必须佩戴过滤式防毒面具，同时穿好工作服，迅速判明事故当时的风向，可利用风标、旗帜等辨明风向，向上风向撤离，尽可能向侧、逆风向转移。</w:t>
            </w:r>
          </w:p>
          <w:p>
            <w:p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③火灾事故发生后，相关部门要制定污染监测计划，对可能污染进行监测，根据现场监测结果，确定被转移、疏散群众返回时间，直止无异常方可停止监测工作。</w:t>
            </w:r>
          </w:p>
          <w:p>
            <w:p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④建设单位应在废气治理设施故障时停止生产，待故障排除后方可恢复生产，平时应加强对设备的维护保养，避免非正常排放的产生。</w:t>
            </w:r>
          </w:p>
          <w:p>
            <w:pPr>
              <w:adjustRightInd w:val="0"/>
              <w:snapToGrid w:val="0"/>
              <w:spacing w:line="360" w:lineRule="auto"/>
              <w:ind w:firstLine="500" w:firstLineChars="200"/>
              <w:rPr>
                <w:rFonts w:hint="default" w:ascii="Times New Roman" w:hAnsi="Times New Roman" w:eastAsia="宋体" w:cs="Times New Roman"/>
                <w:b/>
                <w:bCs/>
                <w:color w:val="auto"/>
                <w:sz w:val="24"/>
                <w:u w:val="none"/>
                <w:lang w:val="en-US" w:eastAsia="zh-CN"/>
              </w:rPr>
            </w:pPr>
            <w:r>
              <w:rPr>
                <w:rFonts w:hint="eastAsia" w:ascii="Times New Roman" w:hAnsi="Times New Roman" w:eastAsia="宋体" w:cs="Times New Roman"/>
                <w:b/>
                <w:bCs/>
                <w:color w:val="auto"/>
                <w:sz w:val="24"/>
                <w:u w:val="none"/>
                <w:lang w:val="en-US" w:eastAsia="zh-CN"/>
              </w:rPr>
              <w:t>（3）</w:t>
            </w:r>
            <w:r>
              <w:rPr>
                <w:rFonts w:hint="default" w:ascii="Times New Roman" w:hAnsi="Times New Roman" w:eastAsia="宋体" w:cs="Times New Roman"/>
                <w:b/>
                <w:bCs/>
                <w:color w:val="auto"/>
                <w:sz w:val="24"/>
                <w:u w:val="none"/>
                <w:lang w:val="en-US" w:eastAsia="zh-CN"/>
              </w:rPr>
              <w:t>火灾风险防范措施</w:t>
            </w:r>
          </w:p>
          <w:p>
            <w:pPr>
              <w:adjustRightInd w:val="0"/>
              <w:snapToGrid w:val="0"/>
              <w:spacing w:line="360" w:lineRule="auto"/>
              <w:ind w:firstLine="50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eastAsia="zh-CN"/>
              </w:rPr>
              <w:t>①</w:t>
            </w:r>
            <w:r>
              <w:rPr>
                <w:rFonts w:hint="default" w:ascii="Times New Roman" w:hAnsi="Times New Roman" w:eastAsia="宋体" w:cs="Times New Roman"/>
                <w:color w:val="auto"/>
                <w:sz w:val="24"/>
                <w:u w:val="none"/>
                <w:lang w:val="en-US" w:eastAsia="zh-CN"/>
              </w:rPr>
              <w:t>项目厂区平面</w:t>
            </w:r>
            <w:r>
              <w:rPr>
                <w:rFonts w:hint="default" w:ascii="Times New Roman" w:hAnsi="Times New Roman" w:eastAsia="宋体" w:cs="Times New Roman"/>
                <w:color w:val="auto"/>
                <w:sz w:val="24"/>
                <w:u w:val="none"/>
              </w:rPr>
              <w:t>应严格按照国家有关规范和标准进行布置、建筑设计。生产区与办公室之间根据消防部门意见保持足够的安全距离。原料</w:t>
            </w:r>
            <w:r>
              <w:rPr>
                <w:rFonts w:hint="eastAsia" w:ascii="Times New Roman" w:hAnsi="Times New Roman" w:eastAsia="宋体" w:cs="Times New Roman"/>
                <w:color w:val="auto"/>
                <w:sz w:val="24"/>
                <w:u w:val="none"/>
                <w:lang w:eastAsia="zh-CN"/>
              </w:rPr>
              <w:t>区</w:t>
            </w:r>
            <w:r>
              <w:rPr>
                <w:rFonts w:hint="default" w:ascii="Times New Roman" w:hAnsi="Times New Roman" w:eastAsia="宋体" w:cs="Times New Roman"/>
                <w:color w:val="auto"/>
                <w:sz w:val="24"/>
                <w:u w:val="none"/>
              </w:rPr>
              <w:t>及</w:t>
            </w:r>
            <w:r>
              <w:rPr>
                <w:rFonts w:hint="default" w:ascii="Times New Roman" w:hAnsi="Times New Roman" w:eastAsia="宋体" w:cs="Times New Roman"/>
                <w:color w:val="auto"/>
                <w:sz w:val="24"/>
                <w:u w:val="none"/>
                <w:lang w:val="en-US" w:eastAsia="zh-CN"/>
              </w:rPr>
              <w:t>成品</w:t>
            </w:r>
            <w:r>
              <w:rPr>
                <w:rFonts w:hint="eastAsia" w:ascii="Times New Roman" w:hAnsi="Times New Roman" w:eastAsia="宋体" w:cs="Times New Roman"/>
                <w:color w:val="auto"/>
                <w:sz w:val="24"/>
                <w:u w:val="none"/>
                <w:lang w:eastAsia="zh-CN"/>
              </w:rPr>
              <w:t>区</w:t>
            </w:r>
            <w:r>
              <w:rPr>
                <w:rFonts w:hint="default" w:ascii="Times New Roman" w:hAnsi="Times New Roman" w:eastAsia="宋体" w:cs="Times New Roman"/>
                <w:color w:val="auto"/>
                <w:sz w:val="24"/>
                <w:u w:val="none"/>
              </w:rPr>
              <w:t>按规范要求进行设计；平面布置上建筑物间的距离必须符合有关防火设计规范，各区可利用道路进行功能分区，必须满足交通和消防两方面要求。</w:t>
            </w:r>
          </w:p>
          <w:p>
            <w:pPr>
              <w:adjustRightInd w:val="0"/>
              <w:snapToGrid w:val="0"/>
              <w:spacing w:line="360" w:lineRule="auto"/>
              <w:ind w:firstLine="500" w:firstLineChars="200"/>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lang w:val="en-US" w:eastAsia="zh-CN"/>
              </w:rPr>
              <w:t>2</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lang w:val="en-US" w:eastAsia="zh-CN"/>
              </w:rPr>
              <w:t>废塑料</w:t>
            </w:r>
            <w:r>
              <w:rPr>
                <w:rFonts w:hint="default" w:ascii="Times New Roman" w:hAnsi="Times New Roman" w:eastAsia="宋体" w:cs="Times New Roman"/>
                <w:color w:val="auto"/>
                <w:sz w:val="24"/>
                <w:u w:val="none"/>
              </w:rPr>
              <w:t>分批入库，严格控制贮存量</w:t>
            </w:r>
            <w:r>
              <w:rPr>
                <w:rFonts w:hint="default" w:ascii="Times New Roman" w:hAnsi="Times New Roman" w:eastAsia="宋体" w:cs="Times New Roman"/>
                <w:color w:val="auto"/>
                <w:sz w:val="24"/>
                <w:u w:val="none"/>
                <w:lang w:eastAsia="zh-CN"/>
              </w:rPr>
              <w:t>。</w:t>
            </w:r>
          </w:p>
          <w:p>
            <w:pPr>
              <w:widowControl/>
              <w:snapToGrid w:val="0"/>
              <w:spacing w:line="360" w:lineRule="auto"/>
              <w:ind w:firstLine="500" w:firstLineChars="200"/>
              <w:rPr>
                <w:rFonts w:hint="default" w:ascii="Times New Roman" w:hAnsi="Times New Roman" w:eastAsia="宋体" w:cs="Times New Roman"/>
                <w:bCs/>
                <w:color w:val="auto"/>
                <w:sz w:val="24"/>
                <w:szCs w:val="24"/>
                <w:u w:val="none"/>
              </w:rPr>
            </w:pPr>
            <w:r>
              <w:rPr>
                <w:rFonts w:hint="default" w:ascii="Times New Roman" w:hAnsi="Times New Roman" w:eastAsia="宋体" w:cs="Times New Roman"/>
                <w:bCs/>
                <w:color w:val="auto"/>
                <w:sz w:val="24"/>
                <w:szCs w:val="24"/>
                <w:u w:val="none"/>
                <w:lang w:eastAsia="zh-CN"/>
              </w:rPr>
              <w:t>（</w:t>
            </w:r>
            <w:r>
              <w:rPr>
                <w:rFonts w:hint="default" w:ascii="Times New Roman" w:hAnsi="Times New Roman" w:eastAsia="宋体" w:cs="Times New Roman"/>
                <w:bCs/>
                <w:color w:val="auto"/>
                <w:sz w:val="24"/>
                <w:szCs w:val="24"/>
                <w:u w:val="none"/>
                <w:lang w:val="en-US" w:eastAsia="zh-CN"/>
              </w:rPr>
              <w:t>3</w:t>
            </w:r>
            <w:r>
              <w:rPr>
                <w:rFonts w:hint="default" w:ascii="Times New Roman" w:hAnsi="Times New Roman" w:eastAsia="宋体" w:cs="Times New Roman"/>
                <w:bCs/>
                <w:color w:val="auto"/>
                <w:sz w:val="24"/>
                <w:szCs w:val="24"/>
                <w:u w:val="none"/>
                <w:lang w:eastAsia="zh-CN"/>
              </w:rPr>
              <w:t>）</w:t>
            </w:r>
            <w:r>
              <w:rPr>
                <w:rFonts w:hint="default" w:ascii="Times New Roman" w:hAnsi="Times New Roman" w:eastAsia="宋体" w:cs="Times New Roman"/>
                <w:bCs/>
                <w:color w:val="auto"/>
                <w:sz w:val="24"/>
                <w:szCs w:val="24"/>
                <w:u w:val="none"/>
              </w:rPr>
              <w:t>厂区设置</w:t>
            </w:r>
            <w:r>
              <w:rPr>
                <w:rFonts w:hint="default" w:ascii="Times New Roman" w:hAnsi="Times New Roman" w:eastAsia="宋体" w:cs="Times New Roman"/>
                <w:bCs/>
                <w:color w:val="auto"/>
                <w:sz w:val="24"/>
                <w:szCs w:val="24"/>
                <w:u w:val="none"/>
                <w:lang w:val="en-US" w:eastAsia="zh-CN"/>
              </w:rPr>
              <w:t>消防</w:t>
            </w:r>
            <w:r>
              <w:rPr>
                <w:rFonts w:hint="default" w:ascii="Times New Roman" w:hAnsi="Times New Roman" w:eastAsia="宋体" w:cs="Times New Roman"/>
                <w:bCs/>
                <w:color w:val="auto"/>
                <w:sz w:val="24"/>
                <w:szCs w:val="24"/>
                <w:u w:val="none"/>
              </w:rPr>
              <w:t>废水收集系统</w:t>
            </w:r>
            <w:r>
              <w:rPr>
                <w:rFonts w:hint="default" w:ascii="Times New Roman" w:hAnsi="Times New Roman" w:eastAsia="宋体" w:cs="Times New Roman"/>
                <w:bCs/>
                <w:color w:val="auto"/>
                <w:sz w:val="24"/>
                <w:szCs w:val="24"/>
                <w:u w:val="none"/>
                <w:lang w:eastAsia="zh-CN"/>
              </w:rPr>
              <w:t>，</w:t>
            </w:r>
            <w:r>
              <w:rPr>
                <w:rFonts w:hint="default" w:ascii="Times New Roman" w:hAnsi="Times New Roman" w:eastAsia="宋体" w:cs="Times New Roman"/>
                <w:bCs/>
                <w:color w:val="auto"/>
                <w:sz w:val="24"/>
                <w:szCs w:val="24"/>
                <w:u w:val="none"/>
              </w:rPr>
              <w:t>在火灾事故发生时</w:t>
            </w:r>
            <w:r>
              <w:rPr>
                <w:rFonts w:hint="default" w:ascii="Times New Roman" w:hAnsi="Times New Roman" w:eastAsia="宋体" w:cs="Times New Roman"/>
                <w:bCs/>
                <w:color w:val="auto"/>
                <w:sz w:val="24"/>
                <w:szCs w:val="24"/>
                <w:u w:val="none"/>
                <w:lang w:eastAsia="zh-CN"/>
              </w:rPr>
              <w:t>，</w:t>
            </w:r>
            <w:r>
              <w:rPr>
                <w:rFonts w:hint="default" w:ascii="Times New Roman" w:hAnsi="Times New Roman" w:eastAsia="宋体" w:cs="Times New Roman"/>
                <w:bCs/>
                <w:color w:val="auto"/>
                <w:sz w:val="24"/>
                <w:szCs w:val="24"/>
                <w:u w:val="none"/>
                <w:lang w:val="en-US" w:eastAsia="zh-CN"/>
              </w:rPr>
              <w:t>应</w:t>
            </w:r>
            <w:r>
              <w:rPr>
                <w:rFonts w:hint="default" w:ascii="Times New Roman" w:hAnsi="Times New Roman" w:eastAsia="宋体" w:cs="Times New Roman"/>
                <w:bCs/>
                <w:color w:val="auto"/>
                <w:sz w:val="24"/>
                <w:szCs w:val="24"/>
                <w:u w:val="none"/>
              </w:rPr>
              <w:t>首先关闭雨水排放阀，封堵可能被污染的雨水收集口</w:t>
            </w:r>
            <w:r>
              <w:rPr>
                <w:rFonts w:hint="default" w:ascii="Times New Roman" w:hAnsi="Times New Roman" w:eastAsia="宋体" w:cs="Times New Roman"/>
                <w:bCs/>
                <w:color w:val="auto"/>
                <w:sz w:val="24"/>
                <w:szCs w:val="24"/>
                <w:u w:val="none"/>
                <w:lang w:eastAsia="zh-CN"/>
              </w:rPr>
              <w:t>，</w:t>
            </w:r>
            <w:r>
              <w:rPr>
                <w:rFonts w:hint="default" w:ascii="Times New Roman" w:hAnsi="Times New Roman" w:eastAsia="宋体" w:cs="Times New Roman"/>
                <w:bCs/>
                <w:color w:val="auto"/>
                <w:sz w:val="24"/>
                <w:szCs w:val="24"/>
                <w:u w:val="none"/>
                <w:lang w:val="en-US" w:eastAsia="zh-CN"/>
              </w:rPr>
              <w:t>同时厂区应设置消防废水收集池，容积50m</w:t>
            </w:r>
            <w:r>
              <w:rPr>
                <w:rFonts w:hint="default" w:ascii="Times New Roman" w:hAnsi="Times New Roman" w:eastAsia="宋体" w:cs="Times New Roman"/>
                <w:bCs/>
                <w:color w:val="auto"/>
                <w:sz w:val="24"/>
                <w:szCs w:val="24"/>
                <w:u w:val="none"/>
                <w:vertAlign w:val="superscript"/>
                <w:lang w:val="en-US" w:eastAsia="zh-CN"/>
              </w:rPr>
              <w:t>3</w:t>
            </w:r>
            <w:r>
              <w:rPr>
                <w:rFonts w:hint="default" w:ascii="Times New Roman" w:hAnsi="Times New Roman" w:eastAsia="宋体" w:cs="Times New Roman"/>
                <w:bCs/>
                <w:color w:val="auto"/>
                <w:sz w:val="24"/>
                <w:szCs w:val="24"/>
                <w:u w:val="none"/>
                <w:lang w:val="en-US" w:eastAsia="zh-CN"/>
              </w:rPr>
              <w:t>，用于收集</w:t>
            </w:r>
            <w:r>
              <w:rPr>
                <w:rFonts w:hint="default" w:ascii="Times New Roman" w:hAnsi="Times New Roman" w:eastAsia="宋体" w:cs="Times New Roman"/>
                <w:bCs/>
                <w:color w:val="auto"/>
                <w:sz w:val="24"/>
                <w:szCs w:val="24"/>
                <w:u w:val="none"/>
              </w:rPr>
              <w:t>事故时</w:t>
            </w:r>
            <w:r>
              <w:rPr>
                <w:rFonts w:hint="default" w:ascii="Times New Roman" w:hAnsi="Times New Roman" w:eastAsia="宋体" w:cs="Times New Roman"/>
                <w:bCs/>
                <w:color w:val="auto"/>
                <w:sz w:val="24"/>
                <w:szCs w:val="24"/>
                <w:u w:val="none"/>
                <w:lang w:val="en-US" w:eastAsia="zh-CN"/>
              </w:rPr>
              <w:t>产生的</w:t>
            </w:r>
            <w:r>
              <w:rPr>
                <w:rFonts w:hint="default" w:ascii="Times New Roman" w:hAnsi="Times New Roman" w:eastAsia="宋体" w:cs="Times New Roman"/>
                <w:bCs/>
                <w:color w:val="auto"/>
                <w:sz w:val="24"/>
                <w:szCs w:val="24"/>
                <w:u w:val="none"/>
              </w:rPr>
              <w:t>消防</w:t>
            </w:r>
            <w:r>
              <w:rPr>
                <w:rFonts w:hint="default" w:ascii="Times New Roman" w:hAnsi="Times New Roman" w:eastAsia="宋体" w:cs="Times New Roman"/>
                <w:bCs/>
                <w:color w:val="auto"/>
                <w:sz w:val="24"/>
                <w:szCs w:val="24"/>
                <w:u w:val="none"/>
                <w:lang w:val="en-US" w:eastAsia="zh-CN"/>
              </w:rPr>
              <w:t>废水。</w:t>
            </w:r>
            <w:r>
              <w:rPr>
                <w:rFonts w:hint="default" w:ascii="Times New Roman" w:hAnsi="Times New Roman" w:eastAsia="宋体" w:cs="Times New Roman"/>
                <w:bCs/>
                <w:color w:val="auto"/>
                <w:sz w:val="24"/>
                <w:szCs w:val="24"/>
                <w:u w:val="none"/>
              </w:rPr>
              <w:t>为了</w:t>
            </w:r>
            <w:r>
              <w:rPr>
                <w:rFonts w:hint="default" w:ascii="Times New Roman" w:hAnsi="Times New Roman" w:eastAsia="宋体" w:cs="Times New Roman"/>
                <w:bCs/>
                <w:color w:val="auto"/>
                <w:sz w:val="24"/>
                <w:szCs w:val="24"/>
                <w:u w:val="none"/>
                <w:lang w:val="en-US" w:eastAsia="zh-CN"/>
              </w:rPr>
              <w:t>进一步</w:t>
            </w:r>
            <w:r>
              <w:rPr>
                <w:rFonts w:hint="default" w:ascii="Times New Roman" w:hAnsi="Times New Roman" w:eastAsia="宋体" w:cs="Times New Roman"/>
                <w:bCs/>
                <w:color w:val="auto"/>
                <w:sz w:val="24"/>
                <w:szCs w:val="24"/>
                <w:u w:val="none"/>
              </w:rPr>
              <w:t>控制和减少事故情况下</w:t>
            </w:r>
            <w:r>
              <w:rPr>
                <w:rFonts w:hint="default" w:ascii="Times New Roman" w:hAnsi="Times New Roman" w:eastAsia="宋体" w:cs="Times New Roman"/>
                <w:bCs/>
                <w:color w:val="auto"/>
                <w:sz w:val="24"/>
                <w:szCs w:val="24"/>
                <w:u w:val="none"/>
                <w:lang w:val="en-US" w:eastAsia="zh-CN"/>
              </w:rPr>
              <w:t>消防废水</w:t>
            </w:r>
            <w:r>
              <w:rPr>
                <w:rFonts w:hint="default" w:ascii="Times New Roman" w:hAnsi="Times New Roman" w:eastAsia="宋体" w:cs="Times New Roman"/>
                <w:bCs/>
                <w:color w:val="auto"/>
                <w:sz w:val="24"/>
                <w:szCs w:val="24"/>
                <w:u w:val="none"/>
              </w:rPr>
              <w:t>从雨水排水系统进入</w:t>
            </w:r>
            <w:r>
              <w:rPr>
                <w:rFonts w:hint="default" w:ascii="Times New Roman" w:hAnsi="Times New Roman" w:eastAsia="宋体" w:cs="Times New Roman"/>
                <w:bCs/>
                <w:color w:val="auto"/>
                <w:sz w:val="24"/>
                <w:szCs w:val="24"/>
                <w:u w:val="none"/>
                <w:lang w:val="en-US" w:eastAsia="zh-CN"/>
              </w:rPr>
              <w:t>外</w:t>
            </w:r>
            <w:r>
              <w:rPr>
                <w:rFonts w:hint="default" w:ascii="Times New Roman" w:hAnsi="Times New Roman" w:eastAsia="宋体" w:cs="Times New Roman"/>
                <w:bCs/>
                <w:color w:val="auto"/>
                <w:sz w:val="24"/>
                <w:szCs w:val="24"/>
                <w:u w:val="none"/>
              </w:rPr>
              <w:t>环境，</w:t>
            </w:r>
            <w:r>
              <w:rPr>
                <w:rFonts w:hint="default" w:ascii="Times New Roman" w:hAnsi="Times New Roman" w:eastAsia="宋体" w:cs="Times New Roman"/>
                <w:bCs/>
                <w:color w:val="auto"/>
                <w:sz w:val="24"/>
                <w:szCs w:val="24"/>
                <w:u w:val="none"/>
                <w:lang w:val="en-US" w:eastAsia="zh-CN"/>
              </w:rPr>
              <w:t>项目</w:t>
            </w:r>
            <w:r>
              <w:rPr>
                <w:rFonts w:hint="default" w:ascii="Times New Roman" w:hAnsi="Times New Roman" w:eastAsia="宋体" w:cs="Times New Roman"/>
                <w:bCs/>
                <w:color w:val="auto"/>
                <w:sz w:val="24"/>
                <w:szCs w:val="24"/>
                <w:u w:val="none"/>
              </w:rPr>
              <w:t>雨水</w:t>
            </w:r>
            <w:r>
              <w:rPr>
                <w:rFonts w:hint="default" w:ascii="Times New Roman" w:hAnsi="Times New Roman" w:eastAsia="宋体" w:cs="Times New Roman"/>
                <w:bCs/>
                <w:color w:val="auto"/>
                <w:sz w:val="24"/>
                <w:szCs w:val="24"/>
                <w:u w:val="none"/>
                <w:lang w:val="en-US" w:eastAsia="zh-CN"/>
              </w:rPr>
              <w:t>系统</w:t>
            </w:r>
            <w:r>
              <w:rPr>
                <w:rFonts w:hint="default" w:ascii="Times New Roman" w:hAnsi="Times New Roman" w:eastAsia="宋体" w:cs="Times New Roman"/>
                <w:bCs/>
                <w:color w:val="auto"/>
                <w:sz w:val="24"/>
                <w:szCs w:val="24"/>
                <w:u w:val="none"/>
              </w:rPr>
              <w:t>排出厂区前</w:t>
            </w:r>
            <w:r>
              <w:rPr>
                <w:rFonts w:hint="default" w:ascii="Times New Roman" w:hAnsi="Times New Roman" w:eastAsia="宋体" w:cs="Times New Roman"/>
                <w:bCs/>
                <w:color w:val="auto"/>
                <w:sz w:val="24"/>
                <w:szCs w:val="24"/>
                <w:u w:val="none"/>
                <w:lang w:val="en-US" w:eastAsia="zh-CN"/>
              </w:rPr>
              <w:t>应</w:t>
            </w:r>
            <w:r>
              <w:rPr>
                <w:rFonts w:hint="default" w:ascii="Times New Roman" w:hAnsi="Times New Roman" w:eastAsia="宋体" w:cs="Times New Roman"/>
                <w:bCs/>
                <w:color w:val="auto"/>
                <w:sz w:val="24"/>
                <w:szCs w:val="24"/>
                <w:u w:val="none"/>
              </w:rPr>
              <w:t>设置应急阀和切换装置</w:t>
            </w:r>
            <w:r>
              <w:rPr>
                <w:rFonts w:hint="default" w:ascii="Times New Roman" w:hAnsi="Times New Roman" w:eastAsia="宋体" w:cs="Times New Roman"/>
                <w:bCs/>
                <w:color w:val="auto"/>
                <w:sz w:val="24"/>
                <w:szCs w:val="24"/>
                <w:u w:val="none"/>
                <w:lang w:eastAsia="zh-CN"/>
              </w:rPr>
              <w:t>，</w:t>
            </w:r>
            <w:r>
              <w:rPr>
                <w:rFonts w:hint="default" w:ascii="Times New Roman" w:hAnsi="Times New Roman" w:eastAsia="宋体" w:cs="Times New Roman"/>
                <w:bCs/>
                <w:color w:val="auto"/>
                <w:sz w:val="24"/>
                <w:szCs w:val="24"/>
                <w:u w:val="none"/>
              </w:rPr>
              <w:t>并设立自动切换设施</w:t>
            </w:r>
            <w:r>
              <w:rPr>
                <w:rFonts w:hint="default" w:ascii="Times New Roman" w:hAnsi="Times New Roman" w:eastAsia="宋体" w:cs="Times New Roman"/>
                <w:bCs/>
                <w:color w:val="auto"/>
                <w:sz w:val="24"/>
                <w:szCs w:val="24"/>
                <w:u w:val="none"/>
                <w:lang w:eastAsia="zh-CN"/>
              </w:rPr>
              <w:t>，</w:t>
            </w:r>
            <w:r>
              <w:rPr>
                <w:rFonts w:hint="default" w:ascii="Times New Roman" w:hAnsi="Times New Roman" w:eastAsia="宋体" w:cs="Times New Roman"/>
                <w:bCs/>
                <w:color w:val="auto"/>
                <w:sz w:val="24"/>
                <w:szCs w:val="24"/>
                <w:u w:val="none"/>
              </w:rPr>
              <w:t>漫流进入雨水管网的消防废水切换至</w:t>
            </w:r>
            <w:r>
              <w:rPr>
                <w:rFonts w:hint="default" w:ascii="Times New Roman" w:hAnsi="Times New Roman" w:eastAsia="宋体" w:cs="Times New Roman"/>
                <w:bCs/>
                <w:color w:val="auto"/>
                <w:sz w:val="24"/>
                <w:szCs w:val="24"/>
                <w:u w:val="none"/>
                <w:lang w:val="en-US" w:eastAsia="zh-CN"/>
              </w:rPr>
              <w:t>消防水</w:t>
            </w:r>
            <w:r>
              <w:rPr>
                <w:rFonts w:hint="default" w:ascii="Times New Roman" w:hAnsi="Times New Roman" w:eastAsia="宋体" w:cs="Times New Roman"/>
                <w:bCs/>
                <w:color w:val="auto"/>
                <w:sz w:val="24"/>
                <w:szCs w:val="24"/>
                <w:u w:val="none"/>
              </w:rPr>
              <w:t>池，杜绝事故情况下废水直接进入地表水体。</w:t>
            </w:r>
          </w:p>
          <w:p>
            <w:pPr>
              <w:adjustRightInd w:val="0"/>
              <w:snapToGrid w:val="0"/>
              <w:spacing w:line="360" w:lineRule="auto"/>
              <w:ind w:firstLine="50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lang w:val="en-US" w:eastAsia="zh-CN"/>
              </w:rPr>
              <w:t>4</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加强防火巡查检查</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落实逐级消防安全责任制和岗位消防安全责任制，落实巡查检查制度，若发现本单位存在火灾隐患，应及时整改；</w:t>
            </w:r>
          </w:p>
          <w:p>
            <w:pPr>
              <w:adjustRightInd w:val="0"/>
              <w:snapToGrid w:val="0"/>
              <w:spacing w:line="360" w:lineRule="auto"/>
              <w:ind w:firstLine="50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lang w:val="en-US" w:eastAsia="zh-CN"/>
              </w:rPr>
              <w:t>5</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加强对</w:t>
            </w:r>
            <w:r>
              <w:rPr>
                <w:rFonts w:hint="default" w:ascii="Times New Roman" w:hAnsi="Times New Roman" w:eastAsia="宋体" w:cs="Times New Roman"/>
                <w:color w:val="auto"/>
                <w:sz w:val="24"/>
                <w:u w:val="none"/>
                <w:lang w:val="en-US" w:eastAsia="zh-CN"/>
              </w:rPr>
              <w:t>废塑料及塑料颗粒</w:t>
            </w:r>
            <w:r>
              <w:rPr>
                <w:rFonts w:hint="default" w:ascii="Times New Roman" w:hAnsi="Times New Roman" w:eastAsia="宋体" w:cs="Times New Roman"/>
                <w:color w:val="auto"/>
                <w:sz w:val="24"/>
                <w:u w:val="none"/>
              </w:rPr>
              <w:t>存放区的安全管理</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落实责任制，</w:t>
            </w:r>
            <w:r>
              <w:rPr>
                <w:rFonts w:hint="default" w:ascii="Times New Roman" w:hAnsi="Times New Roman" w:eastAsia="宋体" w:cs="Times New Roman"/>
                <w:color w:val="auto"/>
                <w:sz w:val="24"/>
                <w:u w:val="none"/>
                <w:lang w:val="en-US" w:eastAsia="zh-CN"/>
              </w:rPr>
              <w:t>废塑料及塑料颗粒存放区</w:t>
            </w:r>
            <w:r>
              <w:rPr>
                <w:rFonts w:hint="default" w:ascii="Times New Roman" w:hAnsi="Times New Roman" w:eastAsia="宋体" w:cs="Times New Roman"/>
                <w:color w:val="auto"/>
                <w:sz w:val="24"/>
                <w:u w:val="none"/>
              </w:rPr>
              <w:t>分设</w:t>
            </w:r>
            <w:r>
              <w:rPr>
                <w:rFonts w:hint="default" w:ascii="Times New Roman" w:hAnsi="Times New Roman" w:eastAsia="宋体" w:cs="Times New Roman"/>
                <w:color w:val="auto"/>
                <w:sz w:val="24"/>
                <w:u w:val="none"/>
                <w:lang w:val="en-US" w:eastAsia="zh-CN"/>
              </w:rPr>
              <w:t>专人</w:t>
            </w:r>
            <w:r>
              <w:rPr>
                <w:rFonts w:hint="default" w:ascii="Times New Roman" w:hAnsi="Times New Roman" w:eastAsia="宋体" w:cs="Times New Roman"/>
                <w:color w:val="auto"/>
                <w:sz w:val="24"/>
                <w:u w:val="none"/>
              </w:rPr>
              <w:t>看管，确保仓库消防隐患时刻监控；</w:t>
            </w:r>
          </w:p>
          <w:p>
            <w:pPr>
              <w:adjustRightInd w:val="0"/>
              <w:snapToGrid w:val="0"/>
              <w:spacing w:line="360" w:lineRule="auto"/>
              <w:ind w:firstLine="50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lang w:val="en-US" w:eastAsia="zh-CN"/>
              </w:rPr>
              <w:t>6</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lang w:val="en-US" w:eastAsia="zh-CN"/>
              </w:rPr>
              <w:t>废塑料及塑料颗粒存放区</w:t>
            </w:r>
            <w:r>
              <w:rPr>
                <w:rFonts w:hint="default" w:ascii="Times New Roman" w:hAnsi="Times New Roman" w:eastAsia="宋体" w:cs="Times New Roman"/>
                <w:color w:val="auto"/>
                <w:sz w:val="24"/>
                <w:u w:val="none"/>
              </w:rPr>
              <w:t>设置为禁火区，远离明火、禁烟；厂房设置防火通道，禁止在通道内堆放物品，并配备防火器材；</w:t>
            </w:r>
          </w:p>
          <w:p>
            <w:pPr>
              <w:adjustRightInd w:val="0"/>
              <w:snapToGrid w:val="0"/>
              <w:spacing w:line="360" w:lineRule="auto"/>
              <w:ind w:firstLine="50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lang w:val="en-US" w:eastAsia="zh-CN"/>
              </w:rPr>
              <w:t>7</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如突发火灾，应立即采取急救措施，并及时向当地环保局等有关部门报告。一旦发生火灾事故，迅速按灭火作战预案紧急处理。</w:t>
            </w:r>
          </w:p>
          <w:p>
            <w:pPr>
              <w:adjustRightInd w:val="0"/>
              <w:snapToGrid w:val="0"/>
              <w:spacing w:line="360" w:lineRule="auto"/>
              <w:ind w:firstLine="500" w:firstLineChars="200"/>
              <w:rPr>
                <w:rFonts w:hint="default" w:ascii="Times New Roman" w:hAnsi="Times New Roman" w:cs="Times New Roman"/>
                <w:b/>
                <w:bCs/>
                <w:color w:val="auto"/>
                <w:sz w:val="24"/>
                <w:u w:val="none"/>
              </w:rPr>
            </w:pPr>
            <w:r>
              <w:rPr>
                <w:rFonts w:hint="default" w:ascii="Times New Roman" w:hAnsi="Times New Roman" w:cs="Times New Roman"/>
                <w:b/>
                <w:bCs/>
                <w:color w:val="auto"/>
                <w:sz w:val="24"/>
                <w:u w:val="none"/>
                <w:lang w:val="en-US" w:eastAsia="zh-CN"/>
              </w:rPr>
              <w:t>4、</w:t>
            </w:r>
            <w:r>
              <w:rPr>
                <w:rFonts w:hint="default" w:ascii="Times New Roman" w:hAnsi="Times New Roman" w:cs="Times New Roman"/>
                <w:b/>
                <w:bCs/>
                <w:color w:val="auto"/>
                <w:sz w:val="24"/>
                <w:u w:val="none"/>
              </w:rPr>
              <w:t>风险应急预案</w:t>
            </w:r>
          </w:p>
          <w:p>
            <w:pPr>
              <w:adjustRightInd w:val="0"/>
              <w:snapToGrid w:val="0"/>
              <w:spacing w:line="360" w:lineRule="auto"/>
              <w:ind w:firstLine="500" w:firstLineChars="200"/>
              <w:rPr>
                <w:color w:val="auto"/>
                <w:sz w:val="24"/>
                <w:u w:val="none"/>
              </w:rPr>
            </w:pPr>
            <w:r>
              <w:rPr>
                <w:rFonts w:hint="eastAsia"/>
                <w:color w:val="auto"/>
                <w:sz w:val="24"/>
                <w:u w:val="none"/>
              </w:rPr>
              <w:t>根据国家环保局（90）环管字第057号文</w:t>
            </w:r>
            <w:r>
              <w:rPr>
                <w:color w:val="auto"/>
                <w:sz w:val="24"/>
                <w:u w:val="none"/>
              </w:rPr>
              <w:t>《关于对重大环境污染事故隐患进行风险评价的通知》</w:t>
            </w:r>
            <w:r>
              <w:rPr>
                <w:rFonts w:hint="eastAsia"/>
                <w:color w:val="auto"/>
                <w:sz w:val="24"/>
                <w:u w:val="none"/>
              </w:rPr>
              <w:t>的要求，通过对污染事故的风险评价，各有关企业单位应加强安全生产管理，制定重大环境事故发生的应急预案，消除事故隐患的实施及突发性事故应急办法等。本项目应根据生产特点和事故隐患分析，制定突发事故应急预案，见下表。</w:t>
            </w:r>
          </w:p>
          <w:p>
            <w:pPr>
              <w:pStyle w:val="8"/>
              <w:spacing w:after="0"/>
              <w:ind w:left="0" w:leftChars="0" w:firstLine="0" w:firstLineChars="0"/>
              <w:jc w:val="center"/>
              <w:rPr>
                <w:rFonts w:hint="eastAsia" w:ascii="Times New Roman" w:hAnsi="Times New Roman" w:eastAsia="宋体"/>
                <w:b/>
                <w:bCs/>
                <w:color w:val="auto"/>
                <w:sz w:val="24"/>
                <w:szCs w:val="20"/>
                <w:u w:val="none"/>
                <w:lang w:val="en-US" w:eastAsia="zh-CN"/>
              </w:rPr>
            </w:pPr>
            <w:r>
              <w:rPr>
                <w:rFonts w:hint="eastAsia" w:ascii="Times New Roman" w:hAnsi="Times New Roman"/>
                <w:b/>
                <w:bCs/>
                <w:color w:val="auto"/>
                <w:sz w:val="24"/>
                <w:szCs w:val="20"/>
                <w:u w:val="none"/>
              </w:rPr>
              <w:t>表4-</w:t>
            </w:r>
            <w:r>
              <w:rPr>
                <w:rFonts w:hint="eastAsia"/>
                <w:b/>
                <w:bCs/>
                <w:color w:val="auto"/>
                <w:sz w:val="24"/>
                <w:szCs w:val="20"/>
                <w:u w:val="none"/>
                <w:lang w:val="en-US" w:eastAsia="zh-CN"/>
              </w:rPr>
              <w:t>22</w:t>
            </w:r>
            <w:r>
              <w:rPr>
                <w:rFonts w:hint="eastAsia" w:ascii="Times New Roman" w:hAnsi="Times New Roman"/>
                <w:b/>
                <w:bCs/>
                <w:color w:val="auto"/>
                <w:sz w:val="24"/>
                <w:szCs w:val="20"/>
                <w:u w:val="none"/>
              </w:rPr>
              <w:t xml:space="preserve">     应急预案内容</w:t>
            </w:r>
            <w:r>
              <w:rPr>
                <w:rFonts w:hint="eastAsia"/>
                <w:b/>
                <w:bCs/>
                <w:color w:val="auto"/>
                <w:sz w:val="24"/>
                <w:szCs w:val="20"/>
                <w:u w:val="none"/>
                <w:lang w:val="en-US" w:eastAsia="zh-CN"/>
              </w:rPr>
              <w:t>表</w:t>
            </w:r>
          </w:p>
          <w:tbl>
            <w:tblPr>
              <w:tblStyle w:val="11"/>
              <w:tblW w:w="89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585"/>
              <w:gridCol w:w="5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738"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序号</w:t>
                  </w:r>
                </w:p>
              </w:tc>
              <w:tc>
                <w:tcPr>
                  <w:tcW w:w="2585"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项目</w:t>
                  </w:r>
                </w:p>
              </w:tc>
              <w:tc>
                <w:tcPr>
                  <w:tcW w:w="5653"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738"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w:t>
                  </w:r>
                </w:p>
              </w:tc>
              <w:tc>
                <w:tcPr>
                  <w:tcW w:w="2585" w:type="dxa"/>
                  <w:vAlign w:val="center"/>
                </w:tcPr>
                <w:p>
                  <w:pPr>
                    <w:snapToGrid w:val="0"/>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应急计划区</w:t>
                  </w:r>
                </w:p>
              </w:tc>
              <w:tc>
                <w:tcPr>
                  <w:tcW w:w="5653"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危险目标：</w:t>
                  </w:r>
                  <w:r>
                    <w:rPr>
                      <w:rFonts w:hint="default" w:ascii="Times New Roman" w:hAnsi="Times New Roman" w:cs="Times New Roman"/>
                      <w:color w:val="auto"/>
                      <w:sz w:val="21"/>
                      <w:szCs w:val="21"/>
                      <w:u w:val="none"/>
                      <w:lang w:eastAsia="zh-CN"/>
                    </w:rPr>
                    <w:t>原料区</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成品区</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危废暂存间、</w:t>
                  </w:r>
                  <w:r>
                    <w:rPr>
                      <w:rFonts w:hint="default" w:ascii="Times New Roman" w:hAnsi="Times New Roman" w:cs="Times New Roman"/>
                      <w:color w:val="auto"/>
                      <w:sz w:val="21"/>
                      <w:szCs w:val="21"/>
                      <w:u w:val="none"/>
                    </w:rPr>
                    <w:t>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738"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w:t>
                  </w:r>
                </w:p>
              </w:tc>
              <w:tc>
                <w:tcPr>
                  <w:tcW w:w="2585"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应急组织机构、人员</w:t>
                  </w:r>
                </w:p>
              </w:tc>
              <w:tc>
                <w:tcPr>
                  <w:tcW w:w="5653"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工厂、地区应急组织机构、人员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38"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3</w:t>
                  </w:r>
                </w:p>
              </w:tc>
              <w:tc>
                <w:tcPr>
                  <w:tcW w:w="2585"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预案分级响应条件</w:t>
                  </w:r>
                </w:p>
              </w:tc>
              <w:tc>
                <w:tcPr>
                  <w:tcW w:w="5653"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738"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4</w:t>
                  </w:r>
                </w:p>
              </w:tc>
              <w:tc>
                <w:tcPr>
                  <w:tcW w:w="2585"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应急救援保障</w:t>
                  </w:r>
                </w:p>
              </w:tc>
              <w:tc>
                <w:tcPr>
                  <w:tcW w:w="5653"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738"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5</w:t>
                  </w:r>
                </w:p>
              </w:tc>
              <w:tc>
                <w:tcPr>
                  <w:tcW w:w="2585"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报警、通讯联络方式</w:t>
                  </w:r>
                </w:p>
              </w:tc>
              <w:tc>
                <w:tcPr>
                  <w:tcW w:w="5653"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738"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6</w:t>
                  </w:r>
                </w:p>
              </w:tc>
              <w:tc>
                <w:tcPr>
                  <w:tcW w:w="2585"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应急环境监测、抢险、救援及控制措施</w:t>
                  </w:r>
                </w:p>
              </w:tc>
              <w:tc>
                <w:tcPr>
                  <w:tcW w:w="5653"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由专业队伍负责对事故现场进行侦查监测，对事故性质、参数与后果进行评估，为指挥部门提供决策依据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8" w:hRule="atLeast"/>
                <w:jc w:val="center"/>
              </w:trPr>
              <w:tc>
                <w:tcPr>
                  <w:tcW w:w="738"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7</w:t>
                  </w:r>
                </w:p>
              </w:tc>
              <w:tc>
                <w:tcPr>
                  <w:tcW w:w="2585"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应急检测、防护措施、清除措施和器材</w:t>
                  </w:r>
                </w:p>
              </w:tc>
              <w:tc>
                <w:tcPr>
                  <w:tcW w:w="5653"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738"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8</w:t>
                  </w:r>
                </w:p>
              </w:tc>
              <w:tc>
                <w:tcPr>
                  <w:tcW w:w="2585"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人员紧急撤离、疏散，应急剂量控制、撤离组织计划</w:t>
                  </w:r>
                </w:p>
              </w:tc>
              <w:tc>
                <w:tcPr>
                  <w:tcW w:w="5653"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事故现场、工厂邻近区、受事故影响的区域人员及公众对毒物应急剂量控制规定，撤离组织计划及救护，医疗救护与公众健康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738"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9</w:t>
                  </w:r>
                </w:p>
              </w:tc>
              <w:tc>
                <w:tcPr>
                  <w:tcW w:w="2585"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事故应急救援关闭程序与恢复措施</w:t>
                  </w:r>
                </w:p>
              </w:tc>
              <w:tc>
                <w:tcPr>
                  <w:tcW w:w="5653"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规定应急状态终止程序；事故现场善后处理，恢复措施；邻近区域解除事故警戒及善后恢复措施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10</w:t>
                  </w:r>
                </w:p>
              </w:tc>
              <w:tc>
                <w:tcPr>
                  <w:tcW w:w="2585"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应急培训计划</w:t>
                  </w:r>
                </w:p>
              </w:tc>
              <w:tc>
                <w:tcPr>
                  <w:tcW w:w="5653"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应急计划制定后，平时安排人员培训与演练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8"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11</w:t>
                  </w:r>
                </w:p>
              </w:tc>
              <w:tc>
                <w:tcPr>
                  <w:tcW w:w="2585"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公众教育和信息</w:t>
                  </w:r>
                </w:p>
              </w:tc>
              <w:tc>
                <w:tcPr>
                  <w:tcW w:w="5653" w:type="dxa"/>
                  <w:vAlign w:val="center"/>
                </w:tcPr>
                <w:p>
                  <w:pPr>
                    <w:spacing w:line="36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对工厂邻近地区开展公众教育、培训和发布有关信息</w:t>
                  </w:r>
                </w:p>
              </w:tc>
            </w:tr>
          </w:tbl>
          <w:p>
            <w:pPr>
              <w:spacing w:before="0" w:after="0" w:line="360" w:lineRule="auto"/>
              <w:ind w:left="440" w:leftChars="200"/>
              <w:jc w:val="both"/>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5、</w:t>
            </w:r>
            <w:r>
              <w:rPr>
                <w:rFonts w:hint="default" w:ascii="Times New Roman" w:hAnsi="Times New Roman" w:cs="Times New Roman"/>
                <w:b/>
                <w:bCs/>
                <w:sz w:val="24"/>
                <w:szCs w:val="24"/>
              </w:rPr>
              <w:t>小结</w:t>
            </w:r>
          </w:p>
          <w:p>
            <w:pPr>
              <w:spacing w:before="0" w:after="0" w:line="360" w:lineRule="auto"/>
              <w:ind w:firstLine="50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综上所述，建设单位要从多方面积极采取防护措施，加强风险管理，通过相应的技术手段降低风险发生概率，在落实本环评提出的风险防范措施、作好应急预案的前提下，本项目所发生的环境风险可以控制在较低的水平，本项目的事故风险处于可接受水平。</w:t>
            </w:r>
          </w:p>
          <w:p>
            <w:pPr>
              <w:spacing w:before="0" w:after="0" w:line="360" w:lineRule="auto"/>
              <w:jc w:val="both"/>
              <w:rPr>
                <w:rFonts w:hint="default" w:ascii="Times New Roman" w:hAnsi="Times New Roman" w:cs="Times New Roman"/>
                <w:b/>
                <w:bCs/>
                <w:sz w:val="24"/>
                <w:szCs w:val="24"/>
              </w:rPr>
            </w:pPr>
            <w:r>
              <w:rPr>
                <w:rFonts w:hint="eastAsia" w:ascii="Times New Roman" w:hAnsi="Times New Roman" w:cs="Times New Roman"/>
                <w:b/>
                <w:bCs/>
                <w:sz w:val="24"/>
                <w:szCs w:val="24"/>
                <w:lang w:eastAsia="zh-CN"/>
              </w:rPr>
              <w:t>七</w:t>
            </w:r>
            <w:r>
              <w:rPr>
                <w:rFonts w:hint="default" w:ascii="Times New Roman" w:hAnsi="Times New Roman" w:cs="Times New Roman"/>
                <w:b/>
                <w:bCs/>
                <w:sz w:val="24"/>
                <w:szCs w:val="24"/>
              </w:rPr>
              <w:t>、电磁辐射</w:t>
            </w:r>
          </w:p>
          <w:p>
            <w:pPr>
              <w:pStyle w:val="2"/>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本项目不属于电磁辐射类项目，根据编制技术指南要求，不需要开展电磁辐射专项评价</w:t>
            </w:r>
          </w:p>
          <w:p>
            <w:pPr>
              <w:spacing w:before="0" w:after="0" w:line="360" w:lineRule="auto"/>
              <w:jc w:val="both"/>
              <w:rPr>
                <w:rFonts w:hint="default" w:ascii="Times New Roman" w:hAnsi="Times New Roman" w:cs="Times New Roman"/>
                <w:b/>
                <w:bCs/>
                <w:sz w:val="24"/>
                <w:szCs w:val="24"/>
              </w:rPr>
            </w:pPr>
            <w:r>
              <w:rPr>
                <w:rFonts w:hint="eastAsia" w:ascii="Times New Roman" w:hAnsi="Times New Roman" w:cs="Times New Roman"/>
                <w:b/>
                <w:bCs/>
                <w:sz w:val="24"/>
                <w:szCs w:val="24"/>
                <w:lang w:eastAsia="zh-CN"/>
              </w:rPr>
              <w:t>八</w:t>
            </w:r>
            <w:r>
              <w:rPr>
                <w:rFonts w:hint="default" w:ascii="Times New Roman" w:hAnsi="Times New Roman" w:cs="Times New Roman"/>
                <w:b/>
                <w:bCs/>
                <w:sz w:val="24"/>
                <w:szCs w:val="24"/>
              </w:rPr>
              <w:t>、环境保护管理及监测计划</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8.1 环境管理</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环境保护是现代企业管理的一个重要组成部分，为做好环境保护和“三废”治理工作，充分发挥各项环保设施的作用。评价建议建设单位设置环境管理机构，并配备专业的管理人员，建立各项管理制度。环境管理机构的职责如下：</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①认真贯彻执行国家、省、州及行业部门制定的环保法规和各项规章制度及具体要求。</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②负责制定企业近期、远期、环境保护规划，按计划实施、落实环保规划。</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③各职能部门编制环保管理方案，协调、协助有关部门实施环境管理方案。</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④协调内、外部环保工作的交流和沟通，并对相关方的意见或投诉做出回应或处理。</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⑤协调和监督各部门工作运行情况，包括督促、检查各有关部门的环保设施管理工作，设备运行记录情况，环保法规、以及上级领导所下达的工作及任务的执行情况。</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⑥积极研究、开发污染治理及综合利用技术，推广应用环保先进技术和经验。</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⑦负责公司环保的统计工作，按时、准确地填写，上报各种环保报表，及时整理和归档各类环保资料。</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⑧按照规定定期向有关环保执法部门及相关部门办理排污申报、登记和缴纳各种费用等事宜。</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⑨参与工程项目的设计、审查和验收，监督检查环保设施的“三同时”等规定的贯彻执行情况。按有关规定向相关部门进行申报和办理各种审批手续。</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⑩通过各种形式，对职工进行环境保护的宣传教育活动。</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8.2 排污口规范化设置</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根据《关于开展排污口规范化整治工作的通知》（环发[1999]24号）规定，排污口应进行规范化设计，具备采样、监测条件，排放口附近树立环保图形标志牌。环保标志明显，排污口明显，排污口设置合理，排污口去向合理，便于采集样品，便于监测计量，便于公众监督管理。按照国家环境保护部制定的《〈环境保护图形标志〉实施细则（试行）》（环监【1996】463号）的规定，在各排污口设立相应的环境保护图形标志牌。具体要求见下表。</w:t>
            </w:r>
          </w:p>
          <w:p>
            <w:pPr>
              <w:pStyle w:val="2"/>
              <w:spacing w:before="0" w:after="0"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表4-</w:t>
            </w:r>
            <w:r>
              <w:rPr>
                <w:rFonts w:hint="eastAsia" w:ascii="Times New Roman" w:hAnsi="Times New Roman" w:cs="Times New Roman"/>
                <w:b/>
                <w:bCs/>
                <w:sz w:val="24"/>
                <w:szCs w:val="24"/>
                <w:lang w:val="en-US" w:eastAsia="zh-CN"/>
              </w:rPr>
              <w:t xml:space="preserve">23  </w:t>
            </w:r>
            <w:r>
              <w:rPr>
                <w:rFonts w:hint="default" w:ascii="Times New Roman" w:hAnsi="Times New Roman" w:cs="Times New Roman"/>
                <w:b/>
                <w:bCs/>
                <w:sz w:val="24"/>
                <w:szCs w:val="24"/>
              </w:rPr>
              <w:t>环境保护图形符号一览表</w:t>
            </w:r>
          </w:p>
          <w:tbl>
            <w:tblPr>
              <w:tblStyle w:val="12"/>
              <w:tblW w:w="8976" w:type="dxa"/>
              <w:tblInd w:w="5"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978"/>
              <w:gridCol w:w="1677"/>
              <w:gridCol w:w="1650"/>
              <w:gridCol w:w="290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5"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978"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提示图形符号</w:t>
                  </w:r>
                </w:p>
              </w:tc>
              <w:tc>
                <w:tcPr>
                  <w:tcW w:w="1677"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警告图形符号</w:t>
                  </w:r>
                </w:p>
              </w:tc>
              <w:tc>
                <w:tcPr>
                  <w:tcW w:w="1650"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2906"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功能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5" w:type="dxa"/>
                  <w:vAlign w:val="center"/>
                </w:tcPr>
                <w:p>
                  <w:pPr>
                    <w:spacing w:line="36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1</w:t>
                  </w:r>
                </w:p>
              </w:tc>
              <w:tc>
                <w:tcPr>
                  <w:tcW w:w="1978"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762000" cy="762000"/>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8"/>
                                <a:stretch>
                                  <a:fillRect/>
                                </a:stretch>
                              </pic:blipFill>
                              <pic:spPr>
                                <a:xfrm>
                                  <a:off x="0" y="0"/>
                                  <a:ext cx="762000" cy="762000"/>
                                </a:xfrm>
                                <a:prstGeom prst="rect">
                                  <a:avLst/>
                                </a:prstGeom>
                                <a:noFill/>
                                <a:ln>
                                  <a:noFill/>
                                </a:ln>
                              </pic:spPr>
                            </pic:pic>
                          </a:graphicData>
                        </a:graphic>
                      </wp:inline>
                    </w:drawing>
                  </w:r>
                </w:p>
              </w:tc>
              <w:tc>
                <w:tcPr>
                  <w:tcW w:w="1677"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894715" cy="826770"/>
                        <wp:effectExtent l="0" t="0" r="635" b="1143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9"/>
                                <a:stretch>
                                  <a:fillRect/>
                                </a:stretch>
                              </pic:blipFill>
                              <pic:spPr>
                                <a:xfrm>
                                  <a:off x="0" y="0"/>
                                  <a:ext cx="894715" cy="826770"/>
                                </a:xfrm>
                                <a:prstGeom prst="rect">
                                  <a:avLst/>
                                </a:prstGeom>
                                <a:noFill/>
                                <a:ln>
                                  <a:noFill/>
                                </a:ln>
                              </pic:spPr>
                            </pic:pic>
                          </a:graphicData>
                        </a:graphic>
                      </wp:inline>
                    </w:drawing>
                  </w:r>
                </w:p>
              </w:tc>
              <w:tc>
                <w:tcPr>
                  <w:tcW w:w="1650"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废气排放口</w:t>
                  </w:r>
                </w:p>
              </w:tc>
              <w:tc>
                <w:tcPr>
                  <w:tcW w:w="2906"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表示废气向大气环境排放</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5" w:type="dxa"/>
                  <w:vAlign w:val="center"/>
                </w:tcPr>
                <w:p>
                  <w:pPr>
                    <w:spacing w:line="36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2</w:t>
                  </w:r>
                </w:p>
              </w:tc>
              <w:tc>
                <w:tcPr>
                  <w:tcW w:w="1978"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752475" cy="781050"/>
                        <wp:effectExtent l="0" t="0" r="9525"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0"/>
                                <a:stretch>
                                  <a:fillRect/>
                                </a:stretch>
                              </pic:blipFill>
                              <pic:spPr>
                                <a:xfrm>
                                  <a:off x="0" y="0"/>
                                  <a:ext cx="752475" cy="781050"/>
                                </a:xfrm>
                                <a:prstGeom prst="rect">
                                  <a:avLst/>
                                </a:prstGeom>
                                <a:noFill/>
                                <a:ln>
                                  <a:noFill/>
                                </a:ln>
                              </pic:spPr>
                            </pic:pic>
                          </a:graphicData>
                        </a:graphic>
                      </wp:inline>
                    </w:drawing>
                  </w:r>
                </w:p>
              </w:tc>
              <w:tc>
                <w:tcPr>
                  <w:tcW w:w="1677"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838200" cy="762000"/>
                        <wp:effectExtent l="0" t="0" r="0"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1"/>
                                <a:stretch>
                                  <a:fillRect/>
                                </a:stretch>
                              </pic:blipFill>
                              <pic:spPr>
                                <a:xfrm>
                                  <a:off x="0" y="0"/>
                                  <a:ext cx="838200" cy="762000"/>
                                </a:xfrm>
                                <a:prstGeom prst="rect">
                                  <a:avLst/>
                                </a:prstGeom>
                                <a:noFill/>
                                <a:ln>
                                  <a:noFill/>
                                </a:ln>
                              </pic:spPr>
                            </pic:pic>
                          </a:graphicData>
                        </a:graphic>
                      </wp:inline>
                    </w:drawing>
                  </w:r>
                </w:p>
              </w:tc>
              <w:tc>
                <w:tcPr>
                  <w:tcW w:w="1650"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噪声排放源</w:t>
                  </w:r>
                </w:p>
              </w:tc>
              <w:tc>
                <w:tcPr>
                  <w:tcW w:w="2906"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表示噪声向外环境排放</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5" w:type="dxa"/>
                  <w:vAlign w:val="center"/>
                </w:tcPr>
                <w:p>
                  <w:pPr>
                    <w:spacing w:line="36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3</w:t>
                  </w:r>
                </w:p>
              </w:tc>
              <w:tc>
                <w:tcPr>
                  <w:tcW w:w="1978"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762000" cy="762000"/>
                        <wp:effectExtent l="0" t="0" r="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2"/>
                                <a:stretch>
                                  <a:fillRect/>
                                </a:stretch>
                              </pic:blipFill>
                              <pic:spPr>
                                <a:xfrm>
                                  <a:off x="0" y="0"/>
                                  <a:ext cx="762000" cy="762000"/>
                                </a:xfrm>
                                <a:prstGeom prst="rect">
                                  <a:avLst/>
                                </a:prstGeom>
                                <a:noFill/>
                                <a:ln>
                                  <a:noFill/>
                                </a:ln>
                              </pic:spPr>
                            </pic:pic>
                          </a:graphicData>
                        </a:graphic>
                      </wp:inline>
                    </w:drawing>
                  </w:r>
                </w:p>
              </w:tc>
              <w:tc>
                <w:tcPr>
                  <w:tcW w:w="1677"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drawing>
                      <wp:inline distT="0" distB="0" distL="114300" distR="114300">
                        <wp:extent cx="832485" cy="715645"/>
                        <wp:effectExtent l="0" t="0" r="5715" b="825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3"/>
                                <a:stretch>
                                  <a:fillRect/>
                                </a:stretch>
                              </pic:blipFill>
                              <pic:spPr>
                                <a:xfrm>
                                  <a:off x="0" y="0"/>
                                  <a:ext cx="832485" cy="715645"/>
                                </a:xfrm>
                                <a:prstGeom prst="rect">
                                  <a:avLst/>
                                </a:prstGeom>
                                <a:noFill/>
                                <a:ln>
                                  <a:noFill/>
                                </a:ln>
                              </pic:spPr>
                            </pic:pic>
                          </a:graphicData>
                        </a:graphic>
                      </wp:inline>
                    </w:drawing>
                  </w:r>
                </w:p>
              </w:tc>
              <w:tc>
                <w:tcPr>
                  <w:tcW w:w="1650"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一般固体废物</w:t>
                  </w:r>
                </w:p>
              </w:tc>
              <w:tc>
                <w:tcPr>
                  <w:tcW w:w="2906" w:type="dxa"/>
                  <w:vAlign w:val="center"/>
                </w:tcPr>
                <w:p>
                  <w:pPr>
                    <w:spacing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表示一般固体废物贮存、处置</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5" w:type="dxa"/>
                  <w:vAlign w:val="center"/>
                </w:tcPr>
                <w:p>
                  <w:pPr>
                    <w:spacing w:line="360" w:lineRule="auto"/>
                    <w:jc w:val="center"/>
                    <w:rPr>
                      <w:rFonts w:hint="eastAsia"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4</w:t>
                  </w:r>
                </w:p>
              </w:tc>
              <w:tc>
                <w:tcPr>
                  <w:tcW w:w="1978" w:type="dxa"/>
                  <w:vAlign w:val="center"/>
                </w:tcPr>
                <w:p>
                  <w:pPr>
                    <w:spacing w:line="360" w:lineRule="auto"/>
                    <w:jc w:val="center"/>
                    <w:rPr>
                      <w:rFonts w:hint="default" w:ascii="Times New Roman" w:hAnsi="Times New Roman" w:cs="Times New Roman"/>
                      <w:b w:val="0"/>
                      <w:bCs w:val="0"/>
                      <w:sz w:val="21"/>
                      <w:szCs w:val="21"/>
                      <w:u w:val="none"/>
                    </w:rPr>
                  </w:pPr>
                  <w:r>
                    <w:rPr>
                      <w:rFonts w:hint="eastAsia" w:ascii="Times New Roman" w:hAnsi="Times New Roman" w:cs="Times New Roman"/>
                      <w:b w:val="0"/>
                      <w:bCs w:val="0"/>
                      <w:sz w:val="21"/>
                      <w:szCs w:val="21"/>
                      <w:u w:val="none"/>
                      <w:lang w:val="en-US" w:eastAsia="zh-CN"/>
                    </w:rPr>
                    <w:t>/</w:t>
                  </w:r>
                </w:p>
              </w:tc>
              <w:tc>
                <w:tcPr>
                  <w:tcW w:w="1677" w:type="dxa"/>
                  <w:vAlign w:val="center"/>
                </w:tcPr>
                <w:p>
                  <w:pPr>
                    <w:spacing w:line="360" w:lineRule="auto"/>
                    <w:jc w:val="center"/>
                    <w:rPr>
                      <w:rFonts w:hint="default" w:ascii="Times New Roman" w:hAnsi="Times New Roman" w:cs="Times New Roman"/>
                      <w:b w:val="0"/>
                      <w:bCs w:val="0"/>
                      <w:sz w:val="21"/>
                      <w:szCs w:val="21"/>
                      <w:u w:val="none"/>
                    </w:rPr>
                  </w:pPr>
                  <w:r>
                    <w:rPr>
                      <w:rFonts w:ascii="Times New Roman" w:hAnsi="Times New Roman" w:cs="Times New Roman"/>
                      <w:b w:val="0"/>
                      <w:bCs w:val="0"/>
                      <w:u w:val="none"/>
                    </w:rPr>
                    <w:drawing>
                      <wp:inline distT="0" distB="0" distL="114300" distR="114300">
                        <wp:extent cx="803910" cy="697865"/>
                        <wp:effectExtent l="0" t="0" r="15240" b="698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4"/>
                                <a:stretch>
                                  <a:fillRect/>
                                </a:stretch>
                              </pic:blipFill>
                              <pic:spPr>
                                <a:xfrm>
                                  <a:off x="0" y="0"/>
                                  <a:ext cx="803910" cy="697865"/>
                                </a:xfrm>
                                <a:prstGeom prst="rect">
                                  <a:avLst/>
                                </a:prstGeom>
                                <a:noFill/>
                                <a:ln>
                                  <a:noFill/>
                                </a:ln>
                              </pic:spPr>
                            </pic:pic>
                          </a:graphicData>
                        </a:graphic>
                      </wp:inline>
                    </w:drawing>
                  </w:r>
                </w:p>
              </w:tc>
              <w:tc>
                <w:tcPr>
                  <w:tcW w:w="1650" w:type="dxa"/>
                  <w:vAlign w:val="center"/>
                </w:tcPr>
                <w:p>
                  <w:pPr>
                    <w:spacing w:line="360" w:lineRule="auto"/>
                    <w:jc w:val="center"/>
                    <w:rPr>
                      <w:rFonts w:hint="default" w:ascii="Times New Roman" w:hAnsi="Times New Roman" w:cs="Times New Roman"/>
                      <w:b w:val="0"/>
                      <w:bCs w:val="0"/>
                      <w:sz w:val="21"/>
                      <w:szCs w:val="21"/>
                      <w:u w:val="none"/>
                    </w:rPr>
                  </w:pPr>
                  <w:r>
                    <w:rPr>
                      <w:rFonts w:hint="eastAsia" w:ascii="Times New Roman" w:hAnsi="Times New Roman" w:cs="Times New Roman"/>
                      <w:b w:val="0"/>
                      <w:bCs w:val="0"/>
                      <w:sz w:val="21"/>
                      <w:szCs w:val="21"/>
                      <w:u w:val="none"/>
                      <w:lang w:eastAsia="zh-CN"/>
                    </w:rPr>
                    <w:t>危险废物</w:t>
                  </w:r>
                </w:p>
              </w:tc>
              <w:tc>
                <w:tcPr>
                  <w:tcW w:w="2906" w:type="dxa"/>
                  <w:vAlign w:val="center"/>
                </w:tcPr>
                <w:p>
                  <w:pPr>
                    <w:spacing w:line="360" w:lineRule="auto"/>
                    <w:jc w:val="center"/>
                    <w:rPr>
                      <w:rFonts w:hint="default" w:ascii="Times New Roman" w:hAnsi="Times New Roman" w:cs="Times New Roman"/>
                      <w:b w:val="0"/>
                      <w:bCs w:val="0"/>
                      <w:sz w:val="21"/>
                      <w:szCs w:val="21"/>
                      <w:u w:val="none"/>
                    </w:rPr>
                  </w:pPr>
                  <w:r>
                    <w:rPr>
                      <w:rFonts w:hint="eastAsia" w:ascii="Times New Roman" w:hAnsi="Times New Roman" w:cs="Times New Roman"/>
                      <w:b w:val="0"/>
                      <w:bCs w:val="0"/>
                      <w:sz w:val="21"/>
                      <w:szCs w:val="21"/>
                      <w:u w:val="none"/>
                      <w:lang w:eastAsia="zh-CN"/>
                    </w:rPr>
                    <w:t>危险废物</w:t>
                  </w:r>
                  <w:r>
                    <w:rPr>
                      <w:rFonts w:hint="default" w:ascii="Times New Roman" w:hAnsi="Times New Roman" w:cs="Times New Roman"/>
                      <w:b w:val="0"/>
                      <w:bCs w:val="0"/>
                      <w:sz w:val="21"/>
                      <w:szCs w:val="21"/>
                      <w:u w:val="none"/>
                    </w:rPr>
                    <w:t>贮存、处置</w:t>
                  </w:r>
                </w:p>
              </w:tc>
            </w:tr>
          </w:tbl>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8.3 环境管理内容</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环境管理要贯彻项目建设的全过程，各阶段环境管理计划如下表所示。在环境管理过程中实施机构为</w:t>
            </w:r>
            <w:r>
              <w:rPr>
                <w:rFonts w:hint="eastAsia" w:ascii="Times New Roman" w:hAnsi="Times New Roman" w:cs="Times New Roman"/>
                <w:sz w:val="24"/>
                <w:szCs w:val="24"/>
                <w:lang w:eastAsia="zh-CN"/>
              </w:rPr>
              <w:t>桐柏县君盛新型材料有限公司</w:t>
            </w:r>
            <w:r>
              <w:rPr>
                <w:rFonts w:hint="default" w:ascii="Times New Roman" w:hAnsi="Times New Roman" w:cs="Times New Roman"/>
                <w:sz w:val="24"/>
                <w:szCs w:val="24"/>
              </w:rPr>
              <w:t>，监督机构为当地生态环境保护局。</w:t>
            </w:r>
          </w:p>
          <w:p>
            <w:pPr>
              <w:spacing w:before="0" w:after="0"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表4-</w:t>
            </w:r>
            <w:r>
              <w:rPr>
                <w:rFonts w:hint="eastAsia" w:ascii="Times New Roman" w:hAnsi="Times New Roman" w:cs="Times New Roman"/>
                <w:b/>
                <w:bCs/>
                <w:sz w:val="24"/>
                <w:szCs w:val="24"/>
                <w:lang w:val="en-US" w:eastAsia="zh-CN"/>
              </w:rPr>
              <w:t xml:space="preserve">24  </w:t>
            </w:r>
            <w:r>
              <w:rPr>
                <w:rFonts w:hint="default" w:ascii="Times New Roman" w:hAnsi="Times New Roman" w:cs="Times New Roman"/>
                <w:b/>
                <w:bCs/>
                <w:sz w:val="24"/>
                <w:szCs w:val="24"/>
              </w:rPr>
              <w:t>环境管理部门各阶段管理任务</w:t>
            </w:r>
          </w:p>
          <w:tbl>
            <w:tblPr>
              <w:tblStyle w:val="12"/>
              <w:tblW w:w="8976"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716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5" w:type="dxa"/>
                  <w:vAlign w:val="bottom"/>
                </w:tcPr>
                <w:p>
                  <w:p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阶段</w:t>
                  </w:r>
                </w:p>
              </w:tc>
              <w:tc>
                <w:tcPr>
                  <w:tcW w:w="7161" w:type="dxa"/>
                  <w:vAlign w:val="bottom"/>
                </w:tcPr>
                <w:p>
                  <w:p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环境管理机构主要任务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15" w:type="dxa"/>
                  <w:vAlign w:val="center"/>
                </w:tcPr>
                <w:p>
                  <w:pPr>
                    <w:pStyle w:val="2"/>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运行阶段</w:t>
                  </w:r>
                </w:p>
              </w:tc>
              <w:tc>
                <w:tcPr>
                  <w:tcW w:w="7161" w:type="dxa"/>
                  <w:vAlign w:val="center"/>
                </w:tcPr>
                <w:p>
                  <w:pPr>
                    <w:pStyle w:val="2"/>
                    <w:spacing w:before="0" w:after="0" w:line="360" w:lineRule="auto"/>
                    <w:jc w:val="both"/>
                    <w:rPr>
                      <w:rFonts w:hint="default" w:ascii="Times New Roman" w:hAnsi="Times New Roman" w:cs="Times New Roman"/>
                      <w:sz w:val="21"/>
                      <w:szCs w:val="21"/>
                    </w:rPr>
                  </w:pPr>
                  <w:r>
                    <w:rPr>
                      <w:rFonts w:hint="default" w:ascii="Times New Roman" w:hAnsi="Times New Roman" w:cs="Times New Roman"/>
                      <w:sz w:val="21"/>
                      <w:szCs w:val="21"/>
                    </w:rPr>
                    <w:t>1、根据环保“三同时”制度，应向负责审批的环保部门递交“环保设施竣工验收报告”，说明运行情况，治理效果是否达到标准；</w:t>
                  </w:r>
                </w:p>
                <w:p>
                  <w:pPr>
                    <w:pStyle w:val="2"/>
                    <w:spacing w:before="0" w:after="0" w:line="360" w:lineRule="auto"/>
                    <w:jc w:val="both"/>
                    <w:rPr>
                      <w:rFonts w:hint="default" w:ascii="Times New Roman" w:hAnsi="Times New Roman" w:cs="Times New Roman"/>
                      <w:sz w:val="21"/>
                      <w:szCs w:val="21"/>
                    </w:rPr>
                  </w:pPr>
                  <w:r>
                    <w:rPr>
                      <w:rFonts w:hint="default" w:ascii="Times New Roman" w:hAnsi="Times New Roman" w:cs="Times New Roman"/>
                      <w:sz w:val="21"/>
                      <w:szCs w:val="21"/>
                    </w:rPr>
                    <w:t>2、逐步完善监测体系，根据监测结果提出的反馈意见，及时处理各种不利影响；</w:t>
                  </w:r>
                </w:p>
                <w:p>
                  <w:pPr>
                    <w:pStyle w:val="2"/>
                    <w:spacing w:before="0" w:after="0" w:line="360" w:lineRule="auto"/>
                    <w:jc w:val="both"/>
                    <w:rPr>
                      <w:rFonts w:hint="default" w:ascii="Times New Roman" w:hAnsi="Times New Roman" w:cs="Times New Roman"/>
                      <w:sz w:val="21"/>
                      <w:szCs w:val="21"/>
                    </w:rPr>
                  </w:pPr>
                  <w:r>
                    <w:rPr>
                      <w:rFonts w:hint="default" w:ascii="Times New Roman" w:hAnsi="Times New Roman" w:cs="Times New Roman"/>
                      <w:sz w:val="21"/>
                      <w:szCs w:val="21"/>
                    </w:rPr>
                    <w:t>3、研究与工厂环境保护有关的、有利的环境效益发挥的措施途径；</w:t>
                  </w:r>
                </w:p>
                <w:p>
                  <w:pPr>
                    <w:pStyle w:val="2"/>
                    <w:spacing w:before="0" w:after="0" w:line="360" w:lineRule="auto"/>
                    <w:jc w:val="both"/>
                    <w:rPr>
                      <w:rFonts w:hint="default" w:ascii="Times New Roman" w:hAnsi="Times New Roman" w:cs="Times New Roman"/>
                      <w:sz w:val="21"/>
                      <w:szCs w:val="21"/>
                    </w:rPr>
                  </w:pPr>
                  <w:r>
                    <w:rPr>
                      <w:rFonts w:hint="default" w:ascii="Times New Roman" w:hAnsi="Times New Roman" w:cs="Times New Roman"/>
                      <w:sz w:val="21"/>
                      <w:szCs w:val="21"/>
                    </w:rPr>
                    <w:t>4、在环境监测计划实施过程中，对其使用性进行评价，逐步完善计划内容。</w:t>
                  </w:r>
                </w:p>
              </w:tc>
            </w:tr>
          </w:tbl>
          <w:p>
            <w:pPr>
              <w:pStyle w:val="2"/>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8.4 环境管理目标</w:t>
            </w:r>
          </w:p>
          <w:p>
            <w:pPr>
              <w:pStyle w:val="6"/>
              <w:numPr>
                <w:ilvl w:val="0"/>
                <w:numId w:val="0"/>
              </w:num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本项目环境管理目标见下表。</w:t>
            </w:r>
          </w:p>
          <w:p>
            <w:pPr>
              <w:pStyle w:val="6"/>
              <w:numPr>
                <w:ilvl w:val="0"/>
                <w:numId w:val="0"/>
              </w:numPr>
              <w:spacing w:before="0" w:after="0"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表4-</w:t>
            </w:r>
            <w:r>
              <w:rPr>
                <w:rFonts w:hint="eastAsia" w:ascii="Times New Roman" w:hAnsi="Times New Roman" w:cs="Times New Roman"/>
                <w:b/>
                <w:bCs/>
                <w:sz w:val="24"/>
                <w:szCs w:val="24"/>
                <w:lang w:val="en-US" w:eastAsia="zh-CN"/>
              </w:rPr>
              <w:t xml:space="preserve">25  </w:t>
            </w:r>
            <w:r>
              <w:rPr>
                <w:rFonts w:hint="default" w:ascii="Times New Roman" w:hAnsi="Times New Roman" w:cs="Times New Roman"/>
                <w:b/>
                <w:bCs/>
                <w:sz w:val="24"/>
                <w:szCs w:val="24"/>
              </w:rPr>
              <w:t>本项目环境管理目标一览表</w:t>
            </w:r>
          </w:p>
          <w:tbl>
            <w:tblPr>
              <w:tblStyle w:val="12"/>
              <w:tblW w:w="8976"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2"/>
              <w:gridCol w:w="672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52" w:type="dxa"/>
                  <w:vAlign w:val="center"/>
                </w:tcPr>
                <w:p>
                  <w:pPr>
                    <w:pStyle w:val="6"/>
                    <w:numPr>
                      <w:ilvl w:val="0"/>
                      <w:numId w:val="0"/>
                    </w:num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工程实施阶段</w:t>
                  </w:r>
                </w:p>
              </w:tc>
              <w:tc>
                <w:tcPr>
                  <w:tcW w:w="6724" w:type="dxa"/>
                  <w:vAlign w:val="center"/>
                </w:tcPr>
                <w:p>
                  <w:pPr>
                    <w:pStyle w:val="6"/>
                    <w:numPr>
                      <w:ilvl w:val="0"/>
                      <w:numId w:val="0"/>
                    </w:num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环境管理目标</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52" w:type="dxa"/>
                  <w:vAlign w:val="center"/>
                </w:tcPr>
                <w:p>
                  <w:pPr>
                    <w:pStyle w:val="6"/>
                    <w:numPr>
                      <w:ilvl w:val="0"/>
                      <w:numId w:val="0"/>
                    </w:num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初步设计阶段</w:t>
                  </w:r>
                </w:p>
              </w:tc>
              <w:tc>
                <w:tcPr>
                  <w:tcW w:w="6724" w:type="dxa"/>
                  <w:vAlign w:val="center"/>
                </w:tcPr>
                <w:p>
                  <w:pPr>
                    <w:pStyle w:val="6"/>
                    <w:numPr>
                      <w:ilvl w:val="0"/>
                      <w:numId w:val="0"/>
                    </w:num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设计应结合环评报告及批文，编制有环保设计篇章，并报环保主</w:t>
                  </w:r>
                </w:p>
                <w:p>
                  <w:pPr>
                    <w:pStyle w:val="6"/>
                    <w:numPr>
                      <w:ilvl w:val="0"/>
                      <w:numId w:val="0"/>
                    </w:num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管部门备案</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52" w:type="dxa"/>
                  <w:vAlign w:val="center"/>
                </w:tcPr>
                <w:p>
                  <w:pPr>
                    <w:pStyle w:val="6"/>
                    <w:numPr>
                      <w:ilvl w:val="0"/>
                      <w:numId w:val="0"/>
                    </w:num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施工阶段</w:t>
                  </w:r>
                </w:p>
              </w:tc>
              <w:tc>
                <w:tcPr>
                  <w:tcW w:w="6724" w:type="dxa"/>
                  <w:vAlign w:val="center"/>
                </w:tcPr>
                <w:p>
                  <w:pPr>
                    <w:pStyle w:val="6"/>
                    <w:numPr>
                      <w:ilvl w:val="0"/>
                      <w:numId w:val="0"/>
                    </w:num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对项目建设实行环境监理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52" w:type="dxa"/>
                  <w:vAlign w:val="center"/>
                </w:tcPr>
                <w:p>
                  <w:pPr>
                    <w:pStyle w:val="6"/>
                    <w:numPr>
                      <w:ilvl w:val="0"/>
                      <w:numId w:val="0"/>
                    </w:num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试生产前</w:t>
                  </w:r>
                </w:p>
              </w:tc>
              <w:tc>
                <w:tcPr>
                  <w:tcW w:w="6724" w:type="dxa"/>
                  <w:vAlign w:val="center"/>
                </w:tcPr>
                <w:p>
                  <w:pPr>
                    <w:pStyle w:val="6"/>
                    <w:numPr>
                      <w:ilvl w:val="0"/>
                      <w:numId w:val="0"/>
                    </w:num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应由业主、设计单位、施工单位、检测单位及环境影响评价文件</w:t>
                  </w:r>
                </w:p>
                <w:p>
                  <w:pPr>
                    <w:pStyle w:val="6"/>
                    <w:numPr>
                      <w:ilvl w:val="0"/>
                      <w:numId w:val="0"/>
                    </w:num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编制单位共同对项目环保设施“三同时”执行情况进行现场核查，</w:t>
                  </w:r>
                </w:p>
                <w:p>
                  <w:pPr>
                    <w:pStyle w:val="6"/>
                    <w:numPr>
                      <w:ilvl w:val="0"/>
                      <w:numId w:val="0"/>
                    </w:numPr>
                    <w:spacing w:before="0" w:after="0" w:line="360" w:lineRule="auto"/>
                    <w:jc w:val="center"/>
                    <w:rPr>
                      <w:rFonts w:hint="default" w:ascii="Times New Roman" w:hAnsi="Times New Roman" w:cs="Times New Roman"/>
                      <w:sz w:val="21"/>
                      <w:szCs w:val="21"/>
                    </w:rPr>
                  </w:pPr>
                  <w:r>
                    <w:rPr>
                      <w:rFonts w:hint="default" w:ascii="Times New Roman" w:hAnsi="Times New Roman" w:cs="Times New Roman"/>
                      <w:sz w:val="21"/>
                      <w:szCs w:val="21"/>
                    </w:rPr>
                    <w:t>并由业主提出项目自验收。</w:t>
                  </w:r>
                </w:p>
              </w:tc>
            </w:tr>
          </w:tbl>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8.5 环境监测计划</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（1）环境监测的目的</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环境监测是为环境管理提供科学依据的必不可少的基础性工作，是企业环境管理的一个重要组成部分，是执行环保法规、评价环境质量、判断环保治理设施运行效果的重要手段，通过对该企业主要污染物的排放情况进行定期监测掌握装置排放污染物含量、污染排放规律，评价净化设施性能，制定控制和治理污染的方案，并建立监测档案，为贯彻国家和地方有关环保政策、法律、规定、标准等情况提供依据。通过一系列监测数据和资料，对企业环境质量进行综合分析和评价，为控制污染和环保管理提供依据。</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（2）环境监控机构的职责</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①根据国家颁布的环境质量标准和污染物排放标准及环境保护监测工作规定，制定项目监测计划和工作方案。</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②定期对各项污染防治设施进行监测，随时掌握运行状况，监测结果出现异常时，应及时查明原因，并及时上报企业主管环保的领导。</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③做好废气、噪声的污染源及监测数据记录、统计分析及存档工作，分析污染物排放规律，整理监测数据，并建立企业环保档案。</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④建立质量保证体系，监测站的规范化建设，不断提高监测质量和监测水平。</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⑤加强监测仪器设备的日常保养和校验工作，确保监测站的正常运行。</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⑥接受地方环保主管部门的指导和监督管理</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鉴于本项目规模较小，企业没有能力成立监测中心，建议企业委托有资质的环境监测部门承担运营期的环境监测工作，安全环保科组织并协助配合。</w:t>
            </w:r>
          </w:p>
          <w:p>
            <w:pPr>
              <w:spacing w:before="0" w:after="0" w:line="360" w:lineRule="auto"/>
              <w:ind w:firstLine="50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（3）环境监控计划</w:t>
            </w:r>
          </w:p>
          <w:p>
            <w:pPr>
              <w:spacing w:before="0" w:after="0" w:line="360" w:lineRule="auto"/>
              <w:ind w:firstLine="500" w:firstLineChars="200"/>
              <w:jc w:val="both"/>
              <w:rPr>
                <w:rFonts w:hint="default" w:ascii="Times New Roman" w:hAnsi="Times New Roman" w:eastAsia="宋体" w:cs="Times New Roman"/>
                <w:sz w:val="24"/>
                <w:szCs w:val="24"/>
                <w:u w:val="single"/>
              </w:rPr>
            </w:pPr>
            <w:r>
              <w:rPr>
                <w:rFonts w:hint="default" w:ascii="Times New Roman" w:hAnsi="Times New Roman" w:cs="Times New Roman"/>
                <w:sz w:val="24"/>
                <w:szCs w:val="24"/>
              </w:rPr>
              <w:t>定期检查废气、噪声污染防治设施的运行情况，发现问题，马上安排检修，做好记录。根据《排污单位自行监测技术指南 总则》（HJ819-2017）及根据《排污许可证申请与核发技术规范 废弃资源加工工业》（HJ1034-2019）中相关要求，并结合本项目废气、噪声等污染物的产、排污情况，评价建议本项目运营期环境监测的内容及频次详见</w:t>
            </w:r>
            <w:r>
              <w:rPr>
                <w:rFonts w:hint="default" w:ascii="Times New Roman" w:hAnsi="Times New Roman" w:cs="Times New Roman"/>
                <w:sz w:val="24"/>
                <w:szCs w:val="24"/>
                <w:u w:val="none"/>
              </w:rPr>
              <w:t>表</w:t>
            </w:r>
            <w:r>
              <w:rPr>
                <w:rFonts w:hint="default" w:ascii="Times New Roman" w:hAnsi="Times New Roman" w:cs="Times New Roman"/>
                <w:color w:val="auto"/>
                <w:sz w:val="24"/>
                <w:szCs w:val="24"/>
                <w:u w:val="none"/>
              </w:rPr>
              <w:t>4-</w:t>
            </w:r>
            <w:r>
              <w:rPr>
                <w:rFonts w:hint="eastAsia" w:ascii="Times New Roman" w:hAnsi="Times New Roman" w:cs="Times New Roman"/>
                <w:color w:val="auto"/>
                <w:sz w:val="24"/>
                <w:szCs w:val="24"/>
                <w:u w:val="none"/>
                <w:lang w:val="en-US" w:eastAsia="zh-CN"/>
              </w:rPr>
              <w:t>10</w:t>
            </w:r>
            <w:r>
              <w:rPr>
                <w:rFonts w:hint="default" w:ascii="Times New Roman" w:hAnsi="Times New Roman" w:cs="Times New Roman"/>
                <w:color w:val="auto"/>
                <w:sz w:val="24"/>
                <w:szCs w:val="24"/>
                <w:u w:val="none"/>
              </w:rPr>
              <w:t>和4-1</w:t>
            </w:r>
            <w:r>
              <w:rPr>
                <w:rFonts w:hint="eastAsia" w:ascii="Times New Roman" w:hAnsi="Times New Roman" w:cs="Times New Roman"/>
                <w:color w:val="auto"/>
                <w:sz w:val="24"/>
                <w:szCs w:val="24"/>
                <w:u w:val="none"/>
                <w:lang w:val="en-US" w:eastAsia="zh-CN"/>
              </w:rPr>
              <w:t>5</w:t>
            </w:r>
            <w:r>
              <w:rPr>
                <w:rFonts w:hint="default" w:ascii="Times New Roman" w:hAnsi="Times New Roman" w:cs="Times New Roman"/>
                <w:sz w:val="24"/>
                <w:szCs w:val="24"/>
                <w:u w:val="none"/>
              </w:rPr>
              <w:t>。</w:t>
            </w:r>
          </w:p>
          <w:p>
            <w:pPr>
              <w:keepNext w:val="0"/>
              <w:keepLines w:val="0"/>
              <w:pageBreakBefore w:val="0"/>
              <w:numPr>
                <w:ilvl w:val="0"/>
                <w:numId w:val="0"/>
              </w:numPr>
              <w:tabs>
                <w:tab w:val="left" w:pos="0"/>
              </w:tabs>
              <w:kinsoku/>
              <w:wordWrap/>
              <w:overflowPunct/>
              <w:topLinePunct w:val="0"/>
              <w:bidi w:val="0"/>
              <w:snapToGrid w:val="0"/>
              <w:spacing w:line="440" w:lineRule="exact"/>
              <w:ind w:right="113" w:rightChars="0" w:firstLine="500" w:firstLineChars="200"/>
              <w:textAlignment w:val="auto"/>
              <w:rPr>
                <w:rFonts w:hint="default" w:ascii="Times New Roman" w:hAnsi="Times New Roman" w:eastAsia="宋体" w:cs="Times New Roman"/>
                <w:b/>
                <w:bCs/>
                <w:sz w:val="24"/>
                <w:szCs w:val="24"/>
                <w:u w:val="none"/>
              </w:rPr>
            </w:pPr>
            <w:r>
              <w:rPr>
                <w:rFonts w:hint="eastAsia" w:ascii="Times New Roman" w:hAnsi="Times New Roman" w:cs="Times New Roman"/>
                <w:b/>
                <w:bCs/>
                <w:sz w:val="24"/>
                <w:szCs w:val="24"/>
                <w:u w:val="none"/>
                <w:lang w:val="en-US" w:eastAsia="zh-CN"/>
              </w:rPr>
              <w:t>9、</w:t>
            </w:r>
            <w:r>
              <w:rPr>
                <w:rFonts w:hint="default" w:ascii="Times New Roman" w:hAnsi="Times New Roman" w:eastAsia="宋体" w:cs="Times New Roman"/>
                <w:b/>
                <w:bCs/>
                <w:sz w:val="24"/>
                <w:szCs w:val="24"/>
                <w:u w:val="none"/>
              </w:rPr>
              <w:t>环保“三同时”验收一览表</w:t>
            </w:r>
          </w:p>
          <w:p>
            <w:pPr>
              <w:tabs>
                <w:tab w:val="left" w:pos="0"/>
              </w:tabs>
              <w:snapToGrid w:val="0"/>
              <w:spacing w:line="360" w:lineRule="auto"/>
              <w:ind w:right="113" w:firstLine="1875" w:firstLineChars="750"/>
              <w:rPr>
                <w:rFonts w:hint="default" w:ascii="Times New Roman" w:hAnsi="Times New Roman" w:eastAsia="宋体" w:cs="Times New Roman"/>
                <w:b/>
                <w:bCs/>
                <w:color w:val="auto"/>
                <w:sz w:val="24"/>
                <w:szCs w:val="24"/>
                <w:u w:val="none"/>
              </w:rPr>
            </w:pPr>
            <w:r>
              <w:rPr>
                <w:rFonts w:hint="default" w:ascii="Times New Roman" w:hAnsi="Times New Roman" w:eastAsia="宋体" w:cs="Times New Roman"/>
                <w:b/>
                <w:bCs/>
                <w:color w:val="auto"/>
                <w:sz w:val="24"/>
                <w:szCs w:val="24"/>
                <w:u w:val="none"/>
              </w:rPr>
              <w:t>表4-</w:t>
            </w:r>
            <w:r>
              <w:rPr>
                <w:rFonts w:hint="eastAsia" w:ascii="Times New Roman" w:hAnsi="Times New Roman" w:cs="Times New Roman"/>
                <w:b/>
                <w:bCs/>
                <w:color w:val="auto"/>
                <w:sz w:val="24"/>
                <w:szCs w:val="24"/>
                <w:u w:val="none"/>
                <w:lang w:val="en-US" w:eastAsia="zh-CN"/>
              </w:rPr>
              <w:t>26</w:t>
            </w:r>
            <w:r>
              <w:rPr>
                <w:rFonts w:hint="default" w:ascii="Times New Roman" w:hAnsi="Times New Roman" w:eastAsia="宋体" w:cs="Times New Roman"/>
                <w:b/>
                <w:bCs/>
                <w:color w:val="auto"/>
                <w:sz w:val="24"/>
                <w:szCs w:val="24"/>
                <w:u w:val="none"/>
              </w:rPr>
              <w:t xml:space="preserve">    项目环保“三同时”验收一览表</w:t>
            </w:r>
          </w:p>
          <w:tbl>
            <w:tblPr>
              <w:tblStyle w:val="11"/>
              <w:tblW w:w="90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1747"/>
              <w:gridCol w:w="3550"/>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2117" w:type="dxa"/>
                  <w:gridSpan w:val="2"/>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污染物种类及名称</w:t>
                  </w:r>
                </w:p>
              </w:tc>
              <w:tc>
                <w:tcPr>
                  <w:tcW w:w="3550" w:type="dxa"/>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 染 防 治 措 施</w:t>
                  </w:r>
                </w:p>
              </w:tc>
              <w:tc>
                <w:tcPr>
                  <w:tcW w:w="3345" w:type="dxa"/>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jc w:val="center"/>
              </w:trPr>
              <w:tc>
                <w:tcPr>
                  <w:tcW w:w="370" w:type="dxa"/>
                  <w:vMerge w:val="restart"/>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1747" w:type="dxa"/>
                  <w:vAlign w:val="center"/>
                </w:tcPr>
                <w:p>
                  <w:pPr>
                    <w:spacing w:line="36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熔融挤出工序废气</w:t>
                  </w:r>
                </w:p>
              </w:tc>
              <w:tc>
                <w:tcPr>
                  <w:tcW w:w="3550"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别在每台熔融机顶部强制排气口处安装负压集气管道、在每台挤出机挤出口设置半封闭集气罩，各工序有机废气经集气收集后通过管道集中引至流式喷淋塔+除湿干燥装置+UV光氧催化设备+活性炭吸附装置处理后经1根15m高排气筒DA001引至高空排放</w:t>
                  </w:r>
                </w:p>
              </w:tc>
              <w:tc>
                <w:tcPr>
                  <w:tcW w:w="334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满足《合成树脂工业污染物排放标准》（GB31572-2015）中表4标准，同时满足《关于全省开展工业企业挥发性有机物专项治理工作中排放建议值的通知》（豫环攻坚办[2017]162号）中“其他行业”非甲烷总烃最高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370" w:type="dxa"/>
                  <w:vMerge w:val="continue"/>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p>
              </w:tc>
              <w:tc>
                <w:tcPr>
                  <w:tcW w:w="1747" w:type="dxa"/>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生产车间</w:t>
                  </w:r>
                </w:p>
              </w:tc>
              <w:tc>
                <w:tcPr>
                  <w:tcW w:w="3550" w:type="dxa"/>
                  <w:vAlign w:val="center"/>
                </w:tcPr>
                <w:p>
                  <w:pPr>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val="en-US" w:eastAsia="zh-CN"/>
                    </w:rPr>
                    <w:t>车间密闭</w:t>
                  </w:r>
                  <w:r>
                    <w:rPr>
                      <w:rFonts w:hint="default" w:ascii="Times New Roman" w:hAnsi="Times New Roman" w:eastAsia="宋体" w:cs="Times New Roman"/>
                      <w:color w:val="auto"/>
                      <w:sz w:val="21"/>
                      <w:szCs w:val="21"/>
                    </w:rPr>
                    <w:t>；厂区路面硬化，定期洒水。</w:t>
                  </w:r>
                </w:p>
              </w:tc>
              <w:tc>
                <w:tcPr>
                  <w:tcW w:w="3345" w:type="dxa"/>
                  <w:vMerge w:val="continue"/>
                  <w:vAlign w:val="center"/>
                </w:tcPr>
                <w:p>
                  <w:pPr>
                    <w:spacing w:line="360" w:lineRule="auto"/>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jc w:val="center"/>
              </w:trPr>
              <w:tc>
                <w:tcPr>
                  <w:tcW w:w="370" w:type="dxa"/>
                  <w:vMerge w:val="restart"/>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1747" w:type="dxa"/>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3550" w:type="dxa"/>
                  <w:vAlign w:val="center"/>
                </w:tcPr>
                <w:p>
                  <w:pPr>
                    <w:tabs>
                      <w:tab w:val="left" w:pos="0"/>
                    </w:tabs>
                    <w:snapToGrid w:val="0"/>
                    <w:spacing w:line="360" w:lineRule="auto"/>
                    <w:ind w:right="113"/>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auto"/>
                      <w:sz w:val="21"/>
                      <w:szCs w:val="21"/>
                    </w:rPr>
                    <w:t>职工生活污水经化粪池</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10m³</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处理后用于周围农田施肥，资源化利用不外排</w:t>
                  </w:r>
                </w:p>
              </w:tc>
              <w:tc>
                <w:tcPr>
                  <w:tcW w:w="3345" w:type="dxa"/>
                  <w:vAlign w:val="center"/>
                </w:tcPr>
                <w:p>
                  <w:pPr>
                    <w:tabs>
                      <w:tab w:val="left" w:pos="0"/>
                    </w:tabs>
                    <w:snapToGrid w:val="0"/>
                    <w:spacing w:line="360" w:lineRule="auto"/>
                    <w:ind w:right="113"/>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资源化利用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jc w:val="center"/>
              </w:trPr>
              <w:tc>
                <w:tcPr>
                  <w:tcW w:w="370" w:type="dxa"/>
                  <w:vMerge w:val="continue"/>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p>
              </w:tc>
              <w:tc>
                <w:tcPr>
                  <w:tcW w:w="1747" w:type="dxa"/>
                  <w:vAlign w:val="center"/>
                </w:tcPr>
                <w:p>
                  <w:pPr>
                    <w:tabs>
                      <w:tab w:val="left" w:pos="0"/>
                    </w:tabs>
                    <w:snapToGrid w:val="0"/>
                    <w:spacing w:line="360" w:lineRule="auto"/>
                    <w:ind w:right="113"/>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生产废水</w:t>
                  </w:r>
                </w:p>
              </w:tc>
              <w:tc>
                <w:tcPr>
                  <w:tcW w:w="3550" w:type="dxa"/>
                  <w:vAlign w:val="center"/>
                </w:tcPr>
                <w:p>
                  <w:pPr>
                    <w:tabs>
                      <w:tab w:val="left" w:pos="0"/>
                    </w:tabs>
                    <w:snapToGrid w:val="0"/>
                    <w:spacing w:line="360" w:lineRule="auto"/>
                    <w:ind w:right="11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挤出冷却废水，循环使用不外排，循环水池（</w:t>
                  </w:r>
                  <w:r>
                    <w:rPr>
                      <w:rFonts w:hint="default" w:ascii="Times New Roman" w:hAnsi="Times New Roman" w:eastAsia="宋体" w:cs="Times New Roman"/>
                      <w:color w:val="auto"/>
                      <w:sz w:val="21"/>
                      <w:szCs w:val="21"/>
                      <w:lang w:val="en-US" w:eastAsia="zh-CN"/>
                    </w:rPr>
                    <w:t>40m³</w:t>
                  </w:r>
                  <w:r>
                    <w:rPr>
                      <w:rFonts w:hint="default" w:ascii="Times New Roman" w:hAnsi="Times New Roman" w:eastAsia="宋体" w:cs="Times New Roman"/>
                      <w:color w:val="auto"/>
                      <w:sz w:val="21"/>
                      <w:szCs w:val="21"/>
                      <w:lang w:eastAsia="zh-CN"/>
                    </w:rPr>
                    <w:t>），喷淋塔废水经自带的循环水池（</w:t>
                  </w:r>
                  <w:r>
                    <w:rPr>
                      <w:rFonts w:hint="default" w:ascii="Times New Roman" w:hAnsi="Times New Roman" w:eastAsia="宋体" w:cs="Times New Roman"/>
                      <w:color w:val="auto"/>
                      <w:sz w:val="21"/>
                      <w:szCs w:val="21"/>
                      <w:lang w:val="en-US" w:eastAsia="zh-CN"/>
                    </w:rPr>
                    <w:t>20m³</w:t>
                  </w:r>
                  <w:r>
                    <w:rPr>
                      <w:rFonts w:hint="default" w:ascii="Times New Roman" w:hAnsi="Times New Roman" w:eastAsia="宋体" w:cs="Times New Roman"/>
                      <w:color w:val="auto"/>
                      <w:sz w:val="21"/>
                      <w:szCs w:val="21"/>
                      <w:lang w:eastAsia="zh-CN"/>
                    </w:rPr>
                    <w:t>）循环使用，不外排。</w:t>
                  </w:r>
                </w:p>
              </w:tc>
              <w:tc>
                <w:tcPr>
                  <w:tcW w:w="3345" w:type="dxa"/>
                  <w:vAlign w:val="center"/>
                </w:tcPr>
                <w:p>
                  <w:pPr>
                    <w:tabs>
                      <w:tab w:val="left" w:pos="0"/>
                    </w:tabs>
                    <w:snapToGrid w:val="0"/>
                    <w:spacing w:line="360" w:lineRule="auto"/>
                    <w:ind w:right="113"/>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jc w:val="center"/>
              </w:trPr>
              <w:tc>
                <w:tcPr>
                  <w:tcW w:w="370" w:type="dxa"/>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747" w:type="dxa"/>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生产设备</w:t>
                  </w:r>
                </w:p>
              </w:tc>
              <w:tc>
                <w:tcPr>
                  <w:tcW w:w="3550" w:type="dxa"/>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基础减震、隔声，距离衰减 </w:t>
                  </w:r>
                </w:p>
              </w:tc>
              <w:tc>
                <w:tcPr>
                  <w:tcW w:w="3345" w:type="dxa"/>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满足《工业企业厂界环境噪声排放标准》（GB12348-2008）2类标准要求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370" w:type="dxa"/>
                  <w:vMerge w:val="restart"/>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tc>
              <w:tc>
                <w:tcPr>
                  <w:tcW w:w="1747" w:type="dxa"/>
                  <w:vAlign w:val="center"/>
                </w:tcPr>
                <w:p>
                  <w:pPr>
                    <w:widowControl/>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生活垃圾</w:t>
                  </w:r>
                </w:p>
              </w:tc>
              <w:tc>
                <w:tcPr>
                  <w:tcW w:w="3550" w:type="dxa"/>
                  <w:vAlign w:val="center"/>
                </w:tcPr>
                <w:p>
                  <w:pPr>
                    <w:widowControl/>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收集后运至垃圾中转站处理</w:t>
                  </w:r>
                </w:p>
              </w:tc>
              <w:tc>
                <w:tcPr>
                  <w:tcW w:w="3345" w:type="dxa"/>
                  <w:vMerge w:val="restart"/>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参考</w:t>
                  </w:r>
                  <w:r>
                    <w:rPr>
                      <w:rFonts w:hint="default" w:ascii="Times New Roman" w:hAnsi="Times New Roman" w:eastAsia="宋体" w:cs="Times New Roman"/>
                      <w:sz w:val="21"/>
                      <w:szCs w:val="21"/>
                    </w:rPr>
                    <w:t>《一般工业固体废物贮存和填埋污染控制标准》（GB18599-2020）标准要求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 w:hRule="atLeast"/>
                <w:jc w:val="center"/>
              </w:trPr>
              <w:tc>
                <w:tcPr>
                  <w:tcW w:w="370" w:type="dxa"/>
                  <w:vMerge w:val="continue"/>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p>
              </w:tc>
              <w:tc>
                <w:tcPr>
                  <w:tcW w:w="1747" w:type="dxa"/>
                  <w:vAlign w:val="center"/>
                </w:tcPr>
                <w:p>
                  <w:pPr>
                    <w:widowControl/>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化粪池污泥</w:t>
                  </w:r>
                </w:p>
              </w:tc>
              <w:tc>
                <w:tcPr>
                  <w:tcW w:w="3550" w:type="dxa"/>
                  <w:vAlign w:val="center"/>
                </w:tcPr>
                <w:p>
                  <w:pPr>
                    <w:widowControl/>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由环卫部门定期清掏</w:t>
                  </w:r>
                </w:p>
              </w:tc>
              <w:tc>
                <w:tcPr>
                  <w:tcW w:w="3345" w:type="dxa"/>
                  <w:vMerge w:val="continue"/>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70" w:type="dxa"/>
                  <w:vMerge w:val="continue"/>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p>
              </w:tc>
              <w:tc>
                <w:tcPr>
                  <w:tcW w:w="1747" w:type="dxa"/>
                  <w:vAlign w:val="center"/>
                </w:tcPr>
                <w:p>
                  <w:pPr>
                    <w:widowControl/>
                    <w:spacing w:line="36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废包装袋</w:t>
                  </w:r>
                </w:p>
              </w:tc>
              <w:tc>
                <w:tcPr>
                  <w:tcW w:w="3550" w:type="dxa"/>
                  <w:vAlign w:val="center"/>
                </w:tcPr>
                <w:p>
                  <w:pPr>
                    <w:widowControl/>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收集后外售处理</w:t>
                  </w:r>
                </w:p>
              </w:tc>
              <w:tc>
                <w:tcPr>
                  <w:tcW w:w="3345" w:type="dxa"/>
                  <w:vMerge w:val="continue"/>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70" w:type="dxa"/>
                  <w:vMerge w:val="continue"/>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p>
              </w:tc>
              <w:tc>
                <w:tcPr>
                  <w:tcW w:w="1747" w:type="dxa"/>
                  <w:vAlign w:val="center"/>
                </w:tcPr>
                <w:p>
                  <w:pPr>
                    <w:widowControl/>
                    <w:spacing w:line="36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不合格品</w:t>
                  </w:r>
                </w:p>
              </w:tc>
              <w:tc>
                <w:tcPr>
                  <w:tcW w:w="3550" w:type="dxa"/>
                  <w:vAlign w:val="center"/>
                </w:tcPr>
                <w:p>
                  <w:pPr>
                    <w:widowControl/>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收集后可回用于生产</w:t>
                  </w:r>
                </w:p>
              </w:tc>
              <w:tc>
                <w:tcPr>
                  <w:tcW w:w="3345" w:type="dxa"/>
                  <w:vMerge w:val="continue"/>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70" w:type="dxa"/>
                  <w:vMerge w:val="continue"/>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p>
              </w:tc>
              <w:tc>
                <w:tcPr>
                  <w:tcW w:w="1747" w:type="dxa"/>
                  <w:vAlign w:val="center"/>
                </w:tcPr>
                <w:p>
                  <w:pPr>
                    <w:widowControl/>
                    <w:spacing w:line="36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废滤网（含滤渣）</w:t>
                  </w:r>
                </w:p>
              </w:tc>
              <w:tc>
                <w:tcPr>
                  <w:tcW w:w="3550" w:type="dxa"/>
                  <w:vAlign w:val="center"/>
                </w:tcPr>
                <w:p>
                  <w:pPr>
                    <w:widowControl/>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收集后由厂家回收</w:t>
                  </w:r>
                </w:p>
              </w:tc>
              <w:tc>
                <w:tcPr>
                  <w:tcW w:w="3345" w:type="dxa"/>
                  <w:vMerge w:val="continue"/>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370" w:type="dxa"/>
                  <w:vMerge w:val="continue"/>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p>
              </w:tc>
              <w:tc>
                <w:tcPr>
                  <w:tcW w:w="1747" w:type="dxa"/>
                  <w:vAlign w:val="center"/>
                </w:tcPr>
                <w:p>
                  <w:pPr>
                    <w:spacing w:line="36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废灯管</w:t>
                  </w:r>
                </w:p>
              </w:tc>
              <w:tc>
                <w:tcPr>
                  <w:tcW w:w="3550" w:type="dxa"/>
                  <w:vMerge w:val="restart"/>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危险废物分类收集后危废暂存间分区暂存，定期交由有资质单位处置</w:t>
                  </w:r>
                </w:p>
              </w:tc>
              <w:tc>
                <w:tcPr>
                  <w:tcW w:w="3345" w:type="dxa"/>
                  <w:vMerge w:val="restart"/>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满足《危险废物贮存污染控制标准》（GB18597-20</w:t>
                  </w:r>
                  <w:r>
                    <w:rPr>
                      <w:rFonts w:hint="default" w:ascii="Times New Roman" w:hAnsi="Times New Roman" w:eastAsia="宋体" w:cs="Times New Roman"/>
                      <w:sz w:val="21"/>
                      <w:szCs w:val="21"/>
                      <w:lang w:val="en-US" w:eastAsia="zh-CN"/>
                    </w:rPr>
                    <w:t>23</w:t>
                  </w: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370" w:type="dxa"/>
                  <w:vMerge w:val="continue"/>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p>
              </w:tc>
              <w:tc>
                <w:tcPr>
                  <w:tcW w:w="1747" w:type="dxa"/>
                  <w:vAlign w:val="center"/>
                </w:tcPr>
                <w:p>
                  <w:pPr>
                    <w:widowControl/>
                    <w:spacing w:line="36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rPr>
                    <w:t>废活性炭</w:t>
                  </w:r>
                </w:p>
              </w:tc>
              <w:tc>
                <w:tcPr>
                  <w:tcW w:w="3550" w:type="dxa"/>
                  <w:vMerge w:val="continue"/>
                  <w:vAlign w:val="center"/>
                </w:tcPr>
                <w:p>
                  <w:pPr>
                    <w:spacing w:line="360" w:lineRule="auto"/>
                    <w:jc w:val="center"/>
                    <w:rPr>
                      <w:rFonts w:hint="default" w:ascii="Times New Roman" w:hAnsi="Times New Roman" w:eastAsia="宋体" w:cs="Times New Roman"/>
                      <w:sz w:val="21"/>
                      <w:szCs w:val="21"/>
                    </w:rPr>
                  </w:pPr>
                </w:p>
              </w:tc>
              <w:tc>
                <w:tcPr>
                  <w:tcW w:w="3345" w:type="dxa"/>
                  <w:vMerge w:val="continue"/>
                  <w:vAlign w:val="center"/>
                </w:tcPr>
                <w:p>
                  <w:pPr>
                    <w:tabs>
                      <w:tab w:val="left" w:pos="0"/>
                    </w:tabs>
                    <w:snapToGrid w:val="0"/>
                    <w:spacing w:line="360" w:lineRule="auto"/>
                    <w:ind w:right="113"/>
                    <w:jc w:val="center"/>
                    <w:rPr>
                      <w:rFonts w:hint="default" w:ascii="Times New Roman" w:hAnsi="Times New Roman" w:eastAsia="宋体" w:cs="Times New Roman"/>
                      <w:sz w:val="21"/>
                      <w:szCs w:val="21"/>
                    </w:rPr>
                  </w:pPr>
                </w:p>
              </w:tc>
            </w:tr>
          </w:tbl>
          <w:p>
            <w:pPr>
              <w:pStyle w:val="8"/>
              <w:spacing w:before="0" w:beforeAutospacing="0" w:after="0"/>
              <w:ind w:left="442" w:firstLine="442"/>
              <w:rPr>
                <w:rFonts w:hint="default" w:ascii="Times New Roman" w:hAnsi="Times New Roman" w:eastAsia="宋体" w:cs="Times New Roman"/>
                <w:sz w:val="24"/>
                <w:szCs w:val="24"/>
              </w:rPr>
            </w:pPr>
          </w:p>
          <w:p>
            <w:pPr>
              <w:pStyle w:val="18"/>
              <w:rPr>
                <w:rFonts w:hint="default" w:ascii="Times New Roman" w:hAnsi="Times New Roman" w:eastAsia="宋体" w:cs="Times New Roman"/>
                <w:sz w:val="24"/>
                <w:szCs w:val="24"/>
              </w:rPr>
            </w:pPr>
          </w:p>
        </w:tc>
      </w:tr>
    </w:tbl>
    <w:p>
      <w:pPr>
        <w:spacing w:line="360" w:lineRule="auto"/>
        <w:ind w:firstLine="2030" w:firstLineChars="700"/>
        <w:outlineLvl w:val="0"/>
        <w:rPr>
          <w:rFonts w:hint="default" w:ascii="Times New Roman" w:hAnsi="Times New Roman" w:cs="Times New Roman"/>
          <w:b/>
          <w:bCs/>
          <w:sz w:val="28"/>
          <w:szCs w:val="28"/>
          <w:u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AndChars" w:linePitch="312" w:charSpace="2252"/>
        </w:sectPr>
      </w:pPr>
    </w:p>
    <w:p>
      <w:pPr>
        <w:spacing w:line="360" w:lineRule="auto"/>
        <w:ind w:firstLine="2030" w:firstLineChars="700"/>
        <w:outlineLvl w:val="0"/>
        <w:rPr>
          <w:rFonts w:hint="default" w:ascii="Times New Roman" w:hAnsi="Times New Roman" w:cs="Times New Roman"/>
          <w:b/>
          <w:bCs/>
          <w:sz w:val="28"/>
          <w:szCs w:val="28"/>
          <w:u w:val="none"/>
        </w:rPr>
      </w:pPr>
      <w:r>
        <w:rPr>
          <w:rFonts w:hint="default" w:ascii="Times New Roman" w:hAnsi="Times New Roman" w:cs="Times New Roman"/>
          <w:b/>
          <w:bCs/>
          <w:sz w:val="28"/>
          <w:szCs w:val="28"/>
          <w:u w:val="none"/>
        </w:rPr>
        <w:t>五、环境保护措施监督检查清单</w:t>
      </w:r>
    </w:p>
    <w:tbl>
      <w:tblPr>
        <w:tblStyle w:val="11"/>
        <w:tblW w:w="1025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582"/>
        <w:gridCol w:w="837"/>
        <w:gridCol w:w="3604"/>
        <w:gridCol w:w="34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4" w:type="dxa"/>
            <w:tcBorders>
              <w:tl2br w:val="single" w:color="auto" w:sz="4" w:space="0"/>
            </w:tcBorders>
            <w:vAlign w:val="top"/>
          </w:tcPr>
          <w:p>
            <w:pPr>
              <w:adjustRightInd w:val="0"/>
              <w:snapToGrid w:val="0"/>
              <w:spacing w:line="360" w:lineRule="auto"/>
              <w:ind w:left="470" w:leftChars="100" w:hanging="250" w:hangingChars="1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内容</w:t>
            </w:r>
          </w:p>
          <w:p>
            <w:pPr>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要素</w:t>
            </w:r>
          </w:p>
        </w:tc>
        <w:tc>
          <w:tcPr>
            <w:tcW w:w="1582" w:type="dxa"/>
            <w:vAlign w:val="center"/>
          </w:tcPr>
          <w:p>
            <w:pPr>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排放口（编号、名称）/污染源</w:t>
            </w:r>
          </w:p>
        </w:tc>
        <w:tc>
          <w:tcPr>
            <w:tcW w:w="837" w:type="dxa"/>
            <w:vAlign w:val="center"/>
          </w:tcPr>
          <w:p>
            <w:pPr>
              <w:adjustRightInd w:val="0"/>
              <w:snapToGrid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污染物项目</w:t>
            </w:r>
          </w:p>
        </w:tc>
        <w:tc>
          <w:tcPr>
            <w:tcW w:w="3604" w:type="dxa"/>
            <w:vAlign w:val="center"/>
          </w:tcPr>
          <w:p>
            <w:pPr>
              <w:adjustRightInd w:val="0"/>
              <w:snapToGrid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环境保护措施</w:t>
            </w:r>
          </w:p>
        </w:tc>
        <w:tc>
          <w:tcPr>
            <w:tcW w:w="3470" w:type="dxa"/>
            <w:vAlign w:val="center"/>
          </w:tcPr>
          <w:p>
            <w:pPr>
              <w:adjustRightInd w:val="0"/>
              <w:snapToGrid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23" w:hRule="atLeast"/>
          <w:jc w:val="center"/>
        </w:trPr>
        <w:tc>
          <w:tcPr>
            <w:tcW w:w="764" w:type="dxa"/>
            <w:vMerge w:val="restart"/>
            <w:vAlign w:val="center"/>
          </w:tcPr>
          <w:p>
            <w:pPr>
              <w:adjustRightInd w:val="0"/>
              <w:snapToGrid w:val="0"/>
              <w:spacing w:line="360" w:lineRule="auto"/>
              <w:jc w:val="center"/>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大气环境</w:t>
            </w:r>
          </w:p>
        </w:tc>
        <w:tc>
          <w:tcPr>
            <w:tcW w:w="1582" w:type="dxa"/>
            <w:vAlign w:val="center"/>
          </w:tcPr>
          <w:p>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车间熔融挤出工序排气筒</w:t>
            </w:r>
            <w:r>
              <w:rPr>
                <w:rFonts w:hint="default" w:ascii="Times New Roman" w:hAnsi="Times New Roman" w:eastAsia="宋体" w:cs="Times New Roman"/>
                <w:color w:val="auto"/>
                <w:sz w:val="24"/>
                <w:szCs w:val="24"/>
              </w:rPr>
              <w:t>DA00</w:t>
            </w:r>
            <w:r>
              <w:rPr>
                <w:rFonts w:hint="default" w:ascii="Times New Roman" w:hAnsi="Times New Roman" w:eastAsia="宋体" w:cs="Times New Roman"/>
                <w:color w:val="auto"/>
                <w:sz w:val="24"/>
                <w:szCs w:val="24"/>
                <w:lang w:val="en-US" w:eastAsia="zh-CN"/>
              </w:rPr>
              <w:t>1</w:t>
            </w:r>
          </w:p>
        </w:tc>
        <w:tc>
          <w:tcPr>
            <w:tcW w:w="837" w:type="dxa"/>
            <w:vAlign w:val="center"/>
          </w:tcPr>
          <w:p>
            <w:pPr>
              <w:adjustRightInd w:val="0"/>
              <w:snapToGrid w:val="0"/>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非甲烷总烃</w:t>
            </w:r>
          </w:p>
        </w:tc>
        <w:tc>
          <w:tcPr>
            <w:tcW w:w="3604" w:type="dxa"/>
            <w:vAlign w:val="center"/>
          </w:tcPr>
          <w:p>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在每台熔融机顶部强制排气口处安装负压集气管道、在每台挤出机挤出口设置半封闭集气罩，各工序有机废气经集气收集后通过管道集中引至1套旋流式喷淋塔+除湿干燥装置+UV光氧催化设备+活性炭吸附装置处理后经1根15m高排气筒DA001引至高空排放</w:t>
            </w:r>
          </w:p>
        </w:tc>
        <w:tc>
          <w:tcPr>
            <w:tcW w:w="347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满足《合成树脂工业污染物排放标准》（GB31572-2015）中表4标准，同时满足《关于全省开展工业企业挥发性有机物专项治理工作中排放建议值的通知》（豫环攻坚办[2017]162号）中“其他行业”非甲烷总烃最高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jc w:val="center"/>
        </w:trPr>
        <w:tc>
          <w:tcPr>
            <w:tcW w:w="764" w:type="dxa"/>
            <w:vMerge w:val="continue"/>
            <w:vAlign w:val="center"/>
          </w:tcPr>
          <w:p>
            <w:pPr>
              <w:adjustRightInd w:val="0"/>
              <w:snapToGrid w:val="0"/>
              <w:spacing w:line="360" w:lineRule="auto"/>
              <w:jc w:val="center"/>
              <w:rPr>
                <w:rFonts w:hint="default" w:ascii="Times New Roman" w:hAnsi="Times New Roman" w:eastAsia="宋体" w:cs="Times New Roman"/>
                <w:color w:val="auto"/>
                <w:sz w:val="24"/>
                <w:szCs w:val="24"/>
              </w:rPr>
            </w:pPr>
          </w:p>
        </w:tc>
        <w:tc>
          <w:tcPr>
            <w:tcW w:w="1582" w:type="dxa"/>
            <w:vAlign w:val="center"/>
          </w:tcPr>
          <w:p>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无组织</w:t>
            </w:r>
          </w:p>
        </w:tc>
        <w:tc>
          <w:tcPr>
            <w:tcW w:w="837" w:type="dxa"/>
            <w:vAlign w:val="center"/>
          </w:tcPr>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非甲烷总烃</w:t>
            </w:r>
          </w:p>
        </w:tc>
        <w:tc>
          <w:tcPr>
            <w:tcW w:w="3604" w:type="dxa"/>
            <w:vAlign w:val="center"/>
          </w:tcPr>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车间密闭，加强管理，规范操作</w:t>
            </w:r>
          </w:p>
        </w:tc>
        <w:tc>
          <w:tcPr>
            <w:tcW w:w="3470" w:type="dxa"/>
            <w:vMerge w:val="continue"/>
            <w:vAlign w:val="center"/>
          </w:tcPr>
          <w:p>
            <w:pPr>
              <w:adjustRightInd w:val="0"/>
              <w:snapToGrid w:val="0"/>
              <w:spacing w:line="360" w:lineRule="auto"/>
              <w:jc w:val="center"/>
              <w:rPr>
                <w:rFonts w:hint="default" w:ascii="Times New Roman" w:hAnsi="Times New Roman" w:eastAsia="宋体" w:cs="Times New Roman"/>
                <w:color w:val="auto"/>
                <w:kern w:val="2"/>
                <w:sz w:val="24"/>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jc w:val="center"/>
        </w:trPr>
        <w:tc>
          <w:tcPr>
            <w:tcW w:w="764" w:type="dxa"/>
            <w:vMerge w:val="restart"/>
            <w:vAlign w:val="center"/>
          </w:tcPr>
          <w:p>
            <w:pPr>
              <w:adjustRightInd w:val="0"/>
              <w:snapToGrid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1582" w:type="dxa"/>
            <w:vAlign w:val="center"/>
          </w:tcPr>
          <w:p>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生活污水</w:t>
            </w:r>
          </w:p>
        </w:tc>
        <w:tc>
          <w:tcPr>
            <w:tcW w:w="4441" w:type="dxa"/>
            <w:gridSpan w:val="2"/>
            <w:vAlign w:val="center"/>
          </w:tcPr>
          <w:p>
            <w:pPr>
              <w:spacing w:line="360" w:lineRule="auto"/>
              <w:jc w:val="center"/>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sz w:val="24"/>
                <w:szCs w:val="24"/>
                <w:lang w:val="en-US" w:eastAsia="zh-CN"/>
              </w:rPr>
              <w:t>生活污水经化粪池（10m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）处理后用于附近农田施肥</w:t>
            </w:r>
          </w:p>
        </w:tc>
        <w:tc>
          <w:tcPr>
            <w:tcW w:w="3470" w:type="dxa"/>
            <w:vAlign w:val="center"/>
          </w:tcPr>
          <w:p>
            <w:pPr>
              <w:tabs>
                <w:tab w:val="left" w:pos="0"/>
              </w:tabs>
              <w:snapToGrid w:val="0"/>
              <w:spacing w:line="360" w:lineRule="auto"/>
              <w:ind w:right="113" w:rightChars="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资源化利用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jc w:val="center"/>
        </w:trPr>
        <w:tc>
          <w:tcPr>
            <w:tcW w:w="764" w:type="dxa"/>
            <w:vMerge w:val="continue"/>
            <w:vAlign w:val="center"/>
          </w:tcPr>
          <w:p>
            <w:pPr>
              <w:adjustRightInd w:val="0"/>
              <w:snapToGrid w:val="0"/>
              <w:spacing w:line="360" w:lineRule="auto"/>
              <w:jc w:val="center"/>
              <w:rPr>
                <w:rFonts w:hint="default" w:ascii="Times New Roman" w:hAnsi="Times New Roman" w:eastAsia="宋体" w:cs="Times New Roman"/>
                <w:color w:val="auto"/>
                <w:sz w:val="24"/>
                <w:szCs w:val="24"/>
              </w:rPr>
            </w:pPr>
          </w:p>
        </w:tc>
        <w:tc>
          <w:tcPr>
            <w:tcW w:w="1582" w:type="dxa"/>
            <w:vAlign w:val="center"/>
          </w:tcPr>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生产废水</w:t>
            </w:r>
          </w:p>
        </w:tc>
        <w:tc>
          <w:tcPr>
            <w:tcW w:w="4441" w:type="dxa"/>
            <w:gridSpan w:val="2"/>
            <w:vAlign w:val="center"/>
          </w:tcPr>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挤出冷却废水，循环使用不外排，循环水池（40m³），喷淋塔废水经自带的循环水池（20m³）循环使用，不外排。</w:t>
            </w:r>
          </w:p>
        </w:tc>
        <w:tc>
          <w:tcPr>
            <w:tcW w:w="3470" w:type="dxa"/>
            <w:vAlign w:val="center"/>
          </w:tcPr>
          <w:p>
            <w:pPr>
              <w:spacing w:line="36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循环使用，不外排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jc w:val="center"/>
        </w:trPr>
        <w:tc>
          <w:tcPr>
            <w:tcW w:w="764" w:type="dxa"/>
            <w:vAlign w:val="center"/>
          </w:tcPr>
          <w:p>
            <w:pPr>
              <w:adjustRightInd w:val="0"/>
              <w:snapToGrid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9493" w:type="dxa"/>
            <w:gridSpan w:val="4"/>
            <w:vAlign w:val="center"/>
          </w:tcPr>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选用低噪设备，设备隔声减震，加强设备维护，厂界满足《工业企业厂界环境噪声排放标准》（GB 12348-2008）2类标准限值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764" w:type="dxa"/>
            <w:vMerge w:val="restart"/>
            <w:vAlign w:val="center"/>
          </w:tcPr>
          <w:p>
            <w:pPr>
              <w:adjustRightInd w:val="0"/>
              <w:snapToGrid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一般固体废物</w:t>
            </w:r>
          </w:p>
        </w:tc>
        <w:tc>
          <w:tcPr>
            <w:tcW w:w="1582" w:type="dxa"/>
            <w:vAlign w:val="center"/>
          </w:tcPr>
          <w:p>
            <w:pPr>
              <w:widowControl/>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sz w:val="24"/>
                <w:szCs w:val="24"/>
              </w:rPr>
              <w:t>生活垃圾</w:t>
            </w:r>
          </w:p>
        </w:tc>
        <w:tc>
          <w:tcPr>
            <w:tcW w:w="4441" w:type="dxa"/>
            <w:gridSpan w:val="2"/>
            <w:vAlign w:val="center"/>
          </w:tcPr>
          <w:p>
            <w:pPr>
              <w:widowControl/>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sz w:val="21"/>
                <w:szCs w:val="21"/>
              </w:rPr>
              <w:t>收集后运至垃圾中转站处理</w:t>
            </w:r>
          </w:p>
        </w:tc>
        <w:tc>
          <w:tcPr>
            <w:tcW w:w="3470" w:type="dxa"/>
            <w:vMerge w:val="restart"/>
            <w:vAlign w:val="center"/>
          </w:tcPr>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参照《一般工业固体废物贮存和填埋污染控制标准》（GB18599-2020）标准要求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764" w:type="dxa"/>
            <w:vMerge w:val="continue"/>
            <w:vAlign w:val="center"/>
          </w:tcPr>
          <w:p>
            <w:pPr>
              <w:adjustRightInd w:val="0"/>
              <w:snapToGrid w:val="0"/>
              <w:spacing w:line="360" w:lineRule="auto"/>
              <w:jc w:val="center"/>
              <w:rPr>
                <w:rFonts w:hint="default" w:ascii="Times New Roman" w:hAnsi="Times New Roman" w:eastAsia="宋体" w:cs="Times New Roman"/>
                <w:color w:val="auto"/>
                <w:sz w:val="24"/>
                <w:szCs w:val="24"/>
              </w:rPr>
            </w:pPr>
          </w:p>
        </w:tc>
        <w:tc>
          <w:tcPr>
            <w:tcW w:w="1582" w:type="dxa"/>
            <w:vAlign w:val="center"/>
          </w:tcPr>
          <w:p>
            <w:pPr>
              <w:widowControl/>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sz w:val="24"/>
                <w:szCs w:val="24"/>
              </w:rPr>
              <w:t>化粪池污泥</w:t>
            </w:r>
          </w:p>
        </w:tc>
        <w:tc>
          <w:tcPr>
            <w:tcW w:w="4441" w:type="dxa"/>
            <w:gridSpan w:val="2"/>
            <w:vAlign w:val="center"/>
          </w:tcPr>
          <w:p>
            <w:pPr>
              <w:widowControl/>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1"/>
                <w:szCs w:val="21"/>
                <w:lang w:val="en-US" w:eastAsia="zh-CN"/>
              </w:rPr>
              <w:t>由环卫部门定期清掏</w:t>
            </w:r>
          </w:p>
        </w:tc>
        <w:tc>
          <w:tcPr>
            <w:tcW w:w="3470" w:type="dxa"/>
            <w:vMerge w:val="continue"/>
            <w:vAlign w:val="center"/>
          </w:tcPr>
          <w:p>
            <w:pPr>
              <w:spacing w:line="360" w:lineRule="auto"/>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jc w:val="center"/>
        </w:trPr>
        <w:tc>
          <w:tcPr>
            <w:tcW w:w="764" w:type="dxa"/>
            <w:vMerge w:val="continue"/>
            <w:vAlign w:val="center"/>
          </w:tcPr>
          <w:p>
            <w:pPr>
              <w:adjustRightInd w:val="0"/>
              <w:snapToGrid w:val="0"/>
              <w:spacing w:line="360" w:lineRule="auto"/>
              <w:jc w:val="center"/>
              <w:rPr>
                <w:rFonts w:hint="default" w:ascii="Times New Roman" w:hAnsi="Times New Roman" w:eastAsia="宋体" w:cs="Times New Roman"/>
                <w:color w:val="auto"/>
                <w:sz w:val="24"/>
                <w:szCs w:val="24"/>
              </w:rPr>
            </w:pPr>
          </w:p>
        </w:tc>
        <w:tc>
          <w:tcPr>
            <w:tcW w:w="1582" w:type="dxa"/>
            <w:vAlign w:val="center"/>
          </w:tcPr>
          <w:p>
            <w:pPr>
              <w:widowControl/>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sz w:val="24"/>
                <w:szCs w:val="24"/>
                <w:lang w:val="en-US" w:eastAsia="zh-CN"/>
              </w:rPr>
              <w:t>废包装袋</w:t>
            </w:r>
          </w:p>
        </w:tc>
        <w:tc>
          <w:tcPr>
            <w:tcW w:w="4441" w:type="dxa"/>
            <w:gridSpan w:val="2"/>
            <w:vAlign w:val="center"/>
          </w:tcPr>
          <w:p>
            <w:pPr>
              <w:widowControl/>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sz w:val="21"/>
                <w:szCs w:val="21"/>
                <w:lang w:val="en-US" w:eastAsia="zh-CN"/>
              </w:rPr>
              <w:t>收集后外售处理</w:t>
            </w:r>
          </w:p>
        </w:tc>
        <w:tc>
          <w:tcPr>
            <w:tcW w:w="3470" w:type="dxa"/>
            <w:vMerge w:val="continue"/>
            <w:vAlign w:val="center"/>
          </w:tcPr>
          <w:p>
            <w:pPr>
              <w:spacing w:line="360" w:lineRule="auto"/>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764" w:type="dxa"/>
            <w:vMerge w:val="continue"/>
            <w:vAlign w:val="center"/>
          </w:tcPr>
          <w:p>
            <w:pPr>
              <w:adjustRightInd w:val="0"/>
              <w:snapToGrid w:val="0"/>
              <w:spacing w:line="360" w:lineRule="auto"/>
              <w:jc w:val="center"/>
              <w:rPr>
                <w:rFonts w:hint="default" w:ascii="Times New Roman" w:hAnsi="Times New Roman" w:eastAsia="宋体" w:cs="Times New Roman"/>
                <w:color w:val="auto"/>
                <w:sz w:val="24"/>
                <w:szCs w:val="24"/>
              </w:rPr>
            </w:pPr>
          </w:p>
        </w:tc>
        <w:tc>
          <w:tcPr>
            <w:tcW w:w="1582" w:type="dxa"/>
            <w:vAlign w:val="center"/>
          </w:tcPr>
          <w:p>
            <w:pPr>
              <w:widowControl/>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sz w:val="24"/>
                <w:szCs w:val="24"/>
                <w:lang w:val="en-US" w:eastAsia="zh-CN"/>
              </w:rPr>
              <w:t>不合格品</w:t>
            </w:r>
          </w:p>
        </w:tc>
        <w:tc>
          <w:tcPr>
            <w:tcW w:w="4441" w:type="dxa"/>
            <w:gridSpan w:val="2"/>
            <w:vAlign w:val="center"/>
          </w:tcPr>
          <w:p>
            <w:pPr>
              <w:widowControl/>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sz w:val="21"/>
                <w:szCs w:val="21"/>
                <w:lang w:val="en-US" w:eastAsia="zh-CN"/>
              </w:rPr>
              <w:t>收集后可回用于生产</w:t>
            </w:r>
          </w:p>
        </w:tc>
        <w:tc>
          <w:tcPr>
            <w:tcW w:w="3470" w:type="dxa"/>
            <w:vMerge w:val="continue"/>
            <w:vAlign w:val="center"/>
          </w:tcPr>
          <w:p>
            <w:pPr>
              <w:spacing w:line="360" w:lineRule="auto"/>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764" w:type="dxa"/>
            <w:vMerge w:val="continue"/>
            <w:vAlign w:val="center"/>
          </w:tcPr>
          <w:p>
            <w:pPr>
              <w:adjustRightInd w:val="0"/>
              <w:snapToGrid w:val="0"/>
              <w:spacing w:line="360" w:lineRule="auto"/>
              <w:jc w:val="center"/>
              <w:rPr>
                <w:rFonts w:hint="default" w:ascii="Times New Roman" w:hAnsi="Times New Roman" w:eastAsia="宋体" w:cs="Times New Roman"/>
                <w:color w:val="auto"/>
                <w:sz w:val="24"/>
                <w:szCs w:val="24"/>
              </w:rPr>
            </w:pPr>
          </w:p>
        </w:tc>
        <w:tc>
          <w:tcPr>
            <w:tcW w:w="1582" w:type="dxa"/>
            <w:vAlign w:val="center"/>
          </w:tcPr>
          <w:p>
            <w:pPr>
              <w:widowControl/>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sz w:val="24"/>
                <w:szCs w:val="24"/>
                <w:lang w:val="en-US" w:eastAsia="zh-CN"/>
              </w:rPr>
              <w:t>废滤网（含滤渣）</w:t>
            </w:r>
          </w:p>
        </w:tc>
        <w:tc>
          <w:tcPr>
            <w:tcW w:w="4441" w:type="dxa"/>
            <w:gridSpan w:val="2"/>
            <w:vAlign w:val="center"/>
          </w:tcPr>
          <w:p>
            <w:pPr>
              <w:widowControl/>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1"/>
                <w:szCs w:val="21"/>
                <w:lang w:val="en-US" w:eastAsia="zh-CN"/>
              </w:rPr>
              <w:t>收集后由厂家回收</w:t>
            </w:r>
          </w:p>
        </w:tc>
        <w:tc>
          <w:tcPr>
            <w:tcW w:w="3470" w:type="dxa"/>
            <w:vMerge w:val="continue"/>
            <w:vAlign w:val="center"/>
          </w:tcPr>
          <w:p>
            <w:pPr>
              <w:spacing w:line="360" w:lineRule="auto"/>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764" w:type="dxa"/>
            <w:vMerge w:val="restart"/>
            <w:vAlign w:val="center"/>
          </w:tcPr>
          <w:p>
            <w:pPr>
              <w:adjustRightInd w:val="0"/>
              <w:snapToGrid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危险废物</w:t>
            </w:r>
          </w:p>
        </w:tc>
        <w:tc>
          <w:tcPr>
            <w:tcW w:w="1582" w:type="dxa"/>
            <w:vAlign w:val="center"/>
          </w:tcPr>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sz w:val="24"/>
                <w:szCs w:val="24"/>
                <w:lang w:val="en-US" w:eastAsia="zh-CN"/>
              </w:rPr>
              <w:t>废灯管</w:t>
            </w:r>
          </w:p>
        </w:tc>
        <w:tc>
          <w:tcPr>
            <w:tcW w:w="4441" w:type="dxa"/>
            <w:gridSpan w:val="2"/>
            <w:vMerge w:val="restart"/>
            <w:vAlign w:val="center"/>
          </w:tcPr>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分类收集在危废暂存间内分区储存，定期交有资质单位处理</w:t>
            </w:r>
          </w:p>
        </w:tc>
        <w:tc>
          <w:tcPr>
            <w:tcW w:w="3470" w:type="dxa"/>
            <w:vMerge w:val="restart"/>
            <w:vAlign w:val="center"/>
          </w:tcPr>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764" w:type="dxa"/>
            <w:vMerge w:val="continue"/>
            <w:vAlign w:val="center"/>
          </w:tcPr>
          <w:p>
            <w:pPr>
              <w:adjustRightInd w:val="0"/>
              <w:snapToGrid w:val="0"/>
              <w:spacing w:line="360" w:lineRule="auto"/>
              <w:jc w:val="center"/>
              <w:rPr>
                <w:rFonts w:hint="default" w:ascii="Times New Roman" w:hAnsi="Times New Roman" w:eastAsia="宋体" w:cs="Times New Roman"/>
                <w:color w:val="auto"/>
                <w:sz w:val="24"/>
                <w:szCs w:val="24"/>
              </w:rPr>
            </w:pPr>
          </w:p>
        </w:tc>
        <w:tc>
          <w:tcPr>
            <w:tcW w:w="1582" w:type="dxa"/>
            <w:vAlign w:val="center"/>
          </w:tcPr>
          <w:p>
            <w:pPr>
              <w:widowControl/>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sz w:val="24"/>
                <w:szCs w:val="24"/>
              </w:rPr>
              <w:t>废活性炭</w:t>
            </w:r>
          </w:p>
        </w:tc>
        <w:tc>
          <w:tcPr>
            <w:tcW w:w="4441" w:type="dxa"/>
            <w:gridSpan w:val="2"/>
            <w:vMerge w:val="continue"/>
            <w:vAlign w:val="center"/>
          </w:tcPr>
          <w:p>
            <w:pPr>
              <w:spacing w:line="360" w:lineRule="auto"/>
              <w:jc w:val="center"/>
              <w:rPr>
                <w:rFonts w:hint="default" w:ascii="Times New Roman" w:hAnsi="Times New Roman" w:eastAsia="宋体" w:cs="Times New Roman"/>
                <w:color w:val="auto"/>
                <w:sz w:val="24"/>
                <w:szCs w:val="24"/>
              </w:rPr>
            </w:pPr>
          </w:p>
        </w:tc>
        <w:tc>
          <w:tcPr>
            <w:tcW w:w="3470" w:type="dxa"/>
            <w:vMerge w:val="continue"/>
            <w:vAlign w:val="center"/>
          </w:tcPr>
          <w:p>
            <w:pPr>
              <w:adjustRightInd w:val="0"/>
              <w:snapToGrid w:val="0"/>
              <w:spacing w:line="360" w:lineRule="auto"/>
              <w:jc w:val="center"/>
              <w:rPr>
                <w:rFonts w:hint="default" w:ascii="Times New Roman" w:hAnsi="Times New Roman" w:eastAsia="宋体"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tc>
          <w:tcPr>
            <w:tcW w:w="764" w:type="dxa"/>
            <w:vAlign w:val="center"/>
          </w:tcPr>
          <w:p>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u w:val="none"/>
              </w:rPr>
              <w:t>电磁辐射</w:t>
            </w:r>
          </w:p>
        </w:tc>
        <w:tc>
          <w:tcPr>
            <w:tcW w:w="9493" w:type="dxa"/>
            <w:gridSpan w:val="4"/>
            <w:vAlign w:val="center"/>
          </w:tcPr>
          <w:p>
            <w:pPr>
              <w:spacing w:line="360" w:lineRule="auto"/>
              <w:jc w:val="center"/>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本项目不涉及电磁辐射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99" w:hRule="atLeast"/>
          <w:jc w:val="center"/>
        </w:trPr>
        <w:tc>
          <w:tcPr>
            <w:tcW w:w="764" w:type="dxa"/>
            <w:vAlign w:val="center"/>
          </w:tcPr>
          <w:p>
            <w:pPr>
              <w:adjustRightInd w:val="0"/>
              <w:snapToGrid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w:t>
            </w:r>
          </w:p>
          <w:p>
            <w:pPr>
              <w:adjustRightInd w:val="0"/>
              <w:snapToGrid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污染防治措施</w:t>
            </w:r>
          </w:p>
        </w:tc>
        <w:tc>
          <w:tcPr>
            <w:tcW w:w="9493" w:type="dxa"/>
            <w:gridSpan w:val="4"/>
            <w:vAlign w:val="center"/>
          </w:tcPr>
          <w:p>
            <w:pPr>
              <w:spacing w:line="360" w:lineRule="auto"/>
              <w:jc w:val="both"/>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（1）厂区地面进行分区防渗</w:t>
            </w:r>
            <w:r>
              <w:rPr>
                <w:rFonts w:hint="default" w:ascii="Times New Roman" w:hAnsi="Times New Roman" w:eastAsia="宋体" w:cs="Times New Roman"/>
                <w:sz w:val="24"/>
                <w:szCs w:val="24"/>
                <w:u w:val="none"/>
                <w:lang w:eastAsia="zh-CN"/>
              </w:rPr>
              <w:t>，危废暂存间为重点防渗区</w:t>
            </w:r>
            <w:r>
              <w:rPr>
                <w:rFonts w:hint="default" w:ascii="Times New Roman" w:hAnsi="Times New Roman" w:eastAsia="宋体" w:cs="Times New Roman"/>
                <w:sz w:val="24"/>
                <w:szCs w:val="24"/>
                <w:u w:val="none"/>
              </w:rPr>
              <w:t>，生产车间、仓库、化粪池、冷却水池、喷淋塔循环水池和一般固废暂存间为一般防渗区，其余区域为简单防渗区；</w:t>
            </w:r>
          </w:p>
          <w:p>
            <w:pPr>
              <w:spacing w:line="360" w:lineRule="auto"/>
              <w:jc w:val="both"/>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（2）危险废物暂存间应按《危险废物贮存污染控制标准》（GB18597-2023）的要求，采取相应的防渗措施；</w:t>
            </w:r>
          </w:p>
          <w:p>
            <w:pPr>
              <w:adjustRightInd w:val="0"/>
              <w:snapToGrid w:val="0"/>
              <w:spacing w:line="360" w:lineRule="auto"/>
              <w:jc w:val="both"/>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u w:val="none"/>
              </w:rPr>
              <w:t>（3）一般工业固体废物在厂内采用库房或包装工具贮存，贮存过程应满足相应的防渗漏，防雨淋，防扬尘等环境保护要求。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1" w:hRule="atLeast"/>
          <w:jc w:val="center"/>
        </w:trPr>
        <w:tc>
          <w:tcPr>
            <w:tcW w:w="764" w:type="dxa"/>
            <w:vAlign w:val="center"/>
          </w:tcPr>
          <w:p>
            <w:pPr>
              <w:adjustRightInd w:val="0"/>
              <w:snapToGrid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生态保护措施</w:t>
            </w:r>
          </w:p>
        </w:tc>
        <w:tc>
          <w:tcPr>
            <w:tcW w:w="9493" w:type="dxa"/>
            <w:gridSpan w:val="4"/>
            <w:vAlign w:val="center"/>
          </w:tcPr>
          <w:p>
            <w:pPr>
              <w:spacing w:line="360" w:lineRule="auto"/>
              <w:ind w:firstLine="50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利用</w:t>
            </w:r>
            <w:r>
              <w:rPr>
                <w:rFonts w:hint="default" w:ascii="Times New Roman" w:hAnsi="Times New Roman" w:eastAsia="宋体" w:cs="Times New Roman"/>
                <w:color w:val="auto"/>
                <w:sz w:val="24"/>
                <w:szCs w:val="24"/>
                <w:lang w:val="en-US" w:eastAsia="zh-CN"/>
              </w:rPr>
              <w:t>现有生产车间进行建设，车间现场地面已硬化，主要为办公用房的建设和设备安装，工程量较小，施工期短，不会对周围生态环境造成明显影响。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99" w:hRule="atLeast"/>
          <w:jc w:val="center"/>
        </w:trPr>
        <w:tc>
          <w:tcPr>
            <w:tcW w:w="764" w:type="dxa"/>
            <w:vAlign w:val="center"/>
          </w:tcPr>
          <w:p>
            <w:pPr>
              <w:adjustRightInd w:val="0"/>
              <w:snapToGrid w:val="0"/>
              <w:spacing w:line="360" w:lineRule="auto"/>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环境风险防范措施</w:t>
            </w:r>
          </w:p>
        </w:tc>
        <w:tc>
          <w:tcPr>
            <w:tcW w:w="9493" w:type="dxa"/>
            <w:gridSpan w:val="4"/>
            <w:vAlign w:val="center"/>
          </w:tcPr>
          <w:p>
            <w:pPr>
              <w:spacing w:line="360" w:lineRule="auto"/>
              <w:ind w:firstLine="500" w:firstLineChars="200"/>
              <w:jc w:val="left"/>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项目计算得出Q=0.</w:t>
            </w:r>
            <w:r>
              <w:rPr>
                <w:rFonts w:hint="default" w:ascii="Times New Roman" w:hAnsi="Times New Roman" w:eastAsia="宋体" w:cs="Times New Roman"/>
                <w:sz w:val="24"/>
                <w:szCs w:val="24"/>
                <w:u w:val="none"/>
                <w:lang w:val="en-US" w:eastAsia="zh-CN"/>
              </w:rPr>
              <w:t>0683</w:t>
            </w:r>
            <w:r>
              <w:rPr>
                <w:rFonts w:hint="default" w:ascii="Times New Roman" w:hAnsi="Times New Roman" w:eastAsia="宋体" w:cs="Times New Roman"/>
                <w:sz w:val="24"/>
                <w:szCs w:val="24"/>
                <w:u w:val="none"/>
              </w:rPr>
              <w:t>＜1，环境风险潜势为Ⅰ，评价工作等级为简单分析。</w:t>
            </w:r>
          </w:p>
          <w:p>
            <w:pPr>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u w:val="none"/>
              </w:rPr>
              <w:t>项目运营期间，通过落实风险事故防治措施，建立完善的管理制度，加强安全生产管理，明确岗位责任制，提高环境风险意识，加强环境管理，可有效降低项目运营期间的环境风险，一旦发生意外时间，也能最大限度的减少环境污染危害和人们生命财产的损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51" w:hRule="atLeast"/>
          <w:jc w:val="center"/>
        </w:trPr>
        <w:tc>
          <w:tcPr>
            <w:tcW w:w="764" w:type="dxa"/>
            <w:vAlign w:val="center"/>
          </w:tcPr>
          <w:p>
            <w:pPr>
              <w:adjustRightInd w:val="0"/>
              <w:snapToGrid w:val="0"/>
              <w:spacing w:line="360" w:lineRule="auto"/>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其他环境管理要求</w:t>
            </w:r>
          </w:p>
        </w:tc>
        <w:tc>
          <w:tcPr>
            <w:tcW w:w="9493" w:type="dxa"/>
            <w:gridSpan w:val="4"/>
            <w:vAlign w:val="center"/>
          </w:tcPr>
          <w:p>
            <w:pPr>
              <w:keepNext w:val="0"/>
              <w:keepLines w:val="0"/>
              <w:widowControl/>
              <w:suppressLineNumbers w:val="0"/>
              <w:spacing w:line="360" w:lineRule="auto"/>
              <w:ind w:firstLine="500" w:firstLineChars="200"/>
              <w:jc w:val="left"/>
              <w:rPr>
                <w:rFonts w:hint="default" w:ascii="Times New Roman" w:hAnsi="Times New Roman" w:eastAsia="宋体" w:cs="Times New Roman"/>
                <w:sz w:val="24"/>
                <w:szCs w:val="24"/>
                <w:u w:val="none"/>
              </w:rPr>
            </w:pPr>
            <w:r>
              <w:rPr>
                <w:rFonts w:hint="default" w:ascii="Times New Roman" w:hAnsi="Times New Roman" w:eastAsia="宋体" w:cs="Times New Roman"/>
                <w:color w:val="000000"/>
                <w:kern w:val="0"/>
                <w:sz w:val="24"/>
                <w:szCs w:val="24"/>
                <w:u w:val="none"/>
                <w:lang w:val="en-US" w:eastAsia="zh-CN" w:bidi="ar"/>
              </w:rPr>
              <w:t xml:space="preserve">根据《建设项目竣工环境保护验收暂行办法》（国环规环评[2017]4 号），环保设施必须经验收合格后，建设项目方可投入生产或使用。 </w:t>
            </w:r>
          </w:p>
          <w:p>
            <w:pPr>
              <w:adjustRightInd w:val="0"/>
              <w:snapToGrid w:val="0"/>
              <w:spacing w:line="360" w:lineRule="auto"/>
              <w:ind w:firstLine="50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kern w:val="0"/>
                <w:sz w:val="24"/>
                <w:szCs w:val="24"/>
                <w:u w:val="none"/>
                <w:lang w:val="en-US" w:eastAsia="zh-CN" w:bidi="ar"/>
              </w:rPr>
              <w:t>项目应按照文中监测计划对项目各污染物排放情况进行监测，同时按照《排污单位自行监测技术指南 总则》建立并实施监测质量保证与质量控制措施方案，以自证自行监测数据的质量。根据自行监测方案及监测开展情况，梳理全过程监测质控要 求，建立自行监测质量保证与质量控制体系。若是由第三方进行监测，需要确认第三方资质；项目正式运营后，应对污染治理设施、设备及各污染物产生排放情况进行统计，建立管理台账，台账保存期限不得少于五年。同时，排放口规范化设置，粘贴标识牌。</w:t>
            </w:r>
          </w:p>
        </w:tc>
      </w:tr>
    </w:tbl>
    <w:p>
      <w:pPr>
        <w:spacing w:line="360" w:lineRule="auto"/>
        <w:jc w:val="center"/>
        <w:outlineLvl w:val="0"/>
        <w:rPr>
          <w:rFonts w:hint="default" w:ascii="Times New Roman" w:hAnsi="Times New Roman" w:cs="Times New Roman"/>
          <w:b/>
          <w:bCs/>
          <w:sz w:val="28"/>
          <w:szCs w:val="28"/>
        </w:rPr>
      </w:pPr>
      <w:r>
        <w:rPr>
          <w:rFonts w:hint="default" w:ascii="Times New Roman" w:hAnsi="Times New Roman" w:cs="Times New Roman"/>
          <w:b/>
          <w:bCs/>
          <w:sz w:val="28"/>
          <w:szCs w:val="28"/>
        </w:rPr>
        <w:br w:type="page"/>
      </w:r>
      <w:r>
        <w:rPr>
          <w:rFonts w:hint="default" w:ascii="Times New Roman" w:hAnsi="Times New Roman" w:cs="Times New Roman"/>
          <w:b/>
          <w:bCs/>
          <w:sz w:val="28"/>
          <w:szCs w:val="28"/>
        </w:rPr>
        <w:t>六、结论</w:t>
      </w:r>
    </w:p>
    <w:tbl>
      <w:tblPr>
        <w:tblStyle w:val="11"/>
        <w:tblW w:w="9208" w:type="dxa"/>
        <w:tblInd w:w="-366"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208"/>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2629" w:hRule="atLeast"/>
        </w:trPr>
        <w:tc>
          <w:tcPr>
            <w:tcW w:w="9208" w:type="dxa"/>
            <w:vAlign w:val="top"/>
          </w:tcPr>
          <w:p>
            <w:pPr>
              <w:pStyle w:val="23"/>
              <w:spacing w:before="0"/>
              <w:rPr>
                <w:rFonts w:hint="default" w:ascii="Times New Roman" w:hAnsi="Times New Roman" w:cs="Times New Roman"/>
                <w:sz w:val="21"/>
                <w:szCs w:val="21"/>
              </w:rPr>
            </w:pPr>
          </w:p>
          <w:p>
            <w:pPr>
              <w:pStyle w:val="23"/>
              <w:spacing w:before="0" w:line="360" w:lineRule="auto"/>
              <w:rPr>
                <w:rFonts w:hint="default" w:ascii="Times New Roman" w:hAnsi="Times New Roman" w:cs="Times New Roman"/>
                <w:sz w:val="21"/>
                <w:szCs w:val="21"/>
              </w:rPr>
            </w:pPr>
            <w:r>
              <w:rPr>
                <w:rFonts w:hint="default" w:ascii="Times New Roman" w:hAnsi="Times New Roman" w:cs="Times New Roman"/>
                <w:b w:val="0"/>
                <w:bCs w:val="0"/>
                <w:sz w:val="24"/>
                <w:szCs w:val="24"/>
              </w:rPr>
              <w:t>综上所述，</w:t>
            </w:r>
            <w:r>
              <w:rPr>
                <w:rFonts w:hint="default" w:ascii="Times New Roman" w:hAnsi="Times New Roman" w:cs="Times New Roman"/>
                <w:sz w:val="24"/>
                <w:szCs w:val="24"/>
                <w:lang w:eastAsia="zh-CN"/>
              </w:rPr>
              <w:t>河南凯呈再生资源有限公司年产5000吨再生塑料颗粒项目</w:t>
            </w:r>
            <w:r>
              <w:rPr>
                <w:rFonts w:hint="default" w:ascii="Times New Roman" w:hAnsi="Times New Roman" w:cs="Times New Roman"/>
                <w:sz w:val="24"/>
                <w:szCs w:val="24"/>
              </w:rPr>
              <w:t>位于南阳市方城县广阳镇后寨村168号，项目符合国家和地方相关产业政策要求，项目采取的“三废”及污染治理措施经济技术可行，措施有效；项目实施后可满足污染物长期稳定达标排放。评价认为，在严格执行“三同时”制度，在保证达标排放的前提下，从环境保护角度分析本项目建设是可行的。</w:t>
            </w:r>
          </w:p>
        </w:tc>
      </w:tr>
    </w:tbl>
    <w:p>
      <w:pPr>
        <w:spacing w:line="360" w:lineRule="auto"/>
        <w:rPr>
          <w:rFonts w:hint="default" w:ascii="Times New Roman" w:hAnsi="Times New Roman" w:cs="Times New Roman"/>
          <w:b/>
          <w:bCs/>
          <w:sz w:val="28"/>
          <w:szCs w:val="28"/>
        </w:rPr>
      </w:pPr>
    </w:p>
    <w:p>
      <w:pPr>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AndChars" w:linePitch="312" w:charSpace="2252"/>
        </w:sectPr>
      </w:pPr>
    </w:p>
    <w:tbl>
      <w:tblPr>
        <w:tblStyle w:val="11"/>
        <w:tblpPr w:leftFromText="180" w:rightFromText="180" w:vertAnchor="text" w:horzAnchor="page" w:tblpX="1358" w:tblpY="415"/>
        <w:tblOverlap w:val="never"/>
        <w:tblW w:w="14096"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486"/>
        <w:gridCol w:w="1984"/>
        <w:gridCol w:w="1455"/>
        <w:gridCol w:w="1335"/>
        <w:gridCol w:w="1470"/>
        <w:gridCol w:w="1470"/>
        <w:gridCol w:w="1440"/>
        <w:gridCol w:w="1981"/>
        <w:gridCol w:w="147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145" w:hRule="exact"/>
        </w:trPr>
        <w:tc>
          <w:tcPr>
            <w:tcW w:w="1486" w:type="dxa"/>
            <w:vAlign w:val="bottom"/>
          </w:tcPr>
          <w:p>
            <w:pP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mc:AlternateContent>
                <mc:Choice Requires="wps">
                  <w:drawing>
                    <wp:anchor distT="0" distB="0" distL="114300" distR="114300" simplePos="0" relativeHeight="251687936" behindDoc="0" locked="0" layoutInCell="1" allowOverlap="1">
                      <wp:simplePos x="0" y="0"/>
                      <wp:positionH relativeFrom="column">
                        <wp:posOffset>-60325</wp:posOffset>
                      </wp:positionH>
                      <wp:positionV relativeFrom="paragraph">
                        <wp:posOffset>-22860</wp:posOffset>
                      </wp:positionV>
                      <wp:extent cx="936625" cy="741045"/>
                      <wp:effectExtent l="3175" t="3810" r="12700" b="17145"/>
                      <wp:wrapNone/>
                      <wp:docPr id="27" name="自选图形 558"/>
                      <wp:cNvGraphicFramePr/>
                      <a:graphic xmlns:a="http://schemas.openxmlformats.org/drawingml/2006/main">
                        <a:graphicData uri="http://schemas.microsoft.com/office/word/2010/wordprocessingShape">
                          <wps:wsp>
                            <wps:cNvCnPr/>
                            <wps:spPr>
                              <a:xfrm>
                                <a:off x="0" y="0"/>
                                <a:ext cx="936625" cy="7410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58" o:spid="_x0000_s1026" o:spt="32" type="#_x0000_t32" style="position:absolute;left:0pt;margin-left:-4.75pt;margin-top:-1.8pt;height:58.35pt;width:73.75pt;z-index:251687936;mso-width-relative:page;mso-height-relative:page;" filled="f" stroked="t" coordsize="21600,21600" o:gfxdata="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j+PYo2AAAAAkBAAAP&#10;AAAAAAAAAAEAIAAAACIAAABkcnMvZG93bnJldi54bWxQSwECFAAUAAAACACHTuJAFlfSmN8BAACc&#10;AwAADgAAAAAAAAABACAAAAAnAQAAZHJzL2Uyb0RvYy54bWxQSwUGAAAAAAYABgBZAQAAeAUAAAAA&#10;">
                      <v:fill on="f" focussize="0,0"/>
                      <v:stroke color="#000000" joinstyle="round"/>
                      <v:imagedata o:title=""/>
                      <o:lock v:ext="edit" aspectratio="f"/>
                    </v:shape>
                  </w:pict>
                </mc:Fallback>
              </mc:AlternateContent>
            </w:r>
            <w:r>
              <w:rPr>
                <w:rFonts w:hint="default" w:ascii="Times New Roman" w:hAnsi="Times New Roman" w:eastAsia="宋体" w:cs="Times New Roman"/>
                <w:b/>
                <w:bCs/>
                <w:sz w:val="21"/>
                <w:szCs w:val="21"/>
              </w:rPr>
              <w:t xml:space="preserve">      项目</w:t>
            </w:r>
          </w:p>
          <w:p>
            <w:pPr>
              <w:pStyle w:val="5"/>
              <w:ind w:firstLine="582"/>
              <w:rPr>
                <w:rFonts w:hint="default" w:ascii="Times New Roman" w:hAnsi="Times New Roman" w:eastAsia="宋体" w:cs="Times New Roman"/>
                <w:color w:val="auto"/>
                <w:sz w:val="21"/>
                <w:szCs w:val="21"/>
              </w:rPr>
            </w:pPr>
          </w:p>
          <w:p>
            <w:pP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分类</w:t>
            </w:r>
          </w:p>
        </w:tc>
        <w:tc>
          <w:tcPr>
            <w:tcW w:w="1984"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污染物名称</w:t>
            </w:r>
          </w:p>
        </w:tc>
        <w:tc>
          <w:tcPr>
            <w:tcW w:w="1455"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现有工程排放量（固体废物产生量）①</w:t>
            </w:r>
          </w:p>
        </w:tc>
        <w:tc>
          <w:tcPr>
            <w:tcW w:w="1335"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现有工程许可排放量②</w:t>
            </w:r>
          </w:p>
        </w:tc>
        <w:tc>
          <w:tcPr>
            <w:tcW w:w="1470"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在建工程排放量（固体废物产生量）③</w:t>
            </w:r>
          </w:p>
        </w:tc>
        <w:tc>
          <w:tcPr>
            <w:tcW w:w="1470"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本项目排放量（固体废物产生量）④</w:t>
            </w:r>
          </w:p>
        </w:tc>
        <w:tc>
          <w:tcPr>
            <w:tcW w:w="1440"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以新带老消减量（新建项目不填）⑤</w:t>
            </w:r>
          </w:p>
        </w:tc>
        <w:tc>
          <w:tcPr>
            <w:tcW w:w="1981"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本项目建成后全厂排放量（固体废物产生量）⑥</w:t>
            </w:r>
          </w:p>
        </w:tc>
        <w:tc>
          <w:tcPr>
            <w:tcW w:w="1475" w:type="dxa"/>
            <w:vAlign w:val="center"/>
          </w:tcPr>
          <w:p>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变化量⑦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6" w:hRule="atLeast"/>
        </w:trPr>
        <w:tc>
          <w:tcPr>
            <w:tcW w:w="1486" w:type="dxa"/>
            <w:vMerge w:val="restart"/>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1984"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w:t>
            </w:r>
          </w:p>
        </w:tc>
        <w:tc>
          <w:tcPr>
            <w:tcW w:w="145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33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w:t>
            </w:r>
          </w:p>
        </w:tc>
        <w:tc>
          <w:tcPr>
            <w:tcW w:w="144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981"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6" w:hRule="atLeast"/>
        </w:trPr>
        <w:tc>
          <w:tcPr>
            <w:tcW w:w="1486" w:type="dxa"/>
            <w:vMerge w:val="continue"/>
            <w:vAlign w:val="center"/>
          </w:tcPr>
          <w:p>
            <w:pPr>
              <w:spacing w:line="360" w:lineRule="auto"/>
              <w:jc w:val="center"/>
              <w:rPr>
                <w:rFonts w:hint="default" w:ascii="Times New Roman" w:hAnsi="Times New Roman" w:eastAsia="宋体" w:cs="Times New Roman"/>
                <w:sz w:val="21"/>
                <w:szCs w:val="21"/>
              </w:rPr>
            </w:pPr>
          </w:p>
        </w:tc>
        <w:tc>
          <w:tcPr>
            <w:tcW w:w="1984"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SO</w:t>
            </w:r>
            <w:r>
              <w:rPr>
                <w:rFonts w:hint="default" w:ascii="Times New Roman" w:hAnsi="Times New Roman" w:eastAsia="宋体" w:cs="Times New Roman"/>
                <w:kern w:val="0"/>
                <w:sz w:val="21"/>
                <w:szCs w:val="21"/>
                <w:vertAlign w:val="subscript"/>
              </w:rPr>
              <w:t>2</w:t>
            </w:r>
          </w:p>
        </w:tc>
        <w:tc>
          <w:tcPr>
            <w:tcW w:w="145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33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4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981"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6" w:hRule="atLeast"/>
        </w:trPr>
        <w:tc>
          <w:tcPr>
            <w:tcW w:w="1486" w:type="dxa"/>
            <w:vMerge w:val="continue"/>
            <w:vAlign w:val="center"/>
          </w:tcPr>
          <w:p>
            <w:pPr>
              <w:spacing w:line="360" w:lineRule="auto"/>
              <w:jc w:val="center"/>
              <w:rPr>
                <w:rFonts w:hint="default" w:ascii="Times New Roman" w:hAnsi="Times New Roman" w:eastAsia="宋体" w:cs="Times New Roman"/>
                <w:sz w:val="21"/>
                <w:szCs w:val="21"/>
              </w:rPr>
            </w:pPr>
          </w:p>
        </w:tc>
        <w:tc>
          <w:tcPr>
            <w:tcW w:w="1984"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NO</w:t>
            </w:r>
            <w:r>
              <w:rPr>
                <w:rFonts w:hint="default" w:ascii="Times New Roman" w:hAnsi="Times New Roman" w:eastAsia="宋体" w:cs="Times New Roman"/>
                <w:kern w:val="0"/>
                <w:sz w:val="21"/>
                <w:szCs w:val="21"/>
                <w:vertAlign w:val="subscript"/>
              </w:rPr>
              <w:t>X</w:t>
            </w:r>
          </w:p>
        </w:tc>
        <w:tc>
          <w:tcPr>
            <w:tcW w:w="145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33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4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981"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6" w:hRule="atLeast"/>
        </w:trPr>
        <w:tc>
          <w:tcPr>
            <w:tcW w:w="1486" w:type="dxa"/>
            <w:vMerge w:val="continue"/>
            <w:vAlign w:val="center"/>
          </w:tcPr>
          <w:p>
            <w:pPr>
              <w:spacing w:line="360" w:lineRule="auto"/>
              <w:jc w:val="center"/>
              <w:rPr>
                <w:rFonts w:hint="default" w:ascii="Times New Roman" w:hAnsi="Times New Roman" w:eastAsia="宋体" w:cs="Times New Roman"/>
                <w:sz w:val="21"/>
                <w:szCs w:val="21"/>
              </w:rPr>
            </w:pPr>
          </w:p>
        </w:tc>
        <w:tc>
          <w:tcPr>
            <w:tcW w:w="1984"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c>
          <w:tcPr>
            <w:tcW w:w="145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33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0.49</w:t>
            </w:r>
            <w:r>
              <w:rPr>
                <w:rFonts w:hint="default" w:ascii="Times New Roman" w:hAnsi="Times New Roman" w:eastAsia="宋体" w:cs="Times New Roman"/>
                <w:color w:val="000000"/>
                <w:sz w:val="21"/>
                <w:szCs w:val="21"/>
              </w:rPr>
              <w:t>t/a</w:t>
            </w:r>
          </w:p>
        </w:tc>
        <w:tc>
          <w:tcPr>
            <w:tcW w:w="144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981" w:type="dxa"/>
            <w:vAlign w:val="center"/>
          </w:tcPr>
          <w:p>
            <w:pPr>
              <w:widowControl/>
              <w:spacing w:line="240" w:lineRule="auto"/>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0.49</w:t>
            </w:r>
            <w:r>
              <w:rPr>
                <w:rFonts w:hint="default" w:ascii="Times New Roman" w:hAnsi="Times New Roman" w:eastAsia="宋体" w:cs="Times New Roman"/>
                <w:color w:val="000000"/>
                <w:sz w:val="21"/>
                <w:szCs w:val="21"/>
              </w:rPr>
              <w:t>t/a</w:t>
            </w:r>
          </w:p>
        </w:tc>
        <w:tc>
          <w:tcPr>
            <w:tcW w:w="1475" w:type="dxa"/>
            <w:vAlign w:val="center"/>
          </w:tcPr>
          <w:p>
            <w:pPr>
              <w:widowControl/>
              <w:spacing w:line="240" w:lineRule="auto"/>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+0.49</w:t>
            </w:r>
            <w:r>
              <w:rPr>
                <w:rFonts w:hint="default" w:ascii="Times New Roman" w:hAnsi="Times New Roman" w:eastAsia="宋体" w:cs="Times New Roman"/>
                <w:color w:val="000000"/>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486" w:type="dxa"/>
            <w:vMerge w:val="restart"/>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1984"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1455"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w:t>
            </w:r>
          </w:p>
        </w:tc>
        <w:tc>
          <w:tcPr>
            <w:tcW w:w="133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w:t>
            </w:r>
          </w:p>
        </w:tc>
        <w:tc>
          <w:tcPr>
            <w:tcW w:w="144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981"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5"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486" w:type="dxa"/>
            <w:vMerge w:val="continue"/>
            <w:vAlign w:val="center"/>
          </w:tcPr>
          <w:p>
            <w:pPr>
              <w:spacing w:line="360" w:lineRule="auto"/>
              <w:jc w:val="center"/>
              <w:rPr>
                <w:rFonts w:hint="default" w:ascii="Times New Roman" w:hAnsi="Times New Roman" w:eastAsia="宋体" w:cs="Times New Roman"/>
                <w:sz w:val="21"/>
                <w:szCs w:val="21"/>
              </w:rPr>
            </w:pPr>
          </w:p>
        </w:tc>
        <w:tc>
          <w:tcPr>
            <w:tcW w:w="1984"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145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33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widowControl/>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0</w:t>
            </w:r>
          </w:p>
        </w:tc>
        <w:tc>
          <w:tcPr>
            <w:tcW w:w="144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981" w:type="dxa"/>
            <w:vAlign w:val="center"/>
          </w:tcPr>
          <w:p>
            <w:pPr>
              <w:widowControl/>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0</w:t>
            </w:r>
          </w:p>
        </w:tc>
        <w:tc>
          <w:tcPr>
            <w:tcW w:w="1475"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486" w:type="dxa"/>
            <w:vMerge w:val="restart"/>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w:t>
            </w:r>
          </w:p>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w:t>
            </w:r>
          </w:p>
        </w:tc>
        <w:tc>
          <w:tcPr>
            <w:tcW w:w="1984"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生活垃圾</w:t>
            </w:r>
          </w:p>
        </w:tc>
        <w:tc>
          <w:tcPr>
            <w:tcW w:w="145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33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0.75</w:t>
            </w:r>
            <w:r>
              <w:rPr>
                <w:rFonts w:hint="default" w:ascii="Times New Roman" w:hAnsi="Times New Roman" w:eastAsia="宋体" w:cs="Times New Roman"/>
                <w:color w:val="000000"/>
                <w:sz w:val="21"/>
                <w:szCs w:val="21"/>
              </w:rPr>
              <w:t>t/a</w:t>
            </w:r>
          </w:p>
        </w:tc>
        <w:tc>
          <w:tcPr>
            <w:tcW w:w="144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981"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0.75</w:t>
            </w:r>
            <w:r>
              <w:rPr>
                <w:rFonts w:hint="default" w:ascii="Times New Roman" w:hAnsi="Times New Roman" w:eastAsia="宋体" w:cs="Times New Roman"/>
                <w:color w:val="000000"/>
                <w:sz w:val="21"/>
                <w:szCs w:val="21"/>
              </w:rPr>
              <w:t>t/a</w:t>
            </w:r>
          </w:p>
        </w:tc>
        <w:tc>
          <w:tcPr>
            <w:tcW w:w="1475"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+0.75</w:t>
            </w:r>
            <w:r>
              <w:rPr>
                <w:rFonts w:hint="default" w:ascii="Times New Roman" w:hAnsi="Times New Roman" w:eastAsia="宋体" w:cs="Times New Roman"/>
                <w:color w:val="000000"/>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486" w:type="dxa"/>
            <w:vMerge w:val="continue"/>
            <w:vAlign w:val="center"/>
          </w:tcPr>
          <w:p>
            <w:pPr>
              <w:spacing w:line="360" w:lineRule="auto"/>
              <w:jc w:val="center"/>
              <w:rPr>
                <w:rFonts w:hint="default" w:ascii="Times New Roman" w:hAnsi="Times New Roman" w:eastAsia="宋体" w:cs="Times New Roman"/>
                <w:sz w:val="21"/>
                <w:szCs w:val="21"/>
              </w:rPr>
            </w:pPr>
          </w:p>
        </w:tc>
        <w:tc>
          <w:tcPr>
            <w:tcW w:w="1984"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化粪池污泥</w:t>
            </w:r>
          </w:p>
        </w:tc>
        <w:tc>
          <w:tcPr>
            <w:tcW w:w="145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33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0.5</w:t>
            </w:r>
            <w:r>
              <w:rPr>
                <w:rFonts w:hint="default" w:ascii="Times New Roman" w:hAnsi="Times New Roman" w:eastAsia="宋体" w:cs="Times New Roman"/>
                <w:color w:val="000000"/>
                <w:sz w:val="21"/>
                <w:szCs w:val="21"/>
              </w:rPr>
              <w:t>t/a</w:t>
            </w:r>
          </w:p>
        </w:tc>
        <w:tc>
          <w:tcPr>
            <w:tcW w:w="144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981"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0.5</w:t>
            </w:r>
            <w:r>
              <w:rPr>
                <w:rFonts w:hint="default" w:ascii="Times New Roman" w:hAnsi="Times New Roman" w:eastAsia="宋体" w:cs="Times New Roman"/>
                <w:color w:val="000000"/>
                <w:sz w:val="21"/>
                <w:szCs w:val="21"/>
              </w:rPr>
              <w:t>t/a</w:t>
            </w:r>
          </w:p>
        </w:tc>
        <w:tc>
          <w:tcPr>
            <w:tcW w:w="1475"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+0.5</w:t>
            </w:r>
            <w:r>
              <w:rPr>
                <w:rFonts w:hint="default" w:ascii="Times New Roman" w:hAnsi="Times New Roman" w:eastAsia="宋体" w:cs="Times New Roman"/>
                <w:color w:val="000000"/>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486" w:type="dxa"/>
            <w:vMerge w:val="continue"/>
            <w:vAlign w:val="center"/>
          </w:tcPr>
          <w:p>
            <w:pPr>
              <w:spacing w:line="360" w:lineRule="auto"/>
              <w:jc w:val="center"/>
              <w:rPr>
                <w:rFonts w:hint="default" w:ascii="Times New Roman" w:hAnsi="Times New Roman" w:eastAsia="宋体" w:cs="Times New Roman"/>
                <w:sz w:val="21"/>
                <w:szCs w:val="21"/>
              </w:rPr>
            </w:pPr>
          </w:p>
        </w:tc>
        <w:tc>
          <w:tcPr>
            <w:tcW w:w="1984"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废包装袋</w:t>
            </w:r>
          </w:p>
        </w:tc>
        <w:tc>
          <w:tcPr>
            <w:tcW w:w="145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33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widowControl/>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t/a</w:t>
            </w:r>
          </w:p>
        </w:tc>
        <w:tc>
          <w:tcPr>
            <w:tcW w:w="144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981" w:type="dxa"/>
            <w:vAlign w:val="center"/>
          </w:tcPr>
          <w:p>
            <w:pPr>
              <w:widowControl/>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t/a</w:t>
            </w:r>
          </w:p>
        </w:tc>
        <w:tc>
          <w:tcPr>
            <w:tcW w:w="1475"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486" w:type="dxa"/>
            <w:vMerge w:val="continue"/>
            <w:vAlign w:val="center"/>
          </w:tcPr>
          <w:p>
            <w:pPr>
              <w:spacing w:line="360" w:lineRule="auto"/>
              <w:jc w:val="center"/>
              <w:rPr>
                <w:rFonts w:hint="default" w:ascii="Times New Roman" w:hAnsi="Times New Roman" w:eastAsia="宋体" w:cs="Times New Roman"/>
                <w:sz w:val="21"/>
                <w:szCs w:val="21"/>
              </w:rPr>
            </w:pPr>
          </w:p>
        </w:tc>
        <w:tc>
          <w:tcPr>
            <w:tcW w:w="1984"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 w:val="0"/>
                <w:bCs w:val="0"/>
                <w:sz w:val="21"/>
                <w:szCs w:val="21"/>
                <w:u w:val="none"/>
              </w:rPr>
              <w:t>不合格品</w:t>
            </w:r>
          </w:p>
        </w:tc>
        <w:tc>
          <w:tcPr>
            <w:tcW w:w="145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33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widowControl/>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125</w:t>
            </w:r>
            <w:r>
              <w:rPr>
                <w:rFonts w:hint="default" w:ascii="Times New Roman" w:hAnsi="Times New Roman" w:eastAsia="宋体" w:cs="Times New Roman"/>
                <w:color w:val="000000"/>
                <w:sz w:val="21"/>
                <w:szCs w:val="21"/>
              </w:rPr>
              <w:t>t/a</w:t>
            </w:r>
          </w:p>
        </w:tc>
        <w:tc>
          <w:tcPr>
            <w:tcW w:w="144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981" w:type="dxa"/>
            <w:vAlign w:val="center"/>
          </w:tcPr>
          <w:p>
            <w:pPr>
              <w:widowControl/>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125</w:t>
            </w:r>
            <w:r>
              <w:rPr>
                <w:rFonts w:hint="default" w:ascii="Times New Roman" w:hAnsi="Times New Roman" w:eastAsia="宋体" w:cs="Times New Roman"/>
                <w:color w:val="000000"/>
                <w:sz w:val="21"/>
                <w:szCs w:val="21"/>
              </w:rPr>
              <w:t>t/a</w:t>
            </w:r>
          </w:p>
        </w:tc>
        <w:tc>
          <w:tcPr>
            <w:tcW w:w="1475"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+125</w:t>
            </w:r>
            <w:r>
              <w:rPr>
                <w:rFonts w:hint="default" w:ascii="Times New Roman" w:hAnsi="Times New Roman" w:eastAsia="宋体" w:cs="Times New Roman"/>
                <w:color w:val="000000"/>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486" w:type="dxa"/>
            <w:vMerge w:val="continue"/>
            <w:vAlign w:val="center"/>
          </w:tcPr>
          <w:p>
            <w:pPr>
              <w:spacing w:line="360" w:lineRule="auto"/>
              <w:jc w:val="center"/>
              <w:rPr>
                <w:rFonts w:hint="default" w:ascii="Times New Roman" w:hAnsi="Times New Roman" w:eastAsia="宋体" w:cs="Times New Roman"/>
                <w:sz w:val="21"/>
                <w:szCs w:val="21"/>
              </w:rPr>
            </w:pPr>
          </w:p>
        </w:tc>
        <w:tc>
          <w:tcPr>
            <w:tcW w:w="1984" w:type="dxa"/>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lang w:val="en-US" w:eastAsia="zh-CN"/>
              </w:rPr>
              <w:t>废滤网（含滤渣）</w:t>
            </w:r>
          </w:p>
        </w:tc>
        <w:tc>
          <w:tcPr>
            <w:tcW w:w="1455" w:type="dxa"/>
            <w:vAlign w:val="center"/>
          </w:tcPr>
          <w:p>
            <w:pPr>
              <w:spacing w:line="240" w:lineRule="auto"/>
              <w:jc w:val="center"/>
              <w:rPr>
                <w:rFonts w:hint="default" w:ascii="Times New Roman" w:hAnsi="Times New Roman" w:eastAsia="宋体" w:cs="Times New Roman"/>
                <w:kern w:val="28"/>
                <w:position w:val="6"/>
                <w:sz w:val="21"/>
                <w:szCs w:val="21"/>
              </w:rPr>
            </w:pPr>
            <w:r>
              <w:rPr>
                <w:rFonts w:hint="default" w:ascii="Times New Roman" w:hAnsi="Times New Roman" w:eastAsia="宋体" w:cs="Times New Roman"/>
                <w:sz w:val="21"/>
                <w:szCs w:val="21"/>
              </w:rPr>
              <w:t>0</w:t>
            </w:r>
          </w:p>
        </w:tc>
        <w:tc>
          <w:tcPr>
            <w:tcW w:w="133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4.2t/a</w:t>
            </w:r>
          </w:p>
        </w:tc>
        <w:tc>
          <w:tcPr>
            <w:tcW w:w="144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981"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4.2t/a</w:t>
            </w:r>
          </w:p>
        </w:tc>
        <w:tc>
          <w:tcPr>
            <w:tcW w:w="1475"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+4.2t/a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486" w:type="dxa"/>
            <w:vMerge w:val="restart"/>
            <w:vAlign w:val="center"/>
          </w:tcPr>
          <w:p>
            <w:pPr>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w:t>
            </w:r>
          </w:p>
        </w:tc>
        <w:tc>
          <w:tcPr>
            <w:tcW w:w="1984"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废灯管</w:t>
            </w:r>
          </w:p>
        </w:tc>
        <w:tc>
          <w:tcPr>
            <w:tcW w:w="145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335"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0.01t</w:t>
            </w:r>
            <w:r>
              <w:rPr>
                <w:rFonts w:hint="default" w:ascii="Times New Roman" w:hAnsi="Times New Roman" w:eastAsia="宋体" w:cs="Times New Roman"/>
                <w:color w:val="000000"/>
                <w:sz w:val="21"/>
                <w:szCs w:val="21"/>
              </w:rPr>
              <w:t>/a</w:t>
            </w:r>
          </w:p>
        </w:tc>
        <w:tc>
          <w:tcPr>
            <w:tcW w:w="1440"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w:t>
            </w:r>
          </w:p>
        </w:tc>
        <w:tc>
          <w:tcPr>
            <w:tcW w:w="1981"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0.01t</w:t>
            </w:r>
            <w:r>
              <w:rPr>
                <w:rFonts w:hint="default" w:ascii="Times New Roman" w:hAnsi="Times New Roman" w:eastAsia="宋体" w:cs="Times New Roman"/>
                <w:color w:val="000000"/>
                <w:sz w:val="21"/>
                <w:szCs w:val="21"/>
              </w:rPr>
              <w:t>/a</w:t>
            </w:r>
          </w:p>
        </w:tc>
        <w:tc>
          <w:tcPr>
            <w:tcW w:w="1475"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lang w:val="en-US" w:eastAsia="zh-CN"/>
              </w:rPr>
              <w:t>+0.01t</w:t>
            </w:r>
            <w:r>
              <w:rPr>
                <w:rFonts w:hint="default" w:ascii="Times New Roman" w:hAnsi="Times New Roman" w:eastAsia="宋体" w:cs="Times New Roman"/>
                <w:color w:val="000000"/>
                <w:sz w:val="21"/>
                <w:szCs w:val="21"/>
              </w:rPr>
              <w: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486" w:type="dxa"/>
            <w:vMerge w:val="continue"/>
            <w:vAlign w:val="center"/>
          </w:tcPr>
          <w:p>
            <w:pPr>
              <w:spacing w:line="360" w:lineRule="auto"/>
              <w:jc w:val="center"/>
              <w:rPr>
                <w:rFonts w:hint="default" w:ascii="Times New Roman" w:hAnsi="Times New Roman" w:eastAsia="宋体" w:cs="Times New Roman"/>
                <w:sz w:val="21"/>
                <w:szCs w:val="21"/>
              </w:rPr>
            </w:pPr>
          </w:p>
        </w:tc>
        <w:tc>
          <w:tcPr>
            <w:tcW w:w="1984" w:type="dxa"/>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rPr>
              <w:t>废活性炭</w:t>
            </w:r>
          </w:p>
        </w:tc>
        <w:tc>
          <w:tcPr>
            <w:tcW w:w="1455"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335"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w:t>
            </w:r>
          </w:p>
        </w:tc>
        <w:tc>
          <w:tcPr>
            <w:tcW w:w="1470" w:type="dxa"/>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1470"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6.83</w:t>
            </w:r>
            <w:r>
              <w:rPr>
                <w:rFonts w:hint="default" w:ascii="Times New Roman" w:hAnsi="Times New Roman" w:eastAsia="宋体" w:cs="Times New Roman"/>
                <w:color w:val="000000"/>
                <w:sz w:val="21"/>
                <w:szCs w:val="21"/>
              </w:rPr>
              <w:t>t/a</w:t>
            </w:r>
          </w:p>
        </w:tc>
        <w:tc>
          <w:tcPr>
            <w:tcW w:w="1440"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w:t>
            </w:r>
          </w:p>
        </w:tc>
        <w:tc>
          <w:tcPr>
            <w:tcW w:w="1981"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6.83</w:t>
            </w:r>
            <w:r>
              <w:rPr>
                <w:rFonts w:hint="default" w:ascii="Times New Roman" w:hAnsi="Times New Roman" w:eastAsia="宋体" w:cs="Times New Roman"/>
                <w:color w:val="000000"/>
                <w:sz w:val="21"/>
                <w:szCs w:val="21"/>
              </w:rPr>
              <w:t>t/a</w:t>
            </w:r>
          </w:p>
        </w:tc>
        <w:tc>
          <w:tcPr>
            <w:tcW w:w="1475" w:type="dxa"/>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val="en-US" w:eastAsia="zh-CN"/>
              </w:rPr>
              <w:t>+6.83</w:t>
            </w:r>
            <w:r>
              <w:rPr>
                <w:rFonts w:hint="default" w:ascii="Times New Roman" w:hAnsi="Times New Roman" w:eastAsia="宋体" w:cs="Times New Roman"/>
                <w:color w:val="000000"/>
                <w:sz w:val="21"/>
                <w:szCs w:val="21"/>
              </w:rPr>
              <w:t>t/a</w:t>
            </w:r>
          </w:p>
        </w:tc>
      </w:tr>
    </w:tbl>
    <w:p>
      <w:pPr>
        <w:tabs>
          <w:tab w:val="right" w:pos="13958"/>
        </w:tabs>
        <w:spacing w:line="360" w:lineRule="auto"/>
        <w:jc w:val="left"/>
        <w:rPr>
          <w:rFonts w:hint="eastAsia" w:ascii="Times New Roman" w:hAnsi="Times New Roman" w:eastAsia="宋体" w:cs="Times New Roman"/>
          <w:szCs w:val="21"/>
          <w:lang w:eastAsia="zh-CN"/>
        </w:rPr>
      </w:pPr>
    </w:p>
    <w:p>
      <w:pPr>
        <w:tabs>
          <w:tab w:val="right" w:pos="13958"/>
        </w:tabs>
        <w:spacing w:line="360" w:lineRule="auto"/>
        <w:jc w:val="left"/>
        <w:rPr>
          <w:rFonts w:hint="default" w:ascii="Times New Roman" w:hAnsi="Times New Roman" w:cs="Times New Roman"/>
          <w:szCs w:val="21"/>
        </w:rPr>
      </w:pPr>
      <w:r>
        <w:rPr>
          <w:rFonts w:hint="default" w:ascii="Times New Roman" w:hAnsi="Times New Roman" w:cs="Times New Roman"/>
          <w:szCs w:val="21"/>
        </w:rPr>
        <w:t>注：⑥=①+③+④-⑤；⑦=⑥-①</w:t>
      </w:r>
    </w:p>
    <w:p>
      <w:pPr>
        <w:pStyle w:val="2"/>
        <w:rPr>
          <w:rFonts w:hint="default" w:ascii="Times New Roman" w:hAnsi="Times New Roman" w:cs="Times New Roman"/>
          <w:szCs w:val="21"/>
        </w:rPr>
      </w:pPr>
    </w:p>
    <w:p>
      <w:pPr>
        <w:rPr>
          <w:rFonts w:hint="default" w:ascii="Times New Roman" w:hAnsi="Times New Roman" w:cs="Times New Roman"/>
          <w:szCs w:val="21"/>
        </w:rPr>
      </w:pPr>
    </w:p>
    <w:p>
      <w:pPr>
        <w:pStyle w:val="2"/>
        <w:rPr>
          <w:rFonts w:hint="default" w:ascii="Times New Roman" w:hAnsi="Times New Roman" w:cs="Times New Roman"/>
          <w:szCs w:val="21"/>
        </w:rPr>
      </w:pPr>
    </w:p>
    <w:p>
      <w:r>
        <w:drawing>
          <wp:inline distT="0" distB="0" distL="114300" distR="114300">
            <wp:extent cx="5276215" cy="7068820"/>
            <wp:effectExtent l="0" t="0" r="635" b="1778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5"/>
                    <a:stretch>
                      <a:fillRect/>
                    </a:stretch>
                  </pic:blipFill>
                  <pic:spPr>
                    <a:xfrm>
                      <a:off x="0" y="0"/>
                      <a:ext cx="5276215" cy="7068820"/>
                    </a:xfrm>
                    <a:prstGeom prst="rect">
                      <a:avLst/>
                    </a:prstGeom>
                    <a:noFill/>
                    <a:ln>
                      <a:noFill/>
                    </a:ln>
                  </pic:spPr>
                </pic:pic>
              </a:graphicData>
            </a:graphic>
          </wp:inline>
        </w:drawing>
      </w:r>
    </w:p>
    <w:p>
      <w:pPr>
        <w:pStyle w:val="2"/>
        <w:rPr>
          <w:rFonts w:hint="eastAsia" w:eastAsia="宋体"/>
          <w:lang w:eastAsia="zh-CN"/>
        </w:rPr>
      </w:pPr>
      <w:r>
        <w:rPr>
          <w:rFonts w:hint="eastAsia"/>
          <w:lang w:eastAsia="zh-CN"/>
        </w:rPr>
        <w:t>附件一：</w:t>
      </w:r>
      <w:r>
        <w:rPr>
          <w:rFonts w:hint="eastAsia"/>
          <w:b/>
          <w:sz w:val="28"/>
          <w:szCs w:val="28"/>
        </w:rPr>
        <w:t>项目地理位置示意图</w:t>
      </w:r>
    </w:p>
    <w:p>
      <w:pPr>
        <w:pStyle w:val="2"/>
        <w:rPr>
          <w:rFonts w:hint="default"/>
          <w:lang w:eastAsia="zh-CN"/>
        </w:rPr>
      </w:pPr>
    </w:p>
    <w:p>
      <w:pPr>
        <w:pStyle w:val="6"/>
        <w:widowControl w:val="0"/>
        <w:numPr>
          <w:numId w:val="0"/>
        </w:numPr>
        <w:tabs>
          <w:tab w:val="clear" w:pos="2040"/>
        </w:tabs>
        <w:jc w:val="both"/>
      </w:pPr>
      <w:r>
        <w:drawing>
          <wp:anchor distT="0" distB="0" distL="114300" distR="114300" simplePos="0" relativeHeight="251703296" behindDoc="1" locked="0" layoutInCell="1" allowOverlap="1">
            <wp:simplePos x="0" y="0"/>
            <wp:positionH relativeFrom="column">
              <wp:posOffset>333375</wp:posOffset>
            </wp:positionH>
            <wp:positionV relativeFrom="paragraph">
              <wp:posOffset>-320040</wp:posOffset>
            </wp:positionV>
            <wp:extent cx="6384290" cy="5276215"/>
            <wp:effectExtent l="0" t="0" r="16510" b="635"/>
            <wp:wrapTight wrapText="bothSides">
              <wp:wrapPolygon>
                <wp:start x="0" y="0"/>
                <wp:lineTo x="0" y="21525"/>
                <wp:lineTo x="21527" y="21525"/>
                <wp:lineTo x="21527" y="0"/>
                <wp:lineTo x="0" y="0"/>
              </wp:wrapPolygon>
            </wp:wrapTight>
            <wp:docPr id="1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
                    <pic:cNvPicPr>
                      <a:picLocks noChangeAspect="1"/>
                    </pic:cNvPicPr>
                  </pic:nvPicPr>
                  <pic:blipFill>
                    <a:blip r:embed="rId16"/>
                    <a:stretch>
                      <a:fillRect/>
                    </a:stretch>
                  </pic:blipFill>
                  <pic:spPr>
                    <a:xfrm>
                      <a:off x="0" y="0"/>
                      <a:ext cx="6384290" cy="5276215"/>
                    </a:xfrm>
                    <a:prstGeom prst="rect">
                      <a:avLst/>
                    </a:prstGeom>
                    <a:noFill/>
                    <a:ln>
                      <a:noFill/>
                    </a:ln>
                  </pic:spPr>
                </pic:pic>
              </a:graphicData>
            </a:graphic>
          </wp:anchor>
        </w:drawing>
      </w: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rPr>
          <w:rFonts w:hint="eastAsia" w:eastAsiaTheme="minorEastAsia"/>
          <w:b/>
          <w:sz w:val="28"/>
          <w:szCs w:val="28"/>
          <w:lang w:eastAsia="zh-CN"/>
        </w:rPr>
      </w:pPr>
      <w:r>
        <w:rPr>
          <w:rFonts w:hint="eastAsia"/>
          <w:b/>
          <w:sz w:val="28"/>
          <w:szCs w:val="28"/>
        </w:rPr>
        <w:t>附图二</w:t>
      </w:r>
      <w:r>
        <w:rPr>
          <w:rFonts w:hint="eastAsia"/>
          <w:b/>
          <w:sz w:val="28"/>
          <w:szCs w:val="28"/>
          <w:lang w:val="en-US" w:eastAsia="zh-CN"/>
        </w:rPr>
        <w:t xml:space="preserve">  </w:t>
      </w:r>
      <w:r>
        <w:rPr>
          <w:rFonts w:hint="eastAsia"/>
          <w:b/>
          <w:sz w:val="28"/>
          <w:szCs w:val="28"/>
        </w:rPr>
        <w:t>项目厂区平面布置图</w:t>
      </w:r>
      <w:r>
        <w:rPr>
          <w:rFonts w:hint="eastAsia"/>
          <w:b/>
          <w:sz w:val="28"/>
          <w:szCs w:val="28"/>
          <w:lang w:eastAsia="zh-CN"/>
        </w:rPr>
        <w:t>（整个厂区布置）</w:t>
      </w: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rPr>
          <w:rFonts w:hint="eastAsia" w:eastAsia="宋体"/>
          <w:lang w:eastAsia="zh-CN"/>
        </w:rPr>
      </w:pPr>
      <w:r>
        <w:rPr>
          <w:rFonts w:hint="eastAsia" w:eastAsia="宋体"/>
          <w:lang w:eastAsia="zh-CN"/>
        </w:rPr>
        <w:drawing>
          <wp:inline distT="0" distB="0" distL="114300" distR="114300">
            <wp:extent cx="5266055" cy="8207375"/>
            <wp:effectExtent l="0" t="0" r="10795" b="3175"/>
            <wp:docPr id="174" name="图片 174" descr="69e237e6710760aa7c02b68d8539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69e237e6710760aa7c02b68d8539e98"/>
                    <pic:cNvPicPr>
                      <a:picLocks noChangeAspect="1"/>
                    </pic:cNvPicPr>
                  </pic:nvPicPr>
                  <pic:blipFill>
                    <a:blip r:embed="rId17"/>
                    <a:stretch>
                      <a:fillRect/>
                    </a:stretch>
                  </pic:blipFill>
                  <pic:spPr>
                    <a:xfrm>
                      <a:off x="0" y="0"/>
                      <a:ext cx="5266055" cy="8207375"/>
                    </a:xfrm>
                    <a:prstGeom prst="rect">
                      <a:avLst/>
                    </a:prstGeom>
                  </pic:spPr>
                </pic:pic>
              </a:graphicData>
            </a:graphic>
          </wp:inline>
        </w:drawing>
      </w: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rPr>
          <w:rFonts w:hint="eastAsia" w:eastAsia="宋体"/>
          <w:lang w:eastAsia="zh-CN"/>
        </w:rPr>
      </w:pPr>
      <w:r>
        <w:rPr>
          <w:rFonts w:hint="eastAsia" w:eastAsia="宋体"/>
          <w:lang w:eastAsia="zh-CN"/>
        </w:rPr>
        <w:drawing>
          <wp:inline distT="0" distB="0" distL="114300" distR="114300">
            <wp:extent cx="5263515" cy="6365875"/>
            <wp:effectExtent l="0" t="0" r="13335" b="15875"/>
            <wp:docPr id="176" name="图片 176" descr="7285cb74a4ecb0f1d23f8d343cfc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7285cb74a4ecb0f1d23f8d343cfc01b"/>
                    <pic:cNvPicPr>
                      <a:picLocks noChangeAspect="1"/>
                    </pic:cNvPicPr>
                  </pic:nvPicPr>
                  <pic:blipFill>
                    <a:blip r:embed="rId18"/>
                    <a:stretch>
                      <a:fillRect/>
                    </a:stretch>
                  </pic:blipFill>
                  <pic:spPr>
                    <a:xfrm>
                      <a:off x="0" y="0"/>
                      <a:ext cx="5263515" cy="6365875"/>
                    </a:xfrm>
                    <a:prstGeom prst="rect">
                      <a:avLst/>
                    </a:prstGeom>
                  </pic:spPr>
                </pic:pic>
              </a:graphicData>
            </a:graphic>
          </wp:inline>
        </w:drawing>
      </w: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rPr>
          <w:rFonts w:hint="eastAsia" w:eastAsia="宋体"/>
          <w:lang w:eastAsia="zh-CN"/>
        </w:rPr>
      </w:pPr>
      <w:r>
        <w:rPr>
          <w:rFonts w:hint="eastAsia" w:eastAsia="宋体"/>
          <w:lang w:eastAsia="zh-CN"/>
        </w:rPr>
        <w:drawing>
          <wp:inline distT="0" distB="0" distL="114300" distR="114300">
            <wp:extent cx="5314315" cy="6915150"/>
            <wp:effectExtent l="0" t="0" r="635" b="0"/>
            <wp:docPr id="177" name="图片 177" descr="7e01d289c873cac5a7ef9db8608a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7e01d289c873cac5a7ef9db8608a7c1"/>
                    <pic:cNvPicPr>
                      <a:picLocks noChangeAspect="1"/>
                    </pic:cNvPicPr>
                  </pic:nvPicPr>
                  <pic:blipFill>
                    <a:blip r:embed="rId19"/>
                    <a:stretch>
                      <a:fillRect/>
                    </a:stretch>
                  </pic:blipFill>
                  <pic:spPr>
                    <a:xfrm>
                      <a:off x="0" y="0"/>
                      <a:ext cx="5314315" cy="6915150"/>
                    </a:xfrm>
                    <a:prstGeom prst="rect">
                      <a:avLst/>
                    </a:prstGeom>
                  </pic:spPr>
                </pic:pic>
              </a:graphicData>
            </a:graphic>
          </wp:inline>
        </w:drawing>
      </w:r>
    </w:p>
    <w:p>
      <w:pPr>
        <w:pStyle w:val="6"/>
        <w:widowControl w:val="0"/>
        <w:numPr>
          <w:numId w:val="0"/>
        </w:numPr>
        <w:tabs>
          <w:tab w:val="clear" w:pos="2040"/>
        </w:tabs>
        <w:jc w:val="both"/>
        <w:rPr>
          <w:rFonts w:hint="eastAsia" w:eastAsia="宋体"/>
          <w:lang w:eastAsia="zh-CN"/>
        </w:rPr>
      </w:pPr>
    </w:p>
    <w:p>
      <w:pPr>
        <w:pStyle w:val="6"/>
        <w:widowControl w:val="0"/>
        <w:numPr>
          <w:numId w:val="0"/>
        </w:numPr>
        <w:tabs>
          <w:tab w:val="clear" w:pos="2040"/>
        </w:tabs>
        <w:jc w:val="both"/>
        <w:rPr>
          <w:rFonts w:hint="eastAsia" w:eastAsia="宋体"/>
          <w:lang w:eastAsia="zh-CN"/>
        </w:rPr>
      </w:pPr>
    </w:p>
    <w:p>
      <w:pPr>
        <w:pStyle w:val="6"/>
        <w:widowControl w:val="0"/>
        <w:numPr>
          <w:numId w:val="0"/>
        </w:numPr>
        <w:tabs>
          <w:tab w:val="clear" w:pos="2040"/>
        </w:tabs>
        <w:jc w:val="both"/>
        <w:rPr>
          <w:rFonts w:hint="eastAsia" w:eastAsia="宋体"/>
          <w:lang w:eastAsia="zh-CN"/>
        </w:rPr>
      </w:pPr>
    </w:p>
    <w:p>
      <w:pPr>
        <w:pStyle w:val="6"/>
        <w:widowControl w:val="0"/>
        <w:numPr>
          <w:numId w:val="0"/>
        </w:numPr>
        <w:tabs>
          <w:tab w:val="clear" w:pos="2040"/>
        </w:tabs>
        <w:jc w:val="both"/>
        <w:rPr>
          <w:rFonts w:hint="eastAsia" w:eastAsia="宋体"/>
          <w:lang w:eastAsia="zh-CN"/>
        </w:rPr>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rPr>
          <w:rFonts w:hint="eastAsia" w:eastAsia="宋体"/>
          <w:lang w:eastAsia="zh-CN"/>
        </w:rPr>
      </w:pPr>
      <w:bookmarkStart w:id="1" w:name="_GoBack"/>
      <w:r>
        <w:rPr>
          <w:rFonts w:hint="eastAsia" w:eastAsia="宋体"/>
          <w:lang w:eastAsia="zh-CN"/>
        </w:rPr>
        <w:drawing>
          <wp:inline distT="0" distB="0" distL="114300" distR="114300">
            <wp:extent cx="5257800" cy="7513320"/>
            <wp:effectExtent l="0" t="0" r="0" b="11430"/>
            <wp:docPr id="178" name="图片 178" descr="600230ff029ff07b9efd93d77158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600230ff029ff07b9efd93d77158d92"/>
                    <pic:cNvPicPr>
                      <a:picLocks noChangeAspect="1"/>
                    </pic:cNvPicPr>
                  </pic:nvPicPr>
                  <pic:blipFill>
                    <a:blip r:embed="rId20"/>
                    <a:stretch>
                      <a:fillRect/>
                    </a:stretch>
                  </pic:blipFill>
                  <pic:spPr>
                    <a:xfrm>
                      <a:off x="0" y="0"/>
                      <a:ext cx="5257800" cy="7513320"/>
                    </a:xfrm>
                    <a:prstGeom prst="rect">
                      <a:avLst/>
                    </a:prstGeom>
                  </pic:spPr>
                </pic:pic>
              </a:graphicData>
            </a:graphic>
          </wp:inline>
        </w:drawing>
      </w:r>
      <w:bookmarkEnd w:id="1"/>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pPr>
        <w:pStyle w:val="6"/>
        <w:widowControl w:val="0"/>
        <w:numPr>
          <w:numId w:val="0"/>
        </w:numPr>
        <w:tabs>
          <w:tab w:val="clear" w:pos="2040"/>
        </w:tabs>
        <w:jc w:val="both"/>
      </w:pPr>
    </w:p>
    <w:p>
      <w:r>
        <mc:AlternateContent>
          <mc:Choice Requires="wps">
            <w:drawing>
              <wp:anchor distT="0" distB="0" distL="114300" distR="114300" simplePos="0" relativeHeight="251705344" behindDoc="0" locked="0" layoutInCell="1" allowOverlap="1">
                <wp:simplePos x="0" y="0"/>
                <wp:positionH relativeFrom="column">
                  <wp:posOffset>-124460</wp:posOffset>
                </wp:positionH>
                <wp:positionV relativeFrom="paragraph">
                  <wp:posOffset>-60960</wp:posOffset>
                </wp:positionV>
                <wp:extent cx="2108835" cy="48768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2108835" cy="487680"/>
                        </a:xfrm>
                        <a:prstGeom prst="rect">
                          <a:avLst/>
                        </a:prstGeom>
                        <a:noFill/>
                        <a:ln w="9525">
                          <a:noFill/>
                        </a:ln>
                      </wps:spPr>
                      <wps:txbx>
                        <w:txbxContent>
                          <w:p>
                            <w:pPr>
                              <w:rPr>
                                <w:b/>
                                <w:sz w:val="30"/>
                                <w:szCs w:val="30"/>
                              </w:rPr>
                            </w:pPr>
                            <w:r>
                              <w:rPr>
                                <w:rFonts w:hint="eastAsia"/>
                                <w:b/>
                                <w:sz w:val="30"/>
                                <w:szCs w:val="30"/>
                              </w:rPr>
                              <w:t>附件1  委托书</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9.8pt;margin-top:-4.8pt;height:38.4pt;width:166.05pt;z-index:251705344;mso-width-relative:margin;mso-height-relative:margin;mso-width-percent:400;mso-height-percent:200;" filled="f" stroked="f" coordsize="21600,21600" o:gfxdata="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AF7OHXAAAACQEA&#10;AA8AAAAAAAAAAQAgAAAAIgAAAGRycy9kb3ducmV2LnhtbFBLAQIUABQAAAAIAIdO4kCikt3RqQEA&#10;ACcDAAAOAAAAAAAAAAEAIAAAACYBAABkcnMvZTJvRG9jLnhtbFBLBQYAAAAABgAGAFkBAABBBQAA&#10;AAA=&#10;">
                <v:fill on="f" focussize="0,0"/>
                <v:stroke on="f"/>
                <v:imagedata o:title=""/>
                <o:lock v:ext="edit" aspectratio="f"/>
                <v:textbox style="mso-fit-shape-to-text:t;">
                  <w:txbxContent>
                    <w:p>
                      <w:pPr>
                        <w:rPr>
                          <w:b/>
                          <w:sz w:val="30"/>
                          <w:szCs w:val="30"/>
                        </w:rPr>
                      </w:pPr>
                      <w:r>
                        <w:rPr>
                          <w:rFonts w:hint="eastAsia"/>
                          <w:b/>
                          <w:sz w:val="30"/>
                          <w:szCs w:val="30"/>
                        </w:rPr>
                        <w:t>附件1  委托书</w:t>
                      </w:r>
                    </w:p>
                  </w:txbxContent>
                </v:textbox>
              </v:shape>
            </w:pict>
          </mc:Fallback>
        </mc:AlternateContent>
      </w:r>
    </w:p>
    <w:p/>
    <w:p>
      <w:pPr>
        <w:tabs>
          <w:tab w:val="left" w:pos="4830"/>
        </w:tabs>
        <w:spacing w:before="100" w:beforeAutospacing="1" w:after="100" w:afterAutospacing="1" w:line="480" w:lineRule="auto"/>
        <w:jc w:val="center"/>
        <w:rPr>
          <w:rFonts w:ascii="黑体" w:hAnsi="黑体" w:eastAsia="黑体"/>
          <w:b/>
          <w:sz w:val="44"/>
          <w:szCs w:val="44"/>
        </w:rPr>
      </w:pPr>
      <w:r>
        <w:rPr>
          <w:rFonts w:hint="eastAsia" w:ascii="黑体" w:hAnsi="黑体" w:eastAsia="黑体"/>
          <w:b/>
          <w:sz w:val="44"/>
          <w:szCs w:val="44"/>
        </w:rPr>
        <w:t>委  托  书</w:t>
      </w:r>
    </w:p>
    <w:p>
      <w:pPr>
        <w:spacing w:line="360" w:lineRule="auto"/>
        <w:rPr>
          <w:rFonts w:hint="eastAsia" w:eastAsia="宋体"/>
          <w:b/>
          <w:bCs/>
          <w:sz w:val="28"/>
          <w:lang w:eastAsia="zh-CN"/>
        </w:rPr>
      </w:pPr>
      <w:r>
        <w:rPr>
          <w:rFonts w:hint="eastAsia"/>
          <w:b/>
          <w:bCs/>
          <w:sz w:val="28"/>
        </w:rPr>
        <w:t>明阳科技（河南）有限公司</w:t>
      </w:r>
      <w:r>
        <w:rPr>
          <w:rFonts w:hint="eastAsia"/>
          <w:b/>
          <w:bCs/>
          <w:sz w:val="28"/>
          <w:lang w:eastAsia="zh-CN"/>
        </w:rPr>
        <w:t>：</w:t>
      </w:r>
    </w:p>
    <w:p>
      <w:pPr>
        <w:spacing w:line="360" w:lineRule="auto"/>
        <w:ind w:firstLine="570"/>
        <w:rPr>
          <w:sz w:val="28"/>
        </w:rPr>
      </w:pPr>
      <w:r>
        <w:rPr>
          <w:sz w:val="28"/>
        </w:rPr>
        <w:t>根据《中华人民共和国环境保护法》、《中华人民共和国环境影响评价法》、《建设项目环境保护管理条例》和《建设项目环境影响评价分类管理名录》的有关规定，我单位的“</w:t>
      </w:r>
      <w:r>
        <w:rPr>
          <w:rFonts w:hint="eastAsia"/>
          <w:sz w:val="28"/>
          <w:u w:val="single"/>
        </w:rPr>
        <w:t>河南凯呈再生资源有限公司年产5000吨再生塑料颗粒项目</w:t>
      </w:r>
      <w:r>
        <w:rPr>
          <w:sz w:val="28"/>
        </w:rPr>
        <w:t>”须开展环境影响评价工作，需编制环境影响报告</w:t>
      </w:r>
      <w:r>
        <w:rPr>
          <w:rFonts w:hint="eastAsia"/>
          <w:sz w:val="28"/>
          <w:lang w:eastAsia="zh-CN"/>
        </w:rPr>
        <w:t>表</w:t>
      </w:r>
      <w:r>
        <w:rPr>
          <w:sz w:val="28"/>
        </w:rPr>
        <w:t>。</w:t>
      </w:r>
    </w:p>
    <w:p>
      <w:pPr>
        <w:spacing w:line="360" w:lineRule="auto"/>
        <w:ind w:firstLine="570"/>
        <w:rPr>
          <w:sz w:val="28"/>
        </w:rPr>
      </w:pPr>
      <w:r>
        <w:rPr>
          <w:sz w:val="28"/>
        </w:rPr>
        <w:t>特委托贵单位对该项目进行环境影响评价，按有关法规要求和技术规范尽快开展工作，完成技术文件的编制。</w:t>
      </w:r>
    </w:p>
    <w:p>
      <w:pPr>
        <w:spacing w:line="360" w:lineRule="auto"/>
        <w:ind w:firstLine="570"/>
        <w:rPr>
          <w:sz w:val="28"/>
        </w:rPr>
      </w:pPr>
      <w:r>
        <w:rPr>
          <w:sz w:val="28"/>
        </w:rPr>
        <w:t>特此委托！</w:t>
      </w:r>
    </w:p>
    <w:p>
      <w:pPr>
        <w:spacing w:line="360" w:lineRule="auto"/>
        <w:ind w:firstLine="570"/>
        <w:rPr>
          <w:sz w:val="28"/>
        </w:rPr>
      </w:pPr>
    </w:p>
    <w:p>
      <w:pPr>
        <w:spacing w:line="360" w:lineRule="auto"/>
        <w:ind w:firstLine="570"/>
        <w:rPr>
          <w:sz w:val="28"/>
        </w:rPr>
      </w:pPr>
      <w:r>
        <w:rPr>
          <w:sz w:val="28"/>
        </w:rPr>
        <w:t xml:space="preserve">             </w:t>
      </w:r>
    </w:p>
    <w:p>
      <w:pPr>
        <w:spacing w:line="360" w:lineRule="auto"/>
        <w:ind w:firstLine="570"/>
        <w:jc w:val="center"/>
        <w:rPr>
          <w:rFonts w:hint="eastAsia" w:eastAsia="宋体"/>
          <w:sz w:val="28"/>
          <w:lang w:eastAsia="zh-CN"/>
        </w:rPr>
      </w:pPr>
      <w:r>
        <w:rPr>
          <w:rFonts w:hint="eastAsia"/>
          <w:sz w:val="28"/>
          <w:lang w:val="en-US" w:eastAsia="zh-CN"/>
        </w:rPr>
        <w:t xml:space="preserve">       </w:t>
      </w:r>
      <w:r>
        <w:rPr>
          <w:sz w:val="28"/>
        </w:rPr>
        <w:t>委托单位（盖章）：</w:t>
      </w:r>
      <w:r>
        <w:rPr>
          <w:rFonts w:hint="eastAsia"/>
          <w:sz w:val="28"/>
          <w:lang w:eastAsia="zh-CN"/>
        </w:rPr>
        <w:t>河南凯呈再生资源有限公司</w:t>
      </w:r>
    </w:p>
    <w:p>
      <w:pPr>
        <w:spacing w:line="360" w:lineRule="auto"/>
        <w:ind w:firstLine="3360" w:firstLineChars="1200"/>
        <w:jc w:val="both"/>
        <w:rPr>
          <w:rFonts w:hint="eastAsia"/>
          <w:sz w:val="28"/>
          <w:lang w:eastAsia="zh-CN"/>
        </w:rPr>
      </w:pPr>
      <w:r>
        <w:rPr>
          <w:sz w:val="28"/>
        </w:rPr>
        <w:t>委托时间：</w:t>
      </w:r>
      <w:r>
        <w:rPr>
          <w:rFonts w:hint="eastAsia"/>
          <w:sz w:val="28"/>
          <w:lang w:val="en-US" w:eastAsia="zh-CN"/>
        </w:rPr>
        <w:t xml:space="preserve"> 2024</w:t>
      </w:r>
      <w:r>
        <w:rPr>
          <w:sz w:val="28"/>
        </w:rPr>
        <w:t>年</w:t>
      </w:r>
      <w:r>
        <w:rPr>
          <w:rFonts w:hint="eastAsia"/>
          <w:sz w:val="28"/>
          <w:lang w:val="en-US" w:eastAsia="zh-CN"/>
        </w:rPr>
        <w:t>3</w:t>
      </w:r>
      <w:r>
        <w:rPr>
          <w:sz w:val="28"/>
        </w:rPr>
        <w:t>月</w:t>
      </w:r>
      <w:r>
        <w:rPr>
          <w:rFonts w:hint="eastAsia"/>
          <w:sz w:val="28"/>
          <w:lang w:val="en-US" w:eastAsia="zh-CN"/>
        </w:rPr>
        <w:t>25</w:t>
      </w:r>
      <w:r>
        <w:rPr>
          <w:rFonts w:hint="eastAsia"/>
          <w:sz w:val="28"/>
          <w:lang w:eastAsia="zh-CN"/>
        </w:rPr>
        <w:t>日</w:t>
      </w:r>
    </w:p>
    <w:p/>
    <w:p>
      <w:pPr>
        <w:pStyle w:val="2"/>
      </w:pPr>
    </w:p>
    <w:p>
      <w:pPr>
        <w:pStyle w:val="2"/>
      </w:pPr>
    </w:p>
    <w:p>
      <w:pPr>
        <w:pStyle w:val="2"/>
      </w:pPr>
    </w:p>
    <w:p>
      <w:pPr>
        <w:pStyle w:val="2"/>
      </w:pPr>
    </w:p>
    <w:p>
      <w:pPr>
        <w:pStyle w:val="2"/>
      </w:pPr>
    </w:p>
    <w:p>
      <w:pPr>
        <w:pStyle w:val="2"/>
      </w:pPr>
    </w:p>
    <w:p>
      <w:pPr>
        <w:pStyle w:val="2"/>
      </w:pPr>
    </w:p>
    <w:p>
      <w:pPr>
        <w:pStyle w:val="2"/>
      </w:pPr>
    </w:p>
    <w:p>
      <w:r>
        <mc:AlternateContent>
          <mc:Choice Requires="wps">
            <w:drawing>
              <wp:anchor distT="0" distB="0" distL="114300" distR="114300" simplePos="0" relativeHeight="251706368" behindDoc="0" locked="0" layoutInCell="1" allowOverlap="1">
                <wp:simplePos x="0" y="0"/>
                <wp:positionH relativeFrom="column">
                  <wp:posOffset>-73660</wp:posOffset>
                </wp:positionH>
                <wp:positionV relativeFrom="paragraph">
                  <wp:posOffset>-40640</wp:posOffset>
                </wp:positionV>
                <wp:extent cx="2108835" cy="48768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2108835" cy="487680"/>
                        </a:xfrm>
                        <a:prstGeom prst="rect">
                          <a:avLst/>
                        </a:prstGeom>
                        <a:noFill/>
                        <a:ln w="9525">
                          <a:noFill/>
                        </a:ln>
                      </wps:spPr>
                      <wps:txbx>
                        <w:txbxContent>
                          <w:p>
                            <w:pPr>
                              <w:rPr>
                                <w:b/>
                                <w:sz w:val="30"/>
                                <w:szCs w:val="30"/>
                              </w:rPr>
                            </w:pPr>
                            <w:r>
                              <w:rPr>
                                <w:rFonts w:hint="eastAsia"/>
                                <w:b/>
                                <w:sz w:val="30"/>
                                <w:szCs w:val="30"/>
                              </w:rPr>
                              <w:t>附件2项目备案</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5.8pt;margin-top:-3.2pt;height:38.4pt;width:166.05pt;z-index:251706368;mso-width-relative:margin;mso-height-relative:margin;mso-width-percent:400;mso-height-percent:200;" filled="f" stroked="f" coordsize="21600,21600" o:gfxdata="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AL6HXAAAACQEA&#10;AA8AAAAAAAAAAQAgAAAAIgAAAGRycy9kb3ducmV2LnhtbFBLAQIUABQAAAAIAIdO4kAdhiEiqQEA&#10;ACcDAAAOAAAAAAAAAAEAIAAAACYBAABkcnMvZTJvRG9jLnhtbFBLBQYAAAAABgAGAFkBAABBBQAA&#10;AAA=&#10;">
                <v:fill on="f" focussize="0,0"/>
                <v:stroke on="f"/>
                <v:imagedata o:title=""/>
                <o:lock v:ext="edit" aspectratio="f"/>
                <v:textbox style="mso-fit-shape-to-text:t;">
                  <w:txbxContent>
                    <w:p>
                      <w:pPr>
                        <w:rPr>
                          <w:b/>
                          <w:sz w:val="30"/>
                          <w:szCs w:val="30"/>
                        </w:rPr>
                      </w:pPr>
                      <w:r>
                        <w:rPr>
                          <w:rFonts w:hint="eastAsia"/>
                          <w:b/>
                          <w:sz w:val="30"/>
                          <w:szCs w:val="30"/>
                        </w:rPr>
                        <w:t>附件2项目备案</w:t>
                      </w:r>
                    </w:p>
                  </w:txbxContent>
                </v:textbox>
              </v:shape>
            </w:pict>
          </mc:Fallback>
        </mc:AlternateContent>
      </w:r>
    </w:p>
    <w:p/>
    <w:p>
      <w:pPr>
        <w:rPr>
          <w:rFonts w:hint="eastAsia" w:eastAsiaTheme="minorEastAsia"/>
          <w:lang w:eastAsia="zh-CN"/>
        </w:rPr>
      </w:pPr>
      <w:r>
        <w:rPr>
          <w:rFonts w:hint="eastAsia" w:eastAsiaTheme="minorEastAsia"/>
          <w:lang w:eastAsia="zh-CN"/>
        </w:rPr>
        <w:drawing>
          <wp:inline distT="0" distB="0" distL="114300" distR="114300">
            <wp:extent cx="5809615" cy="8215630"/>
            <wp:effectExtent l="0" t="0" r="635" b="13970"/>
            <wp:docPr id="157" name="图片 157" descr="2403-411322-04-01-94812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2403-411322-04-01-948123_00"/>
                    <pic:cNvPicPr>
                      <a:picLocks noChangeAspect="1"/>
                    </pic:cNvPicPr>
                  </pic:nvPicPr>
                  <pic:blipFill>
                    <a:blip r:embed="rId21"/>
                    <a:stretch>
                      <a:fillRect/>
                    </a:stretch>
                  </pic:blipFill>
                  <pic:spPr>
                    <a:xfrm>
                      <a:off x="0" y="0"/>
                      <a:ext cx="5809615" cy="8215630"/>
                    </a:xfrm>
                    <a:prstGeom prst="rect">
                      <a:avLst/>
                    </a:prstGeom>
                  </pic:spPr>
                </pic:pic>
              </a:graphicData>
            </a:graphic>
          </wp:inline>
        </w:drawing>
      </w:r>
    </w:p>
    <w:p>
      <w:r>
        <mc:AlternateContent>
          <mc:Choice Requires="wps">
            <w:drawing>
              <wp:anchor distT="0" distB="0" distL="114300" distR="114300" simplePos="0" relativeHeight="251707392" behindDoc="0" locked="0" layoutInCell="1" allowOverlap="1">
                <wp:simplePos x="0" y="0"/>
                <wp:positionH relativeFrom="column">
                  <wp:posOffset>-73660</wp:posOffset>
                </wp:positionH>
                <wp:positionV relativeFrom="paragraph">
                  <wp:posOffset>-160655</wp:posOffset>
                </wp:positionV>
                <wp:extent cx="2108835" cy="48768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2108835" cy="487680"/>
                        </a:xfrm>
                        <a:prstGeom prst="rect">
                          <a:avLst/>
                        </a:prstGeom>
                        <a:noFill/>
                        <a:ln w="9525">
                          <a:noFill/>
                        </a:ln>
                      </wps:spPr>
                      <wps:txbx>
                        <w:txbxContent>
                          <w:p>
                            <w:pPr>
                              <w:rPr>
                                <w:b/>
                                <w:sz w:val="30"/>
                                <w:szCs w:val="30"/>
                              </w:rPr>
                            </w:pPr>
                            <w:r>
                              <w:rPr>
                                <w:rFonts w:hint="eastAsia"/>
                                <w:b/>
                                <w:sz w:val="30"/>
                                <w:szCs w:val="30"/>
                              </w:rPr>
                              <w:t>附件3土地证明</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5.8pt;margin-top:-12.65pt;height:38.4pt;width:166.05pt;z-index:251707392;mso-width-relative:margin;mso-height-relative:margin;mso-width-percent:400;mso-height-percent:200;" filled="f" stroked="f" coordsize="21600,21600" o:gfxdata="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UKlUa2AAAAAoB&#10;AAAPAAAAAAAAAAEAIAAAACIAAABkcnMvZG93bnJldi54bWxQSwECFAAUAAAACACHTuJAA/qeHKkB&#10;AAAnAwAADgAAAAAAAAABACAAAAAnAQAAZHJzL2Uyb0RvYy54bWxQSwUGAAAAAAYABgBZAQAAQgUA&#10;AAAA&#10;">
                <v:fill on="f" focussize="0,0"/>
                <v:stroke on="f"/>
                <v:imagedata o:title=""/>
                <o:lock v:ext="edit" aspectratio="f"/>
                <v:textbox style="mso-fit-shape-to-text:t;">
                  <w:txbxContent>
                    <w:p>
                      <w:pPr>
                        <w:rPr>
                          <w:b/>
                          <w:sz w:val="30"/>
                          <w:szCs w:val="30"/>
                        </w:rPr>
                      </w:pPr>
                      <w:r>
                        <w:rPr>
                          <w:rFonts w:hint="eastAsia"/>
                          <w:b/>
                          <w:sz w:val="30"/>
                          <w:szCs w:val="30"/>
                        </w:rPr>
                        <w:t>附件3土地证明</w:t>
                      </w:r>
                    </w:p>
                  </w:txbxContent>
                </v:textbox>
              </v:shape>
            </w:pict>
          </mc:Fallback>
        </mc:AlternateContent>
      </w:r>
    </w:p>
    <w:p>
      <w:pPr>
        <w:rPr>
          <w:rFonts w:hint="eastAsia" w:eastAsiaTheme="minorEastAsia"/>
          <w:lang w:eastAsia="zh-CN"/>
        </w:rPr>
      </w:pPr>
      <w:r>
        <w:rPr>
          <w:rFonts w:hint="eastAsia" w:eastAsiaTheme="minorEastAsia"/>
          <w:lang w:eastAsia="zh-CN"/>
        </w:rPr>
        <w:drawing>
          <wp:inline distT="0" distB="0" distL="114300" distR="114300">
            <wp:extent cx="5953760" cy="8328025"/>
            <wp:effectExtent l="0" t="0" r="8890" b="15875"/>
            <wp:docPr id="158" name="图片 158" descr="土地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土地证明"/>
                    <pic:cNvPicPr>
                      <a:picLocks noChangeAspect="1"/>
                    </pic:cNvPicPr>
                  </pic:nvPicPr>
                  <pic:blipFill>
                    <a:blip r:embed="rId22"/>
                    <a:srcRect l="2563" t="13035" r="3699" b="13208"/>
                    <a:stretch>
                      <a:fillRect/>
                    </a:stretch>
                  </pic:blipFill>
                  <pic:spPr>
                    <a:xfrm>
                      <a:off x="0" y="0"/>
                      <a:ext cx="5953760" cy="8328025"/>
                    </a:xfrm>
                    <a:prstGeom prst="rect">
                      <a:avLst/>
                    </a:prstGeom>
                  </pic:spPr>
                </pic:pic>
              </a:graphicData>
            </a:graphic>
          </wp:inline>
        </w:drawing>
      </w:r>
    </w:p>
    <w:p>
      <w:r>
        <mc:AlternateContent>
          <mc:Choice Requires="wps">
            <w:drawing>
              <wp:anchor distT="0" distB="0" distL="114300" distR="114300" simplePos="0" relativeHeight="251708416" behindDoc="0" locked="0" layoutInCell="1" allowOverlap="1">
                <wp:simplePos x="0" y="0"/>
                <wp:positionH relativeFrom="column">
                  <wp:posOffset>-63500</wp:posOffset>
                </wp:positionH>
                <wp:positionV relativeFrom="paragraph">
                  <wp:posOffset>-60960</wp:posOffset>
                </wp:positionV>
                <wp:extent cx="2108835" cy="48768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2108835" cy="487680"/>
                        </a:xfrm>
                        <a:prstGeom prst="rect">
                          <a:avLst/>
                        </a:prstGeom>
                        <a:noFill/>
                        <a:ln w="9525">
                          <a:noFill/>
                        </a:ln>
                      </wps:spPr>
                      <wps:txbx>
                        <w:txbxContent>
                          <w:p>
                            <w:pPr>
                              <w:rPr>
                                <w:b/>
                                <w:sz w:val="30"/>
                                <w:szCs w:val="30"/>
                              </w:rPr>
                            </w:pPr>
                            <w:r>
                              <w:rPr>
                                <w:rFonts w:hint="eastAsia"/>
                                <w:b/>
                                <w:sz w:val="30"/>
                                <w:szCs w:val="30"/>
                              </w:rPr>
                              <w:t>附件4规划证明</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5pt;margin-top:-4.8pt;height:38.4pt;width:166.05pt;z-index:251708416;mso-width-relative:margin;mso-height-relative:margin;mso-width-percent:400;mso-height-percent:200;" filled="f" stroked="f" coordsize="21600,21600" o:gfxdata="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0lZtgAAAAJAQAA&#10;DwAAAAAAAAABACAAAAAiAAAAZHJzL2Rvd25yZXYueG1sUEsBAhQAFAAAAAgAh07iQPndvdynAQAA&#10;JwMAAA4AAAAAAAAAAQAgAAAAJwEAAGRycy9lMm9Eb2MueG1sUEsFBgAAAAAGAAYAWQEAAEAFAAAA&#10;AA==&#10;">
                <v:fill on="f" focussize="0,0"/>
                <v:stroke on="f"/>
                <v:imagedata o:title=""/>
                <o:lock v:ext="edit" aspectratio="f"/>
                <v:textbox style="mso-fit-shape-to-text:t;">
                  <w:txbxContent>
                    <w:p>
                      <w:pPr>
                        <w:rPr>
                          <w:b/>
                          <w:sz w:val="30"/>
                          <w:szCs w:val="30"/>
                        </w:rPr>
                      </w:pPr>
                      <w:r>
                        <w:rPr>
                          <w:rFonts w:hint="eastAsia"/>
                          <w:b/>
                          <w:sz w:val="30"/>
                          <w:szCs w:val="30"/>
                        </w:rPr>
                        <w:t>附件4规划证明</w:t>
                      </w:r>
                    </w:p>
                  </w:txbxContent>
                </v:textbox>
              </v:shape>
            </w:pict>
          </mc:Fallback>
        </mc:AlternateContent>
      </w:r>
    </w:p>
    <w:p/>
    <w:p>
      <w:r>
        <w:rPr>
          <w:rFonts w:hint="eastAsia" w:eastAsiaTheme="minorEastAsia"/>
          <w:lang w:eastAsia="zh-CN"/>
        </w:rPr>
        <w:drawing>
          <wp:inline distT="0" distB="0" distL="114300" distR="114300">
            <wp:extent cx="5753735" cy="8225155"/>
            <wp:effectExtent l="0" t="0" r="18415" b="4445"/>
            <wp:docPr id="159" name="图片 159" descr="规划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规划证明"/>
                    <pic:cNvPicPr>
                      <a:picLocks noChangeAspect="1"/>
                    </pic:cNvPicPr>
                  </pic:nvPicPr>
                  <pic:blipFill>
                    <a:blip r:embed="rId23"/>
                    <a:srcRect t="8516" r="3699" b="14047"/>
                    <a:stretch>
                      <a:fillRect/>
                    </a:stretch>
                  </pic:blipFill>
                  <pic:spPr>
                    <a:xfrm>
                      <a:off x="0" y="0"/>
                      <a:ext cx="5753735" cy="8225155"/>
                    </a:xfrm>
                    <a:prstGeom prst="rect">
                      <a:avLst/>
                    </a:prstGeom>
                  </pic:spPr>
                </pic:pic>
              </a:graphicData>
            </a:graphic>
          </wp:inline>
        </w:drawing>
      </w:r>
    </w:p>
    <w:p>
      <w:pPr>
        <w:sectPr>
          <w:pgSz w:w="11906" w:h="16838"/>
          <w:pgMar w:top="1440" w:right="1800" w:bottom="1440" w:left="1800" w:header="851" w:footer="992" w:gutter="0"/>
          <w:cols w:space="425" w:num="1"/>
          <w:docGrid w:type="lines" w:linePitch="312" w:charSpace="0"/>
        </w:sectPr>
      </w:pPr>
    </w:p>
    <w:p>
      <w:pPr>
        <w:rPr>
          <w:rFonts w:hint="eastAsia" w:eastAsiaTheme="minorEastAsia"/>
          <w:lang w:eastAsia="zh-CN"/>
        </w:rPr>
      </w:pPr>
      <w:r>
        <mc:AlternateContent>
          <mc:Choice Requires="wps">
            <w:drawing>
              <wp:anchor distT="0" distB="0" distL="114300" distR="114300" simplePos="0" relativeHeight="251709440" behindDoc="0" locked="0" layoutInCell="1" allowOverlap="1">
                <wp:simplePos x="0" y="0"/>
                <wp:positionH relativeFrom="column">
                  <wp:posOffset>78105</wp:posOffset>
                </wp:positionH>
                <wp:positionV relativeFrom="paragraph">
                  <wp:posOffset>-499745</wp:posOffset>
                </wp:positionV>
                <wp:extent cx="1669415" cy="48768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669415" cy="487680"/>
                        </a:xfrm>
                        <a:prstGeom prst="rect">
                          <a:avLst/>
                        </a:prstGeom>
                        <a:noFill/>
                        <a:ln w="9525">
                          <a:noFill/>
                        </a:ln>
                      </wps:spPr>
                      <wps:txbx>
                        <w:txbxContent>
                          <w:p>
                            <w:pPr>
                              <w:rPr>
                                <w:b/>
                                <w:sz w:val="30"/>
                                <w:szCs w:val="30"/>
                              </w:rPr>
                            </w:pPr>
                            <w:r>
                              <w:rPr>
                                <w:rFonts w:hint="eastAsia"/>
                                <w:b/>
                                <w:sz w:val="30"/>
                                <w:szCs w:val="30"/>
                              </w:rPr>
                              <w:t>附件</w:t>
                            </w:r>
                            <w:r>
                              <w:rPr>
                                <w:rFonts w:hint="eastAsia"/>
                                <w:b/>
                                <w:sz w:val="30"/>
                                <w:szCs w:val="30"/>
                                <w:lang w:val="en-US" w:eastAsia="zh-CN"/>
                              </w:rPr>
                              <w:t>5</w:t>
                            </w:r>
                            <w:r>
                              <w:rPr>
                                <w:rFonts w:hint="eastAsia"/>
                                <w:b/>
                                <w:sz w:val="30"/>
                                <w:szCs w:val="30"/>
                              </w:rPr>
                              <w:t>营业执照</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_x0000_s1026" o:spid="_x0000_s1026" o:spt="202" type="#_x0000_t202" style="position:absolute;left:0pt;margin-left:6.15pt;margin-top:-39.35pt;height:38.4pt;width:131.45pt;z-index:251709440;mso-width-relative:margin;mso-height-relative:margin;mso-height-percent:200;" filled="f" stroked="f" coordsize="21600,21600" o:gfxdata="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zyHLrWAAAACQEAAA8A&#10;AAAAAAAAAQAgAAAAIgAAAGRycy9kb3ducmV2LnhtbFBLAQIUABQAAAAIAIdO4kDCJZ2bpwEAACcD&#10;AAAOAAAAAAAAAAEAIAAAACUBAABkcnMvZTJvRG9jLnhtbFBLBQYAAAAABgAGAFkBAAA+BQAAAAA=&#10;">
                <v:fill on="f" focussize="0,0"/>
                <v:stroke on="f"/>
                <v:imagedata o:title=""/>
                <o:lock v:ext="edit" aspectratio="f"/>
                <v:textbox style="mso-fit-shape-to-text:t;">
                  <w:txbxContent>
                    <w:p>
                      <w:pPr>
                        <w:rPr>
                          <w:b/>
                          <w:sz w:val="30"/>
                          <w:szCs w:val="30"/>
                        </w:rPr>
                      </w:pPr>
                      <w:r>
                        <w:rPr>
                          <w:rFonts w:hint="eastAsia"/>
                          <w:b/>
                          <w:sz w:val="30"/>
                          <w:szCs w:val="30"/>
                        </w:rPr>
                        <w:t>附件</w:t>
                      </w:r>
                      <w:r>
                        <w:rPr>
                          <w:rFonts w:hint="eastAsia"/>
                          <w:b/>
                          <w:sz w:val="30"/>
                          <w:szCs w:val="30"/>
                          <w:lang w:val="en-US" w:eastAsia="zh-CN"/>
                        </w:rPr>
                        <w:t>5</w:t>
                      </w:r>
                      <w:r>
                        <w:rPr>
                          <w:rFonts w:hint="eastAsia"/>
                          <w:b/>
                          <w:sz w:val="30"/>
                          <w:szCs w:val="30"/>
                        </w:rPr>
                        <w:t>营业执照</w:t>
                      </w:r>
                    </w:p>
                  </w:txbxContent>
                </v:textbox>
              </v:shape>
            </w:pict>
          </mc:Fallback>
        </mc:AlternateContent>
      </w:r>
    </w:p>
    <w:p>
      <w:pPr>
        <w:jc w:val="center"/>
        <w:rPr>
          <w:rFonts w:hint="eastAsia"/>
          <w:lang w:val="en-US" w:eastAsia="zh-CN"/>
        </w:rPr>
        <w:sectPr>
          <w:pgSz w:w="16838" w:h="11906" w:orient="landscape"/>
          <w:pgMar w:top="1797" w:right="1440" w:bottom="1797" w:left="1440" w:header="851" w:footer="992" w:gutter="0"/>
          <w:cols w:space="425" w:num="1"/>
          <w:docGrid w:type="linesAndChars" w:linePitch="312" w:charSpace="0"/>
        </w:sectPr>
      </w:pPr>
      <w:r>
        <w:rPr>
          <w:rFonts w:hint="eastAsia" w:eastAsiaTheme="minorEastAsia"/>
          <w:lang w:eastAsia="zh-CN"/>
        </w:rPr>
        <w:drawing>
          <wp:anchor distT="0" distB="0" distL="114300" distR="114300" simplePos="0" relativeHeight="251710464" behindDoc="1" locked="0" layoutInCell="1" allowOverlap="1">
            <wp:simplePos x="0" y="0"/>
            <wp:positionH relativeFrom="column">
              <wp:posOffset>1203960</wp:posOffset>
            </wp:positionH>
            <wp:positionV relativeFrom="page">
              <wp:posOffset>472440</wp:posOffset>
            </wp:positionV>
            <wp:extent cx="5266055" cy="7048500"/>
            <wp:effectExtent l="0" t="0" r="0" b="10795"/>
            <wp:wrapTight wrapText="bothSides">
              <wp:wrapPolygon>
                <wp:start x="21600" y="2"/>
                <wp:lineTo x="112" y="2"/>
                <wp:lineTo x="112" y="21544"/>
                <wp:lineTo x="21600" y="21544"/>
                <wp:lineTo x="21600" y="2"/>
              </wp:wrapPolygon>
            </wp:wrapTight>
            <wp:docPr id="160" name="图片 160"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营业执照"/>
                    <pic:cNvPicPr>
                      <a:picLocks noChangeAspect="1"/>
                    </pic:cNvPicPr>
                  </pic:nvPicPr>
                  <pic:blipFill>
                    <a:blip r:embed="rId24"/>
                    <a:srcRect l="2076" t="1409" r="1728" b="2070"/>
                    <a:stretch>
                      <a:fillRect/>
                    </a:stretch>
                  </pic:blipFill>
                  <pic:spPr>
                    <a:xfrm rot="16200000">
                      <a:off x="0" y="0"/>
                      <a:ext cx="5266055" cy="7048500"/>
                    </a:xfrm>
                    <a:prstGeom prst="rect">
                      <a:avLst/>
                    </a:prstGeom>
                  </pic:spPr>
                </pic:pic>
              </a:graphicData>
            </a:graphic>
          </wp:anchor>
        </w:drawing>
      </w:r>
    </w:p>
    <w:p>
      <w:pPr>
        <w:pStyle w:val="2"/>
        <w:rPr>
          <w:rFonts w:hint="eastAsia"/>
          <w:b/>
          <w:sz w:val="30"/>
          <w:szCs w:val="30"/>
          <w:lang w:eastAsia="zh-CN"/>
        </w:rPr>
      </w:pPr>
      <w:r>
        <w:rPr>
          <w:rFonts w:hint="eastAsia"/>
          <w:b/>
          <w:sz w:val="30"/>
          <w:szCs w:val="30"/>
        </w:rPr>
        <w:t>附件</w:t>
      </w:r>
      <w:r>
        <w:rPr>
          <w:rFonts w:hint="eastAsia"/>
          <w:b/>
          <w:sz w:val="30"/>
          <w:szCs w:val="30"/>
          <w:lang w:val="en-US" w:eastAsia="zh-CN"/>
        </w:rPr>
        <w:t xml:space="preserve">6  </w:t>
      </w:r>
      <w:r>
        <w:rPr>
          <w:rFonts w:hint="eastAsia"/>
          <w:b/>
          <w:sz w:val="30"/>
          <w:szCs w:val="30"/>
          <w:lang w:eastAsia="zh-CN"/>
        </w:rPr>
        <w:t>噪声检测报告</w:t>
      </w:r>
    </w:p>
    <w:p>
      <w:pPr>
        <w:pStyle w:val="2"/>
        <w:rPr>
          <w:rFonts w:hint="eastAsia"/>
          <w:lang w:eastAsia="zh-CN"/>
        </w:rPr>
      </w:pPr>
      <w:r>
        <w:rPr>
          <w:rFonts w:hint="eastAsia"/>
          <w:lang w:eastAsia="zh-CN"/>
        </w:rPr>
        <w:drawing>
          <wp:inline distT="0" distB="0" distL="114300" distR="114300">
            <wp:extent cx="5277485" cy="7625080"/>
            <wp:effectExtent l="0" t="0" r="18415" b="13970"/>
            <wp:docPr id="161" name="图片 161" descr="凯呈再生资源 2024.4.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凯呈再生资源 2024.4.2_00"/>
                    <pic:cNvPicPr>
                      <a:picLocks noChangeAspect="1"/>
                    </pic:cNvPicPr>
                  </pic:nvPicPr>
                  <pic:blipFill>
                    <a:blip r:embed="rId25"/>
                    <a:stretch>
                      <a:fillRect/>
                    </a:stretch>
                  </pic:blipFill>
                  <pic:spPr>
                    <a:xfrm>
                      <a:off x="0" y="0"/>
                      <a:ext cx="5277485" cy="7625080"/>
                    </a:xfrm>
                    <a:prstGeom prst="rect">
                      <a:avLst/>
                    </a:prstGeom>
                  </pic:spPr>
                </pic:pic>
              </a:graphicData>
            </a:graphic>
          </wp:inline>
        </w:drawing>
      </w:r>
      <w:r>
        <w:rPr>
          <w:rFonts w:hint="eastAsia"/>
          <w:lang w:eastAsia="zh-CN"/>
        </w:rPr>
        <w:drawing>
          <wp:inline distT="0" distB="0" distL="114300" distR="114300">
            <wp:extent cx="5277485" cy="7625080"/>
            <wp:effectExtent l="0" t="0" r="18415" b="13970"/>
            <wp:docPr id="162" name="图片 162" descr="凯呈再生资源 2024.4.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凯呈再生资源 2024.4.2_01"/>
                    <pic:cNvPicPr>
                      <a:picLocks noChangeAspect="1"/>
                    </pic:cNvPicPr>
                  </pic:nvPicPr>
                  <pic:blipFill>
                    <a:blip r:embed="rId26"/>
                    <a:stretch>
                      <a:fillRect/>
                    </a:stretch>
                  </pic:blipFill>
                  <pic:spPr>
                    <a:xfrm>
                      <a:off x="0" y="0"/>
                      <a:ext cx="5277485" cy="7625080"/>
                    </a:xfrm>
                    <a:prstGeom prst="rect">
                      <a:avLst/>
                    </a:prstGeom>
                  </pic:spPr>
                </pic:pic>
              </a:graphicData>
            </a:graphic>
          </wp:inline>
        </w:drawing>
      </w:r>
      <w:r>
        <w:rPr>
          <w:rFonts w:hint="eastAsia"/>
          <w:lang w:eastAsia="zh-CN"/>
        </w:rPr>
        <w:drawing>
          <wp:inline distT="0" distB="0" distL="114300" distR="114300">
            <wp:extent cx="5277485" cy="7625080"/>
            <wp:effectExtent l="0" t="0" r="18415" b="13970"/>
            <wp:docPr id="163" name="图片 163" descr="凯呈再生资源 2024.4.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凯呈再生资源 2024.4.2_02"/>
                    <pic:cNvPicPr>
                      <a:picLocks noChangeAspect="1"/>
                    </pic:cNvPicPr>
                  </pic:nvPicPr>
                  <pic:blipFill>
                    <a:blip r:embed="rId27"/>
                    <a:stretch>
                      <a:fillRect/>
                    </a:stretch>
                  </pic:blipFill>
                  <pic:spPr>
                    <a:xfrm>
                      <a:off x="0" y="0"/>
                      <a:ext cx="5277485" cy="7625080"/>
                    </a:xfrm>
                    <a:prstGeom prst="rect">
                      <a:avLst/>
                    </a:prstGeom>
                  </pic:spPr>
                </pic:pic>
              </a:graphicData>
            </a:graphic>
          </wp:inline>
        </w:drawing>
      </w:r>
      <w:r>
        <w:rPr>
          <w:rFonts w:hint="eastAsia"/>
          <w:lang w:eastAsia="zh-CN"/>
        </w:rPr>
        <w:drawing>
          <wp:inline distT="0" distB="0" distL="114300" distR="114300">
            <wp:extent cx="5277485" cy="7625080"/>
            <wp:effectExtent l="0" t="0" r="18415" b="13970"/>
            <wp:docPr id="164" name="图片 164" descr="凯呈再生资源 2024.4.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凯呈再生资源 2024.4.2_03"/>
                    <pic:cNvPicPr>
                      <a:picLocks noChangeAspect="1"/>
                    </pic:cNvPicPr>
                  </pic:nvPicPr>
                  <pic:blipFill>
                    <a:blip r:embed="rId28"/>
                    <a:stretch>
                      <a:fillRect/>
                    </a:stretch>
                  </pic:blipFill>
                  <pic:spPr>
                    <a:xfrm>
                      <a:off x="0" y="0"/>
                      <a:ext cx="5277485" cy="7625080"/>
                    </a:xfrm>
                    <a:prstGeom prst="rect">
                      <a:avLst/>
                    </a:prstGeom>
                  </pic:spPr>
                </pic:pic>
              </a:graphicData>
            </a:graphic>
          </wp:inline>
        </w:drawing>
      </w:r>
      <w:r>
        <w:rPr>
          <w:rFonts w:hint="eastAsia"/>
          <w:lang w:eastAsia="zh-CN"/>
        </w:rPr>
        <w:drawing>
          <wp:inline distT="0" distB="0" distL="114300" distR="114300">
            <wp:extent cx="5273040" cy="8266430"/>
            <wp:effectExtent l="0" t="0" r="3810" b="1270"/>
            <wp:docPr id="165" name="图片 165" descr="凯呈再生资源 2024.4.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凯呈再生资源 2024.4.2_04"/>
                    <pic:cNvPicPr>
                      <a:picLocks noChangeAspect="1"/>
                    </pic:cNvPicPr>
                  </pic:nvPicPr>
                  <pic:blipFill>
                    <a:blip r:embed="rId29"/>
                    <a:stretch>
                      <a:fillRect/>
                    </a:stretch>
                  </pic:blipFill>
                  <pic:spPr>
                    <a:xfrm>
                      <a:off x="0" y="0"/>
                      <a:ext cx="5273040" cy="8266430"/>
                    </a:xfrm>
                    <a:prstGeom prst="rect">
                      <a:avLst/>
                    </a:prstGeom>
                  </pic:spPr>
                </pic:pic>
              </a:graphicData>
            </a:graphic>
          </wp:inline>
        </w:drawing>
      </w:r>
      <w:r>
        <w:rPr>
          <w:rFonts w:hint="eastAsia"/>
          <w:lang w:eastAsia="zh-CN"/>
        </w:rPr>
        <w:drawing>
          <wp:inline distT="0" distB="0" distL="114300" distR="114300">
            <wp:extent cx="5277485" cy="7625080"/>
            <wp:effectExtent l="0" t="0" r="18415" b="13970"/>
            <wp:docPr id="166" name="图片 166" descr="凯呈再生资源 2024.4.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凯呈再生资源 2024.4.2_05"/>
                    <pic:cNvPicPr>
                      <a:picLocks noChangeAspect="1"/>
                    </pic:cNvPicPr>
                  </pic:nvPicPr>
                  <pic:blipFill>
                    <a:blip r:embed="rId30"/>
                    <a:stretch>
                      <a:fillRect/>
                    </a:stretch>
                  </pic:blipFill>
                  <pic:spPr>
                    <a:xfrm>
                      <a:off x="0" y="0"/>
                      <a:ext cx="5277485" cy="7625080"/>
                    </a:xfrm>
                    <a:prstGeom prst="rect">
                      <a:avLst/>
                    </a:prstGeom>
                  </pic:spPr>
                </pic:pic>
              </a:graphicData>
            </a:graphic>
          </wp:inline>
        </w:drawing>
      </w:r>
    </w:p>
    <w:p>
      <w:pPr>
        <w:pStyle w:val="6"/>
        <w:widowControl w:val="0"/>
        <w:numPr>
          <w:numId w:val="0"/>
        </w:numPr>
        <w:tabs>
          <w:tab w:val="clear" w:pos="2040"/>
        </w:tabs>
        <w:jc w:val="both"/>
      </w:pPr>
    </w:p>
    <w:sectPr>
      <w:footerReference r:id="rId4" w:type="default"/>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fldChar w:fldCharType="begin"/>
                          </w:r>
                          <w:r>
                            <w:instrText xml:space="preserve"> PAGE  \* MERGEFORMAT </w:instrText>
                          </w:r>
                          <w:r>
                            <w:fldChar w:fldCharType="separate"/>
                          </w:r>
                          <w:r>
                            <w:t>39</w:t>
                          </w:r>
                          <w:r>
                            <w:fldChar w:fldCharType="end"/>
                          </w:r>
                        </w:p>
                      </w:txbxContent>
                    </wps:txbx>
                    <wps:bodyPr wrap="none" lIns="0" tIns="0" rIns="0" bIns="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BzTXK7sQEA&#10;AE8DAAAOAAAAAAAAAAEAIAAAAB4BAABkcnMvZTJvRG9jLnhtbFBLBQYAAAAABgAGAFkBAABBBQAA&#10;AAA=&#10;">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t>39</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1DC7E9"/>
    <w:multiLevelType w:val="singleLevel"/>
    <w:tmpl w:val="661DC7E9"/>
    <w:lvl w:ilvl="0" w:tentative="0">
      <w:start w:val="1"/>
      <w:numFmt w:val="bullet"/>
      <w:pStyle w:val="6"/>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D03E31"/>
    <w:rsid w:val="2C97789C"/>
    <w:rsid w:val="32D0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3">
    <w:name w:val="heading 1"/>
    <w:basedOn w:val="1"/>
    <w:next w:val="1"/>
    <w:qFormat/>
    <w:uiPriority w:val="0"/>
    <w:pPr>
      <w:keepNext/>
      <w:keepLines/>
      <w:adjustRightInd w:val="0"/>
      <w:snapToGrid w:val="0"/>
      <w:spacing w:line="360" w:lineRule="auto"/>
      <w:jc w:val="center"/>
      <w:outlineLvl w:val="0"/>
    </w:pPr>
    <w:rPr>
      <w:rFonts w:ascii="Times New Roman" w:hAnsi="Times New Roman"/>
      <w:bCs/>
      <w:kern w:val="44"/>
      <w:szCs w:val="30"/>
    </w:rPr>
  </w:style>
  <w:style w:type="paragraph" w:styleId="4">
    <w:name w:val="heading 3"/>
    <w:basedOn w:val="1"/>
    <w:next w:val="1"/>
    <w:unhideWhenUsed/>
    <w:qFormat/>
    <w:uiPriority w:val="0"/>
    <w:pPr>
      <w:keepNext/>
      <w:keepLines/>
      <w:adjustRightInd w:val="0"/>
      <w:snapToGrid w:val="0"/>
      <w:outlineLvl w:val="2"/>
    </w:pPr>
    <w:rPr>
      <w:rFonts w:eastAsia="楷体_GB2312"/>
      <w:b/>
      <w:bCs/>
      <w:kern w:val="0"/>
      <w:szCs w:val="32"/>
    </w:rPr>
  </w:style>
  <w:style w:type="character" w:default="1" w:styleId="10">
    <w:name w:val="Default Paragraph Font"/>
    <w:semiHidden/>
    <w:uiPriority w:val="0"/>
  </w:style>
  <w:style w:type="table" w:default="1" w:styleId="11">
    <w:name w:val="Normal Table"/>
    <w:semiHidden/>
    <w:uiPriority w:val="0"/>
    <w:tblPr>
      <w:tblLayout w:type="fixed"/>
      <w:tblCellMar>
        <w:top w:w="0" w:type="dxa"/>
        <w:left w:w="108" w:type="dxa"/>
        <w:bottom w:w="0" w:type="dxa"/>
        <w:right w:w="108" w:type="dxa"/>
      </w:tblCellMar>
    </w:tblPr>
  </w:style>
  <w:style w:type="paragraph" w:styleId="2">
    <w:name w:val="Body Text"/>
    <w:basedOn w:val="1"/>
    <w:next w:val="1"/>
    <w:uiPriority w:val="0"/>
    <w:pPr>
      <w:widowControl/>
      <w:snapToGrid w:val="0"/>
      <w:spacing w:before="60" w:after="160" w:line="259" w:lineRule="auto"/>
      <w:ind w:right="113"/>
    </w:pPr>
    <w:rPr>
      <w:kern w:val="0"/>
      <w:sz w:val="18"/>
      <w:szCs w:val="20"/>
    </w:rPr>
  </w:style>
  <w:style w:type="paragraph" w:styleId="5">
    <w:name w:val="Normal Indent"/>
    <w:basedOn w:val="1"/>
    <w:next w:val="1"/>
    <w:uiPriority w:val="0"/>
    <w:pPr>
      <w:adjustRightInd w:val="0"/>
      <w:snapToGrid w:val="0"/>
      <w:spacing w:line="300" w:lineRule="auto"/>
      <w:ind w:firstLine="200" w:firstLineChars="200"/>
    </w:pPr>
    <w:rPr>
      <w:rFonts w:ascii="仿宋_GB2312" w:hAnsi="Times New Roman" w:eastAsia="仿宋_GB2312"/>
      <w:color w:val="000000"/>
      <w:sz w:val="28"/>
    </w:rPr>
  </w:style>
  <w:style w:type="paragraph" w:styleId="6">
    <w:name w:val="List Bullet 5"/>
    <w:basedOn w:val="1"/>
    <w:uiPriority w:val="0"/>
    <w:pPr>
      <w:numPr>
        <w:ilvl w:val="0"/>
        <w:numId w:val="1"/>
      </w:numPr>
    </w:pPr>
  </w:style>
  <w:style w:type="paragraph" w:styleId="7">
    <w:name w:val="footer"/>
    <w:basedOn w:val="1"/>
    <w:uiPriority w:val="0"/>
    <w:pPr>
      <w:tabs>
        <w:tab w:val="center" w:pos="4153"/>
        <w:tab w:val="right" w:pos="8306"/>
      </w:tabs>
      <w:snapToGrid w:val="0"/>
      <w:jc w:val="left"/>
    </w:pPr>
    <w:rPr>
      <w:kern w:val="0"/>
      <w:sz w:val="18"/>
      <w:szCs w:val="18"/>
    </w:rPr>
  </w:style>
  <w:style w:type="paragraph" w:styleId="8">
    <w:name w:val="Body Text First Indent 2"/>
    <w:basedOn w:val="1"/>
    <w:next w:val="1"/>
    <w:uiPriority w:val="0"/>
    <w:pPr>
      <w:spacing w:before="100" w:beforeAutospacing="1" w:after="120" w:line="240" w:lineRule="auto"/>
      <w:ind w:left="420" w:leftChars="200" w:firstLine="420" w:firstLineChars="200"/>
    </w:pPr>
    <w:rPr>
      <w:rFonts w:ascii="Times New Roman" w:hAnsi="Times New Roman" w:cs="Times New Roman"/>
      <w:sz w:val="21"/>
      <w:szCs w:val="21"/>
    </w:rPr>
  </w:style>
  <w:style w:type="paragraph" w:styleId="9">
    <w:name w:val="Normal (Web)"/>
    <w:basedOn w:val="1"/>
    <w:uiPriority w:val="0"/>
    <w:pPr>
      <w:widowControl/>
      <w:spacing w:before="100" w:beforeAutospacing="1" w:after="100" w:afterAutospacing="1"/>
      <w:jc w:val="left"/>
    </w:pPr>
    <w:rPr>
      <w:rFonts w:ascii="宋体" w:hAnsi="宋体"/>
      <w:kern w:val="0"/>
      <w:sz w:val="24"/>
      <w:szCs w:val="20"/>
    </w:rPr>
  </w:style>
  <w:style w:type="table" w:styleId="12">
    <w:name w:val="Table Grid"/>
    <w:basedOn w:val="1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报告表  段"/>
    <w:basedOn w:val="1"/>
    <w:qFormat/>
    <w:uiPriority w:val="0"/>
    <w:pPr>
      <w:adjustRightInd w:val="0"/>
      <w:spacing w:line="360" w:lineRule="auto"/>
      <w:ind w:firstLine="505"/>
      <w:textAlignment w:val="baseline"/>
    </w:pPr>
    <w:rPr>
      <w:rFonts w:ascii="宋体"/>
      <w:kern w:val="0"/>
      <w:sz w:val="24"/>
    </w:rPr>
  </w:style>
  <w:style w:type="paragraph" w:customStyle="1" w:styleId="14">
    <w:name w:val="表内 定"/>
    <w:basedOn w:val="1"/>
    <w:qFormat/>
    <w:uiPriority w:val="0"/>
    <w:rPr>
      <w:rFonts w:cs="Times New Roman"/>
      <w:color w:val="000000"/>
    </w:rPr>
  </w:style>
  <w:style w:type="paragraph" w:customStyle="1" w:styleId="15">
    <w:name w:val="正文样式"/>
    <w:basedOn w:val="1"/>
    <w:qFormat/>
    <w:uiPriority w:val="0"/>
    <w:pPr>
      <w:adjustRightInd w:val="0"/>
      <w:snapToGrid w:val="0"/>
      <w:spacing w:line="360" w:lineRule="auto"/>
      <w:ind w:firstLine="200" w:firstLineChars="200"/>
      <w:jc w:val="left"/>
    </w:pPr>
    <w:rPr>
      <w:sz w:val="24"/>
      <w:lang w:val="en-US" w:eastAsia="zh-CN"/>
    </w:rPr>
  </w:style>
  <w:style w:type="paragraph" w:customStyle="1" w:styleId="16">
    <w:name w:val="报告表正文"/>
    <w:basedOn w:val="1"/>
    <w:qFormat/>
    <w:uiPriority w:val="0"/>
    <w:pPr>
      <w:adjustRightInd w:val="0"/>
      <w:spacing w:line="312" w:lineRule="auto"/>
      <w:ind w:left="113" w:right="113" w:firstLine="482"/>
      <w:jc w:val="left"/>
      <w:textAlignment w:val="baseline"/>
    </w:pPr>
    <w:rPr>
      <w:kern w:val="0"/>
      <w:sz w:val="24"/>
      <w:szCs w:val="20"/>
      <w:lang w:val="en-US" w:eastAsia="zh-CN"/>
    </w:rPr>
  </w:style>
  <w:style w:type="paragraph" w:customStyle="1" w:styleId="17">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18">
    <w:name w:val="Default"/>
    <w:basedOn w:val="1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
    <w:name w:val="纯文本1"/>
    <w:basedOn w:val="1"/>
    <w:qFormat/>
    <w:uiPriority w:val="0"/>
    <w:pPr>
      <w:adjustRightInd w:val="0"/>
    </w:pPr>
    <w:rPr>
      <w:rFonts w:ascii="宋体" w:hAnsi="Courier New"/>
      <w:szCs w:val="20"/>
    </w:rPr>
  </w:style>
  <w:style w:type="paragraph" w:customStyle="1" w:styleId="20">
    <w:name w:val="样式35"/>
    <w:basedOn w:val="1"/>
    <w:next w:val="1"/>
    <w:qFormat/>
    <w:uiPriority w:val="0"/>
    <w:pPr>
      <w:spacing w:line="312" w:lineRule="auto"/>
      <w:ind w:firstLine="567"/>
    </w:pPr>
    <w:rPr>
      <w:rFonts w:ascii="宋体"/>
      <w:sz w:val="28"/>
    </w:rPr>
  </w:style>
  <w:style w:type="paragraph" w:customStyle="1" w:styleId="21">
    <w:name w:val="正文_12"/>
    <w:qFormat/>
    <w:uiPriority w:val="0"/>
    <w:pPr>
      <w:widowControl w:val="0"/>
      <w:jc w:val="both"/>
    </w:pPr>
    <w:rPr>
      <w:rFonts w:ascii="Calibri" w:hAnsi="Calibri" w:eastAsia="宋体" w:cs="Times New Roman"/>
      <w:kern w:val="2"/>
      <w:sz w:val="21"/>
      <w:szCs w:val="22"/>
      <w:lang w:val="en-US" w:eastAsia="zh-CN" w:bidi="ar-SA"/>
    </w:rPr>
  </w:style>
  <w:style w:type="table" w:customStyle="1" w:styleId="22">
    <w:name w:val="Table Normal"/>
    <w:unhideWhenUsed/>
    <w:qFormat/>
    <w:uiPriority w:val="0"/>
    <w:tblPr>
      <w:tblLayout w:type="fixed"/>
      <w:tblCellMar>
        <w:top w:w="0" w:type="dxa"/>
        <w:left w:w="0" w:type="dxa"/>
        <w:bottom w:w="0" w:type="dxa"/>
        <w:right w:w="0" w:type="dxa"/>
      </w:tblCellMar>
    </w:tblPr>
  </w:style>
  <w:style w:type="paragraph" w:customStyle="1" w:styleId="23">
    <w:name w:val="p19"/>
    <w:basedOn w:val="1"/>
    <w:qFormat/>
    <w:uiPriority w:val="0"/>
    <w:pPr>
      <w:widowControl/>
      <w:spacing w:before="50" w:line="360" w:lineRule="auto"/>
      <w:ind w:firstLine="482"/>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wmf"/><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Office_10.8.0.6379_F1E327BC-269C-435d-A152-05C5408002CA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2024-04-16T00:32:00Z</dcterms:created>
  <dc:creator>未定义</dc:creator>
  <cp:lastModifiedBy>未定义</cp:lastModifiedBy>
  <dcterms:modified xsi:type="dcterms:W3CDTF">2024-04-16T00:54:50Z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2052-10.8.0.6379</vt:lpwstr>
  </property>
</Properties>
</file>