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wordWrap/>
        <w:adjustRightInd/>
        <w:snapToGrid/>
        <w:spacing w:after="0" w:afterLines="0" w:line="600" w:lineRule="exact"/>
        <w:jc w:val="both"/>
        <w:textAlignment w:val="auto"/>
        <w:rPr>
          <w:rFonts w:hint="eastAsia" w:ascii="方正小标宋简体" w:hAnsi="方正小标宋简体" w:eastAsia="方正小标宋简体" w:cs="方正小标宋简体"/>
          <w:b w:val="0"/>
          <w:bCs w:val="0"/>
          <w:sz w:val="32"/>
          <w:szCs w:val="32"/>
          <w:highlight w:val="none"/>
          <w:lang w:val="en-US" w:eastAsia="zh-CN"/>
        </w:rPr>
      </w:pPr>
      <w:bookmarkStart w:id="0" w:name="_GoBack"/>
      <w:r>
        <w:rPr>
          <w:rFonts w:hint="eastAsia" w:ascii="方正小标宋简体" w:hAnsi="方正小标宋简体" w:eastAsia="方正小标宋简体" w:cs="方正小标宋简体"/>
          <w:b w:val="0"/>
          <w:bCs w:val="0"/>
          <w:sz w:val="32"/>
          <w:szCs w:val="32"/>
          <w:highlight w:val="none"/>
          <w:lang w:val="en-US" w:eastAsia="zh-CN"/>
        </w:rPr>
        <w:t>关于方城县惠企政策“免申即享”工作实施方案的政策解读</w:t>
      </w:r>
    </w:p>
    <w:bookmarkEnd w:id="0"/>
    <w:p>
      <w:pPr>
        <w:pStyle w:val="3"/>
        <w:keepNext w:val="0"/>
        <w:keepLines w:val="0"/>
        <w:widowControl/>
        <w:numPr>
          <w:ilvl w:val="0"/>
          <w:numId w:val="0"/>
        </w:numPr>
        <w:suppressLineNumbers w:val="0"/>
        <w:shd w:val="clear" w:fill="FFFFFF"/>
        <w:ind w:right="0" w:rightChars="0" w:firstLine="540" w:firstLineChars="200"/>
        <w:jc w:val="left"/>
        <w:rPr>
          <w:rStyle w:val="6"/>
          <w:rFonts w:hint="eastAsia" w:ascii="微软雅黑" w:hAnsi="微软雅黑" w:eastAsia="微软雅黑" w:cs="微软雅黑"/>
          <w:i w:val="0"/>
          <w:iCs w:val="0"/>
          <w:caps w:val="0"/>
          <w:color w:val="333333"/>
          <w:spacing w:val="0"/>
          <w:sz w:val="27"/>
          <w:szCs w:val="27"/>
          <w:u w:val="none"/>
          <w:lang w:eastAsia="zh-CN"/>
        </w:rPr>
      </w:pPr>
      <w:r>
        <w:rPr>
          <w:rStyle w:val="6"/>
          <w:rFonts w:hint="eastAsia" w:ascii="微软雅黑" w:hAnsi="微软雅黑" w:eastAsia="微软雅黑" w:cs="微软雅黑"/>
          <w:i w:val="0"/>
          <w:iCs w:val="0"/>
          <w:caps w:val="0"/>
          <w:color w:val="333333"/>
          <w:spacing w:val="0"/>
          <w:sz w:val="27"/>
          <w:szCs w:val="27"/>
          <w:u w:val="none"/>
          <w:lang w:eastAsia="zh-CN"/>
        </w:rPr>
        <w:t>一、制定依据</w:t>
      </w:r>
    </w:p>
    <w:p>
      <w:pPr>
        <w:widowControl w:val="0"/>
        <w:wordWrap/>
        <w:adjustRightInd/>
        <w:snapToGrid/>
        <w:spacing w:line="540" w:lineRule="exact"/>
        <w:ind w:left="0" w:leftChars="0" w:right="0" w:firstLine="480" w:firstLineChars="200"/>
        <w:textAlignment w:val="auto"/>
        <w:outlineLvl w:val="9"/>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依据省、市惠企政策“免申即享”有关政策精神，加大惠企政策直达企业力度，利用惠企政策“免申即享”平台，实现惠企政策“免申即享”，营造良好营商环境，结合本县实际制定本工作方案。</w:t>
      </w:r>
    </w:p>
    <w:p>
      <w:pPr>
        <w:pStyle w:val="3"/>
        <w:keepNext w:val="0"/>
        <w:keepLines w:val="0"/>
        <w:widowControl/>
        <w:numPr>
          <w:ilvl w:val="0"/>
          <w:numId w:val="0"/>
        </w:numPr>
        <w:suppressLineNumbers w:val="0"/>
        <w:shd w:val="clear" w:fill="FFFFFF"/>
        <w:ind w:right="0" w:rightChars="0" w:firstLine="540" w:firstLineChars="200"/>
        <w:jc w:val="left"/>
        <w:rPr>
          <w:rStyle w:val="6"/>
          <w:rFonts w:hint="eastAsia" w:ascii="微软雅黑" w:hAnsi="微软雅黑" w:eastAsia="微软雅黑" w:cs="微软雅黑"/>
          <w:i w:val="0"/>
          <w:iCs w:val="0"/>
          <w:caps w:val="0"/>
          <w:color w:val="333333"/>
          <w:spacing w:val="0"/>
          <w:sz w:val="27"/>
          <w:szCs w:val="27"/>
          <w:u w:val="none"/>
          <w:lang w:eastAsia="zh-CN"/>
        </w:rPr>
      </w:pPr>
      <w:r>
        <w:rPr>
          <w:rStyle w:val="6"/>
          <w:rFonts w:hint="eastAsia" w:ascii="微软雅黑" w:hAnsi="微软雅黑" w:eastAsia="微软雅黑" w:cs="微软雅黑"/>
          <w:i w:val="0"/>
          <w:iCs w:val="0"/>
          <w:caps w:val="0"/>
          <w:color w:val="333333"/>
          <w:spacing w:val="0"/>
          <w:sz w:val="27"/>
          <w:szCs w:val="27"/>
          <w:u w:val="none"/>
          <w:lang w:eastAsia="zh-CN"/>
        </w:rPr>
        <w:t>二、目标意义</w:t>
      </w:r>
    </w:p>
    <w:p>
      <w:pPr>
        <w:widowControl w:val="0"/>
        <w:wordWrap/>
        <w:adjustRightInd/>
        <w:snapToGrid/>
        <w:spacing w:line="540" w:lineRule="exact"/>
        <w:ind w:left="0" w:leftChars="0" w:right="0" w:firstLine="480" w:firstLineChars="200"/>
        <w:textAlignment w:val="auto"/>
        <w:outlineLvl w:val="9"/>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依托省、市惠企政策“免申即享”平台，优化审批机制，对企业信息和政策条件进行快速精准匹配，由企业上门申请转变为政府主动兑现。</w:t>
      </w:r>
    </w:p>
    <w:p>
      <w:pPr>
        <w:pStyle w:val="3"/>
        <w:keepNext w:val="0"/>
        <w:keepLines w:val="0"/>
        <w:widowControl/>
        <w:numPr>
          <w:ilvl w:val="0"/>
          <w:numId w:val="0"/>
        </w:numPr>
        <w:suppressLineNumbers w:val="0"/>
        <w:shd w:val="clear" w:fill="FFFFFF"/>
        <w:ind w:right="0" w:rightChars="0" w:firstLine="540" w:firstLineChars="200"/>
        <w:jc w:val="left"/>
        <w:rPr>
          <w:rStyle w:val="6"/>
          <w:rFonts w:hint="eastAsia" w:ascii="微软雅黑" w:hAnsi="微软雅黑" w:eastAsia="微软雅黑" w:cs="微软雅黑"/>
          <w:i w:val="0"/>
          <w:iCs w:val="0"/>
          <w:caps w:val="0"/>
          <w:color w:val="333333"/>
          <w:spacing w:val="0"/>
          <w:sz w:val="27"/>
          <w:szCs w:val="27"/>
          <w:u w:val="none"/>
          <w:lang w:eastAsia="zh-CN"/>
        </w:rPr>
      </w:pPr>
      <w:r>
        <w:rPr>
          <w:rStyle w:val="6"/>
          <w:rFonts w:hint="eastAsia" w:ascii="微软雅黑" w:hAnsi="微软雅黑" w:eastAsia="微软雅黑" w:cs="微软雅黑"/>
          <w:i w:val="0"/>
          <w:iCs w:val="0"/>
          <w:caps w:val="0"/>
          <w:color w:val="333333"/>
          <w:spacing w:val="0"/>
          <w:sz w:val="27"/>
          <w:szCs w:val="27"/>
          <w:u w:val="none"/>
          <w:lang w:eastAsia="zh-CN"/>
        </w:rPr>
        <w:t>三、重点任务</w:t>
      </w:r>
    </w:p>
    <w:p>
      <w:pPr>
        <w:widowControl w:val="0"/>
        <w:wordWrap/>
        <w:adjustRightInd/>
        <w:snapToGrid/>
        <w:spacing w:line="540" w:lineRule="exact"/>
        <w:ind w:left="0" w:leftChars="0" w:right="0" w:firstLine="480" w:firstLineChars="200"/>
        <w:textAlignment w:val="auto"/>
        <w:outlineLvl w:val="9"/>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相关部门全面梳理现行有效惠企政策，重点在税费减免、财政补贴、融资支持、招商优惠等领域筛选。建立动态更新机制，将符合要求的政策及时纳入“免申即享”覆盖范围，对到期过时的政策及时宣布失效或废止。</w:t>
      </w:r>
    </w:p>
    <w:p>
      <w:pPr>
        <w:widowControl w:val="0"/>
        <w:wordWrap/>
        <w:adjustRightInd/>
        <w:snapToGrid/>
        <w:spacing w:line="540" w:lineRule="exact"/>
        <w:ind w:left="0" w:leftChars="0" w:right="0" w:firstLine="540" w:firstLineChars="200"/>
        <w:textAlignment w:val="auto"/>
        <w:outlineLvl w:val="9"/>
        <w:rPr>
          <w:rStyle w:val="6"/>
          <w:rFonts w:hint="eastAsia" w:ascii="微软雅黑" w:hAnsi="微软雅黑" w:eastAsia="微软雅黑" w:cs="微软雅黑"/>
          <w:i w:val="0"/>
          <w:iCs w:val="0"/>
          <w:caps w:val="0"/>
          <w:color w:val="333333"/>
          <w:spacing w:val="0"/>
          <w:sz w:val="27"/>
          <w:szCs w:val="27"/>
          <w:u w:val="none"/>
          <w:lang w:eastAsia="zh-CN"/>
        </w:rPr>
      </w:pPr>
      <w:r>
        <w:rPr>
          <w:rStyle w:val="6"/>
          <w:rFonts w:hint="eastAsia" w:ascii="微软雅黑" w:hAnsi="微软雅黑" w:eastAsia="微软雅黑" w:cs="微软雅黑"/>
          <w:i w:val="0"/>
          <w:iCs w:val="0"/>
          <w:caps w:val="0"/>
          <w:color w:val="333333"/>
          <w:spacing w:val="0"/>
          <w:sz w:val="27"/>
          <w:szCs w:val="27"/>
          <w:u w:val="none"/>
          <w:lang w:eastAsia="zh-CN"/>
        </w:rPr>
        <w:t>四、平台管理</w:t>
      </w:r>
    </w:p>
    <w:p>
      <w:pPr>
        <w:widowControl w:val="0"/>
        <w:wordWrap/>
        <w:adjustRightInd/>
        <w:snapToGrid/>
        <w:spacing w:line="540" w:lineRule="exact"/>
        <w:ind w:left="0" w:leftChars="0" w:right="0" w:firstLine="480" w:firstLineChars="200"/>
        <w:textAlignment w:val="auto"/>
        <w:outlineLvl w:val="9"/>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政策执行部门对列入“免申即享”清单的政策及要求进行梳理，提出数据共享需求清单，涉及的部门原则上没有法律、法规和国家文件明确禁止的，对提出的数据共享需求不得拒绝数据归集。县政务服务和大数据管理局负责数据共享平台服务支撑保障，及时归集各类数据，根据政策执行部门的业务需求，通过数据共享、自动比对、智能审批等，实现基于政策条件颗粒化、市场主体结构化、审批流程标准化的惠企政策“免申即享”。</w:t>
      </w:r>
    </w:p>
    <w:p>
      <w:pPr>
        <w:pStyle w:val="3"/>
        <w:keepNext w:val="0"/>
        <w:keepLines w:val="0"/>
        <w:widowControl/>
        <w:numPr>
          <w:ilvl w:val="0"/>
          <w:numId w:val="0"/>
        </w:numPr>
        <w:suppressLineNumbers w:val="0"/>
        <w:shd w:val="clear" w:fill="FFFFFF"/>
        <w:ind w:right="0" w:rightChars="0" w:firstLine="540" w:firstLineChars="200"/>
        <w:jc w:val="left"/>
        <w:rPr>
          <w:rStyle w:val="6"/>
          <w:rFonts w:hint="eastAsia" w:ascii="微软雅黑" w:hAnsi="微软雅黑" w:eastAsia="微软雅黑" w:cs="微软雅黑"/>
          <w:i w:val="0"/>
          <w:iCs w:val="0"/>
          <w:caps w:val="0"/>
          <w:color w:val="333333"/>
          <w:spacing w:val="0"/>
          <w:sz w:val="27"/>
          <w:szCs w:val="27"/>
          <w:u w:val="none"/>
          <w:lang w:eastAsia="zh-CN"/>
        </w:rPr>
      </w:pPr>
      <w:r>
        <w:rPr>
          <w:rStyle w:val="6"/>
          <w:rFonts w:hint="eastAsia" w:ascii="微软雅黑" w:hAnsi="微软雅黑" w:eastAsia="微软雅黑" w:cs="微软雅黑"/>
          <w:i w:val="0"/>
          <w:iCs w:val="0"/>
          <w:caps w:val="0"/>
          <w:color w:val="333333"/>
          <w:spacing w:val="0"/>
          <w:sz w:val="27"/>
          <w:szCs w:val="27"/>
          <w:u w:val="none"/>
          <w:lang w:eastAsia="zh-CN"/>
        </w:rPr>
        <w:t>五、业务流程</w:t>
      </w:r>
    </w:p>
    <w:p>
      <w:pPr>
        <w:widowControl w:val="0"/>
        <w:wordWrap/>
        <w:adjustRightInd/>
        <w:snapToGrid/>
        <w:spacing w:line="540" w:lineRule="exact"/>
        <w:ind w:left="0" w:leftChars="0" w:right="0" w:firstLine="480" w:firstLineChars="200"/>
        <w:textAlignment w:val="auto"/>
        <w:outlineLvl w:val="9"/>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对名单类政策，由政策执行部门在政策兑现前，将符合政策条件的企业名单导入平台，通过平台发送短信、企业确认信息、部门审核拨付的方式发放奖补资金；对条件类政策，由政策执行部门会同县政务服务和大数据管理局在政策兑现前，对政策条件符合情况再确认，通过平台自动匹配筛选企业、平台发送短信、企业确认信息、部门审核拨付的方式发放奖补资金；对暂时难以数据化类政策，由政策执行部门会同县政务服务和大数据管理局简化审批环节，压缩办理时限，提供在线申请、在线反馈、应享未享提醒等服务。</w:t>
      </w:r>
    </w:p>
    <w:p>
      <w:pPr>
        <w:pStyle w:val="3"/>
        <w:keepNext w:val="0"/>
        <w:keepLines w:val="0"/>
        <w:widowControl/>
        <w:numPr>
          <w:ilvl w:val="0"/>
          <w:numId w:val="0"/>
        </w:numPr>
        <w:suppressLineNumbers w:val="0"/>
        <w:shd w:val="clear" w:fill="FFFFFF"/>
        <w:ind w:right="0" w:rightChars="0" w:firstLine="540" w:firstLineChars="200"/>
        <w:jc w:val="left"/>
        <w:rPr>
          <w:rStyle w:val="6"/>
          <w:rFonts w:hint="eastAsia" w:ascii="微软雅黑" w:hAnsi="微软雅黑" w:eastAsia="微软雅黑" w:cs="微软雅黑"/>
          <w:i w:val="0"/>
          <w:iCs w:val="0"/>
          <w:caps w:val="0"/>
          <w:color w:val="333333"/>
          <w:spacing w:val="0"/>
          <w:sz w:val="27"/>
          <w:szCs w:val="27"/>
          <w:u w:val="none"/>
          <w:lang w:eastAsia="zh-CN"/>
        </w:rPr>
      </w:pPr>
      <w:r>
        <w:rPr>
          <w:rStyle w:val="6"/>
          <w:rFonts w:hint="eastAsia" w:ascii="微软雅黑" w:hAnsi="微软雅黑" w:eastAsia="微软雅黑" w:cs="微软雅黑"/>
          <w:i w:val="0"/>
          <w:iCs w:val="0"/>
          <w:caps w:val="0"/>
          <w:color w:val="333333"/>
          <w:spacing w:val="0"/>
          <w:sz w:val="27"/>
          <w:szCs w:val="27"/>
          <w:u w:val="none"/>
          <w:lang w:eastAsia="zh-CN"/>
        </w:rPr>
        <w:t>六、资金监管</w:t>
      </w:r>
    </w:p>
    <w:p>
      <w:pPr>
        <w:widowControl w:val="0"/>
        <w:wordWrap/>
        <w:adjustRightInd/>
        <w:snapToGrid/>
        <w:spacing w:line="540" w:lineRule="exact"/>
        <w:ind w:left="0" w:leftChars="0" w:right="0" w:firstLine="480" w:firstLineChars="200"/>
        <w:textAlignment w:val="auto"/>
        <w:outlineLvl w:val="9"/>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县财政局要加强符合“免申即享”政策的资金保障，根据有关部门审核情况将惠企资金拨付到位，并会同行业主管部门督促落实应负担资金。按照“免申不免审”原则，在政策实施前，政策执行部门要会同县政务服务和大数据管理局对政策匹配所需数据进行再核查；审核审批过程中，政策执行部门要会同县财政局严格按照审批标准，落实部门审核审批职责；资金拨付后，政策执行部门和县财政局、审计局等部门按职责分工共同负责预算绩效管理和监督工作。</w:t>
      </w:r>
    </w:p>
    <w:p>
      <w:pPr>
        <w:pStyle w:val="3"/>
        <w:keepNext w:val="0"/>
        <w:keepLines w:val="0"/>
        <w:widowControl/>
        <w:numPr>
          <w:ilvl w:val="0"/>
          <w:numId w:val="0"/>
        </w:numPr>
        <w:suppressLineNumbers w:val="0"/>
        <w:shd w:val="clear" w:fill="FFFFFF"/>
        <w:ind w:right="0" w:rightChars="0" w:firstLine="540" w:firstLineChars="200"/>
        <w:jc w:val="left"/>
        <w:rPr>
          <w:rStyle w:val="6"/>
          <w:rFonts w:hint="eastAsia" w:ascii="微软雅黑" w:hAnsi="微软雅黑" w:eastAsia="微软雅黑" w:cs="微软雅黑"/>
          <w:i w:val="0"/>
          <w:iCs w:val="0"/>
          <w:caps w:val="0"/>
          <w:color w:val="333333"/>
          <w:spacing w:val="0"/>
          <w:sz w:val="27"/>
          <w:szCs w:val="27"/>
          <w:u w:val="none"/>
          <w:lang w:eastAsia="zh-CN"/>
        </w:rPr>
      </w:pPr>
      <w:r>
        <w:rPr>
          <w:rStyle w:val="6"/>
          <w:rFonts w:hint="eastAsia" w:ascii="微软雅黑" w:hAnsi="微软雅黑" w:eastAsia="微软雅黑" w:cs="微软雅黑"/>
          <w:i w:val="0"/>
          <w:iCs w:val="0"/>
          <w:caps w:val="0"/>
          <w:color w:val="333333"/>
          <w:spacing w:val="0"/>
          <w:sz w:val="27"/>
          <w:szCs w:val="27"/>
          <w:u w:val="none"/>
          <w:lang w:eastAsia="zh-CN"/>
        </w:rPr>
        <w:t>七、组织保障</w:t>
      </w:r>
    </w:p>
    <w:p>
      <w:pPr>
        <w:widowControl w:val="0"/>
        <w:wordWrap/>
        <w:adjustRightInd/>
        <w:snapToGrid/>
        <w:spacing w:line="540" w:lineRule="exact"/>
        <w:ind w:left="0" w:leftChars="0" w:right="0" w:firstLine="480" w:firstLineChars="200"/>
        <w:textAlignment w:val="auto"/>
        <w:outlineLvl w:val="9"/>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成立由县发改委、政数局、科工局、财政局牵头，县税务局、人社局、金融服务中心、招商促进中心、商务局、文广旅局、水利局、住建局、交通运输局、城管局、市场监督管理局、医保局、审计局等部门共同参与的方城县惠企政策“免申即享”工作专班，统筹推进惠企政策“免申即享”工作。</w:t>
      </w:r>
    </w:p>
    <w:p>
      <w:pPr>
        <w:pStyle w:val="3"/>
        <w:keepNext w:val="0"/>
        <w:keepLines w:val="0"/>
        <w:widowControl/>
        <w:numPr>
          <w:ilvl w:val="0"/>
          <w:numId w:val="0"/>
        </w:numPr>
        <w:suppressLineNumbers w:val="0"/>
        <w:shd w:val="clear" w:fill="FFFFFF"/>
        <w:ind w:right="0" w:rightChars="0" w:firstLine="540" w:firstLineChars="200"/>
        <w:jc w:val="left"/>
        <w:rPr>
          <w:rStyle w:val="6"/>
          <w:rFonts w:hint="eastAsia" w:ascii="微软雅黑" w:hAnsi="微软雅黑" w:eastAsia="微软雅黑" w:cs="微软雅黑"/>
          <w:i w:val="0"/>
          <w:iCs w:val="0"/>
          <w:caps w:val="0"/>
          <w:color w:val="333333"/>
          <w:spacing w:val="0"/>
          <w:sz w:val="27"/>
          <w:szCs w:val="27"/>
          <w:u w:val="none"/>
          <w:lang w:eastAsia="zh-CN"/>
        </w:rPr>
      </w:pPr>
      <w:r>
        <w:rPr>
          <w:rStyle w:val="6"/>
          <w:rFonts w:hint="eastAsia" w:ascii="微软雅黑" w:hAnsi="微软雅黑" w:eastAsia="微软雅黑" w:cs="微软雅黑"/>
          <w:i w:val="0"/>
          <w:iCs w:val="0"/>
          <w:caps w:val="0"/>
          <w:color w:val="333333"/>
          <w:spacing w:val="0"/>
          <w:sz w:val="27"/>
          <w:szCs w:val="27"/>
          <w:u w:val="none"/>
          <w:lang w:eastAsia="zh-CN"/>
        </w:rPr>
        <w:t>八、注意事项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firstLine="480" w:firstLineChars="200"/>
        <w:jc w:val="left"/>
        <w:rPr>
          <w:rFonts w:hint="eastAsia" w:ascii="微软雅黑" w:hAnsi="微软雅黑" w:eastAsia="微软雅黑" w:cs="微软雅黑"/>
          <w:i w:val="0"/>
          <w:iCs w:val="0"/>
          <w:caps w:val="0"/>
          <w:color w:val="333333"/>
          <w:spacing w:val="0"/>
          <w:sz w:val="24"/>
          <w:szCs w:val="24"/>
          <w:shd w:val="clear" w:fill="FFFFFF"/>
          <w:lang w:eastAsia="zh-CN"/>
        </w:rPr>
      </w:pPr>
      <w:r>
        <w:rPr>
          <w:rFonts w:hint="eastAsia" w:ascii="微软雅黑" w:hAnsi="微软雅黑" w:eastAsia="微软雅黑" w:cs="微软雅黑"/>
          <w:i w:val="0"/>
          <w:iCs w:val="0"/>
          <w:caps w:val="0"/>
          <w:color w:val="333333"/>
          <w:spacing w:val="0"/>
          <w:sz w:val="24"/>
          <w:szCs w:val="24"/>
          <w:shd w:val="clear" w:fill="FFFFFF"/>
          <w:lang w:eastAsia="zh-CN"/>
        </w:rPr>
        <w:t>本政策执行期限暂定两年，由县住建局和县自然资源局负责解释。</w:t>
      </w:r>
    </w:p>
    <w:p>
      <w:pPr>
        <w:pStyle w:val="3"/>
        <w:keepNext w:val="0"/>
        <w:keepLines w:val="0"/>
        <w:widowControl/>
        <w:numPr>
          <w:ilvl w:val="0"/>
          <w:numId w:val="0"/>
        </w:numPr>
        <w:suppressLineNumbers w:val="0"/>
        <w:shd w:val="clear" w:fill="FFFFFF"/>
        <w:ind w:right="0" w:rightChars="0" w:firstLine="540" w:firstLineChars="200"/>
        <w:jc w:val="left"/>
        <w:rPr>
          <w:rStyle w:val="6"/>
          <w:rFonts w:hint="eastAsia" w:ascii="微软雅黑" w:hAnsi="微软雅黑" w:eastAsia="微软雅黑" w:cs="微软雅黑"/>
          <w:i w:val="0"/>
          <w:iCs w:val="0"/>
          <w:caps w:val="0"/>
          <w:color w:val="333333"/>
          <w:spacing w:val="0"/>
          <w:sz w:val="27"/>
          <w:szCs w:val="27"/>
          <w:u w:val="none"/>
          <w:lang w:eastAsia="zh-CN"/>
        </w:rPr>
      </w:pPr>
      <w:r>
        <w:rPr>
          <w:rStyle w:val="6"/>
          <w:rFonts w:hint="eastAsia" w:ascii="微软雅黑" w:hAnsi="微软雅黑" w:eastAsia="微软雅黑" w:cs="微软雅黑"/>
          <w:i w:val="0"/>
          <w:iCs w:val="0"/>
          <w:caps w:val="0"/>
          <w:color w:val="333333"/>
          <w:spacing w:val="0"/>
          <w:sz w:val="27"/>
          <w:szCs w:val="27"/>
          <w:u w:val="none"/>
          <w:lang w:eastAsia="zh-CN"/>
        </w:rPr>
        <w:t>九、关键词诠释</w:t>
      </w:r>
    </w:p>
    <w:p>
      <w:pPr>
        <w:pStyle w:val="3"/>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shd w:val="clear" w:fill="FFFFFF"/>
        </w:rPr>
        <w:t>　</w:t>
      </w:r>
      <w:r>
        <w:rPr>
          <w:rFonts w:hint="eastAsia" w:ascii="微软雅黑" w:hAnsi="微软雅黑" w:eastAsia="微软雅黑" w:cs="微软雅黑"/>
          <w:i w:val="0"/>
          <w:iCs w:val="0"/>
          <w:caps w:val="0"/>
          <w:color w:val="333333"/>
          <w:spacing w:val="0"/>
          <w:sz w:val="27"/>
          <w:szCs w:val="27"/>
          <w:u w:val="none"/>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shd w:val="clear" w:fill="FFFFFF"/>
          <w:lang w:val="en-US" w:eastAsia="zh-CN"/>
        </w:rPr>
        <w:t>房屋征收、房票、安置、实施办法</w:t>
      </w:r>
    </w:p>
    <w:p>
      <w:pPr>
        <w:pStyle w:val="3"/>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333333"/>
          <w:spacing w:val="0"/>
          <w:sz w:val="27"/>
          <w:szCs w:val="27"/>
          <w:u w:val="none"/>
        </w:rPr>
      </w:pPr>
      <w:r>
        <w:rPr>
          <w:rFonts w:hint="eastAsia" w:ascii="微软雅黑" w:hAnsi="微软雅黑" w:eastAsia="微软雅黑" w:cs="微软雅黑"/>
          <w:i w:val="0"/>
          <w:iCs w:val="0"/>
          <w:caps w:val="0"/>
          <w:color w:val="333333"/>
          <w:spacing w:val="0"/>
          <w:sz w:val="27"/>
          <w:szCs w:val="27"/>
          <w:u w:val="none"/>
          <w:shd w:val="clear" w:fill="FFFFFF"/>
        </w:rPr>
        <w:t>　</w:t>
      </w:r>
      <w:r>
        <w:rPr>
          <w:rFonts w:hint="eastAsia" w:ascii="微软雅黑" w:hAnsi="微软雅黑" w:eastAsia="微软雅黑" w:cs="微软雅黑"/>
          <w:i w:val="0"/>
          <w:iCs w:val="0"/>
          <w:caps w:val="0"/>
          <w:color w:val="333333"/>
          <w:spacing w:val="0"/>
          <w:sz w:val="27"/>
          <w:szCs w:val="27"/>
          <w:u w:val="none"/>
          <w:shd w:val="clear" w:fill="FFFFFF"/>
          <w:lang w:val="en-US" w:eastAsia="zh-CN"/>
        </w:rPr>
        <w:t xml:space="preserve">  </w:t>
      </w:r>
      <w:r>
        <w:rPr>
          <w:rStyle w:val="6"/>
          <w:rFonts w:hint="eastAsia" w:ascii="微软雅黑" w:hAnsi="微软雅黑" w:eastAsia="微软雅黑" w:cs="微软雅黑"/>
          <w:i w:val="0"/>
          <w:iCs w:val="0"/>
          <w:caps w:val="0"/>
          <w:color w:val="333333"/>
          <w:spacing w:val="0"/>
          <w:sz w:val="27"/>
          <w:szCs w:val="27"/>
          <w:u w:val="none"/>
          <w:lang w:eastAsia="zh-CN"/>
        </w:rPr>
        <w:t>十、解读咨询渠道</w:t>
      </w:r>
    </w:p>
    <w:p>
      <w:pPr>
        <w:pStyle w:val="3"/>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iCs w:val="0"/>
          <w:caps w:val="0"/>
          <w:color w:val="333333"/>
          <w:spacing w:val="0"/>
          <w:sz w:val="24"/>
          <w:szCs w:val="24"/>
          <w:shd w:val="clear" w:fill="FFFFFF"/>
          <w:lang w:val="en-US" w:eastAsia="zh-CN"/>
        </w:rPr>
      </w:pPr>
      <w:r>
        <w:rPr>
          <w:rFonts w:ascii="仿宋" w:hAnsi="仿宋" w:eastAsia="仿宋" w:cs="仿宋"/>
          <w:i w:val="0"/>
          <w:iCs w:val="0"/>
          <w:caps w:val="0"/>
          <w:color w:val="000000"/>
          <w:spacing w:val="0"/>
          <w:sz w:val="31"/>
          <w:szCs w:val="31"/>
          <w:u w:val="none"/>
          <w:shd w:val="clear" w:fill="FFFFFF"/>
        </w:rPr>
        <w:t> </w:t>
      </w:r>
      <w:r>
        <w:rPr>
          <w:rFonts w:hint="eastAsia" w:ascii="微软雅黑" w:hAnsi="微软雅黑" w:eastAsia="微软雅黑" w:cs="微软雅黑"/>
          <w:i w:val="0"/>
          <w:iCs w:val="0"/>
          <w:caps w:val="0"/>
          <w:color w:val="333333"/>
          <w:spacing w:val="0"/>
          <w:sz w:val="27"/>
          <w:szCs w:val="27"/>
          <w:u w:val="none"/>
          <w:shd w:val="clear" w:fill="FFFFFF"/>
        </w:rPr>
        <w:t xml:space="preserve">  </w:t>
      </w:r>
      <w:r>
        <w:rPr>
          <w:rFonts w:hint="eastAsia" w:ascii="微软雅黑" w:hAnsi="微软雅黑" w:eastAsia="微软雅黑" w:cs="微软雅黑"/>
          <w:i w:val="0"/>
          <w:iCs w:val="0"/>
          <w:caps w:val="0"/>
          <w:color w:val="333333"/>
          <w:spacing w:val="0"/>
          <w:sz w:val="27"/>
          <w:szCs w:val="27"/>
          <w:u w:val="none"/>
          <w:shd w:val="clear" w:fill="FFFFFF"/>
          <w:lang w:val="en-US" w:eastAsia="zh-CN"/>
        </w:rPr>
        <w:t xml:space="preserve">  </w:t>
      </w:r>
      <w:r>
        <w:rPr>
          <w:rFonts w:hint="eastAsia" w:ascii="微软雅黑" w:hAnsi="微软雅黑" w:eastAsia="微软雅黑" w:cs="微软雅黑"/>
          <w:i w:val="0"/>
          <w:iCs w:val="0"/>
          <w:caps w:val="0"/>
          <w:color w:val="333333"/>
          <w:spacing w:val="0"/>
          <w:sz w:val="24"/>
          <w:szCs w:val="24"/>
          <w:shd w:val="clear" w:fill="FFFFFF"/>
          <w:lang w:val="en-US" w:eastAsia="zh-CN"/>
        </w:rPr>
        <w:t>解读单位：方城县住建局</w:t>
      </w:r>
    </w:p>
    <w:p>
      <w:pPr>
        <w:pStyle w:val="3"/>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iCs w:val="0"/>
          <w:caps w:val="0"/>
          <w:color w:val="333333"/>
          <w:spacing w:val="0"/>
          <w:sz w:val="24"/>
          <w:szCs w:val="24"/>
          <w:shd w:val="clear" w:fill="FFFFFF"/>
          <w:lang w:val="en-US" w:eastAsia="zh-CN"/>
        </w:rPr>
      </w:pPr>
      <w:r>
        <w:rPr>
          <w:rFonts w:hint="eastAsia" w:ascii="微软雅黑" w:hAnsi="微软雅黑" w:eastAsia="微软雅黑" w:cs="微软雅黑"/>
          <w:i w:val="0"/>
          <w:iCs w:val="0"/>
          <w:caps w:val="0"/>
          <w:color w:val="333333"/>
          <w:spacing w:val="0"/>
          <w:sz w:val="24"/>
          <w:szCs w:val="24"/>
          <w:shd w:val="clear" w:fill="FFFFFF"/>
          <w:lang w:val="en-US" w:eastAsia="zh-CN"/>
        </w:rPr>
        <w:t>　   咨询电话：0377-67232802。</w:t>
      </w:r>
    </w:p>
    <w:p>
      <w:pPr>
        <w:widowControl w:val="0"/>
        <w:wordWrap/>
        <w:adjustRightInd/>
        <w:snapToGrid/>
        <w:spacing w:line="540" w:lineRule="exact"/>
        <w:ind w:left="0" w:leftChars="0" w:right="0" w:firstLine="640" w:firstLineChars="200"/>
        <w:textAlignment w:val="auto"/>
        <w:outlineLvl w:val="9"/>
        <w:rPr>
          <w:rFonts w:hint="eastAsia" w:ascii="仿宋_GB2312" w:hAnsi="仿宋_GB2312" w:eastAsia="仿宋_GB2312" w:cs="仿宋_GB2312"/>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MDdhNjJhODI1ZmQ3NTlhMjZjM2Q4MzVjZDI1Y2MifQ=="/>
  </w:docVars>
  <w:rsids>
    <w:rsidRoot w:val="5B815B38"/>
    <w:rsid w:val="5B815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2023-12-18T01:22:00Z</dcterms:created>
  <dc:creator>WPS_777271905</dc:creator>
  <cp:lastModifiedBy>WPS_777271905</cp:lastModifiedBy>
  <dcterms:modified xsi:type="dcterms:W3CDTF">2023-12-18T01:48:49Z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803EACAECFFE46268BA3B97BCC546314_11</vt:lpwstr>
  </property>
</Properties>
</file>