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0" w:after="0" w:line="580" w:lineRule="exact"/>
        <w:ind w:left="0" w:leftChars="0" w:firstLine="42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720" w:lineRule="exact"/>
        <w:jc w:val="center"/>
        <w:rPr>
          <w:rFonts w:ascii="方正小标宋简体" w:eastAsia="方正小标宋简体"/>
          <w:sz w:val="68"/>
        </w:rPr>
      </w:pP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spacing w:line="520" w:lineRule="exact"/>
        <w:jc w:val="center"/>
        <w:rPr>
          <w:rFonts w:hAnsi="Sylfaen" w:eastAsia="仿宋_GB2312"/>
          <w:sz w:val="32"/>
          <w:szCs w:val="32"/>
        </w:rPr>
      </w:pPr>
    </w:p>
    <w:p>
      <w:pPr>
        <w:spacing w:line="520" w:lineRule="exact"/>
        <w:jc w:val="center"/>
        <w:rPr>
          <w:rFonts w:ascii="Times New Roman" w:hAnsi="Times New Roman" w:eastAsia="仿宋_GB2312"/>
          <w:sz w:val="32"/>
          <w:szCs w:val="32"/>
        </w:rPr>
      </w:pPr>
      <w:r>
        <w:rPr>
          <w:rFonts w:hint="eastAsia" w:ascii="Times New Roman" w:hAnsi="Times New Roman" w:eastAsia="仿宋_GB2312"/>
          <w:sz w:val="32"/>
          <w:szCs w:val="32"/>
        </w:rPr>
        <w:t>方政复〔</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eastAsia="仿宋_GB2312"/>
          <w:sz w:val="32"/>
          <w:szCs w:val="32"/>
          <w:lang w:val="en-US" w:eastAsia="zh-CN"/>
        </w:rPr>
        <w:t>30</w:t>
      </w:r>
      <w:r>
        <w:rPr>
          <w:rFonts w:hint="eastAsia" w:ascii="Times New Roman" w:hAnsi="Times New Roman" w:eastAsia="仿宋_GB2312"/>
          <w:sz w:val="32"/>
          <w:szCs w:val="32"/>
        </w:rPr>
        <w:t>号</w:t>
      </w:r>
    </w:p>
    <w:p>
      <w:pPr>
        <w:spacing w:line="520" w:lineRule="exact"/>
        <w:rPr>
          <w:b w:val="0"/>
          <w:i w:val="0"/>
          <w:caps w:val="0"/>
          <w:color w:val="000000"/>
          <w:spacing w:val="0"/>
          <w:sz w:val="21"/>
          <w:szCs w:val="21"/>
        </w:rPr>
      </w:pPr>
      <w:r>
        <w:rPr>
          <w:rFonts w:ascii="Calibri" w:hAnsi="Calibri" w:eastAsia="宋体" w:cs="黑体"/>
          <w:kern w:val="2"/>
          <w:sz w:val="21"/>
          <w:szCs w:val="24"/>
          <w:lang w:val="en-US" w:eastAsia="zh-CN" w:bidi="ar-SA"/>
        </w:rPr>
        <w:pict>
          <v:line id="Line 3" o:spid="_x0000_s1030" style="position:absolute;left:0;margin-left:-5.05pt;margin-top:7.8pt;height:0.05pt;width:456.55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申请人：</w:t>
      </w:r>
      <w:r>
        <w:rPr>
          <w:rFonts w:hint="eastAsia" w:ascii="仿宋_GB2312" w:hAnsi="仿宋_GB2312" w:eastAsia="仿宋_GB2312" w:cs="仿宋_GB2312"/>
          <w:sz w:val="32"/>
          <w:szCs w:val="32"/>
          <w:lang w:eastAsia="zh-CN"/>
        </w:rPr>
        <w:t>徐</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lang w:eastAsia="zh-CN"/>
        </w:rPr>
        <w:t>路</w:t>
      </w:r>
      <w:r>
        <w:rPr>
          <w:rFonts w:hint="eastAsia" w:ascii="仿宋_GB2312" w:hAnsi="仿宋_GB2312" w:eastAsia="仿宋_GB2312" w:cs="仿宋_GB2312"/>
          <w:sz w:val="32"/>
          <w:szCs w:val="32"/>
          <w:lang w:val="en-US" w:eastAsia="zh-CN"/>
        </w:rPr>
        <w:t>，男，汉族，1996年X月X日出生，身份证号：4128261996XXXXXXXX，现住址：郑州市管城回族区XXX。电话：1509355XXXX</w:t>
      </w:r>
      <w:bookmarkStart w:id="0" w:name="_GoBack"/>
      <w:bookmarkEnd w:id="0"/>
      <w:r>
        <w:rPr>
          <w:rFonts w:hint="eastAsia" w:ascii="仿宋_GB2312" w:hAnsi="仿宋_GB2312" w:eastAsia="仿宋_GB2312" w:cs="仿宋_GB2312"/>
          <w:sz w:val="32"/>
          <w:szCs w:val="32"/>
          <w:lang w:val="en-US" w:eastAsia="zh-CN"/>
        </w:rPr>
        <w:t>。</w:t>
      </w:r>
    </w:p>
    <w:p>
      <w:pPr>
        <w:widowControl w:val="0"/>
        <w:wordWrap/>
        <w:adjustRightInd/>
        <w:snapToGrid/>
        <w:spacing w:before="0" w:after="0" w:line="58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被申请人：</w:t>
      </w:r>
      <w:r>
        <w:rPr>
          <w:rFonts w:hint="eastAsia" w:ascii="仿宋_GB2312" w:hAnsi="仿宋_GB2312" w:eastAsia="仿宋_GB2312" w:cs="仿宋_GB2312"/>
          <w:sz w:val="32"/>
          <w:szCs w:val="32"/>
          <w:lang w:val="en-US" w:eastAsia="zh-CN"/>
        </w:rPr>
        <w:t>方城县市场监督管理</w:t>
      </w:r>
      <w:r>
        <w:rPr>
          <w:rFonts w:hint="eastAsia" w:ascii="仿宋_GB2312" w:hAnsi="仿宋_GB2312" w:eastAsia="仿宋_GB2312" w:cs="仿宋_GB2312"/>
          <w:sz w:val="32"/>
          <w:szCs w:val="32"/>
        </w:rPr>
        <w:t>局</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lang w:val="en-US"/>
        </w:rPr>
      </w:pPr>
      <w:r>
        <w:rPr>
          <w:rFonts w:hint="eastAsia" w:ascii="黑体" w:hAnsi="黑体" w:eastAsia="黑体" w:cs="黑体"/>
          <w:sz w:val="32"/>
          <w:szCs w:val="32"/>
        </w:rPr>
        <w:t>住所：</w:t>
      </w:r>
      <w:r>
        <w:rPr>
          <w:rFonts w:hint="eastAsia" w:ascii="仿宋_GB2312" w:hAnsi="仿宋_GB2312" w:eastAsia="仿宋_GB2312" w:cs="仿宋_GB2312"/>
          <w:sz w:val="32"/>
          <w:szCs w:val="32"/>
          <w:lang w:val="en-US" w:eastAsia="zh-CN"/>
        </w:rPr>
        <w:t>方城县裕州北路44号</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法定代表人：</w:t>
      </w:r>
      <w:r>
        <w:rPr>
          <w:rFonts w:hint="eastAsia" w:ascii="仿宋_GB2312" w:hAnsi="仿宋_GB2312" w:eastAsia="仿宋_GB2312" w:cs="仿宋_GB2312"/>
          <w:sz w:val="32"/>
          <w:szCs w:val="32"/>
          <w:lang w:val="en-US" w:eastAsia="zh-CN"/>
        </w:rPr>
        <w:t>徐明晓</w:t>
      </w:r>
      <w:r>
        <w:rPr>
          <w:rFonts w:hint="eastAsia" w:ascii="仿宋_GB2312" w:hAnsi="仿宋_GB2312" w:eastAsia="仿宋_GB2312" w:cs="仿宋_GB2312"/>
          <w:sz w:val="32"/>
          <w:szCs w:val="32"/>
        </w:rPr>
        <w:t>，局长</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申请人不服</w:t>
      </w: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val="en-US" w:eastAsia="zh-CN"/>
        </w:rPr>
        <w:t>2023年7月25日</w:t>
      </w:r>
      <w:r>
        <w:rPr>
          <w:rFonts w:hint="eastAsia" w:ascii="仿宋_GB2312" w:hAnsi="仿宋_GB2312" w:eastAsia="仿宋_GB2312" w:cs="仿宋_GB2312"/>
          <w:sz w:val="32"/>
          <w:szCs w:val="32"/>
          <w:lang w:eastAsia="zh-CN"/>
        </w:rPr>
        <w:t>作出的《投诉举报回复函》，</w:t>
      </w:r>
      <w:r>
        <w:rPr>
          <w:rFonts w:hint="eastAsia" w:ascii="仿宋_GB2312" w:hAnsi="仿宋_GB2312" w:eastAsia="仿宋_GB2312" w:cs="仿宋_GB2312"/>
          <w:sz w:val="32"/>
          <w:szCs w:val="32"/>
        </w:rPr>
        <w:t>于20</w:t>
      </w:r>
      <w:r>
        <w:rPr>
          <w:rFonts w:hint="eastAsia" w:ascii="仿宋_GB2312" w:hAnsi="仿宋_GB2312" w:eastAsia="仿宋_GB2312" w:cs="仿宋_GB2312"/>
          <w:sz w:val="32"/>
          <w:szCs w:val="32"/>
          <w:lang w:val="en-US" w:eastAsia="zh-CN"/>
        </w:rPr>
        <w:t>23年8月25日向</w:t>
      </w:r>
      <w:r>
        <w:rPr>
          <w:rFonts w:hint="eastAsia" w:ascii="仿宋_GB2312" w:hAnsi="仿宋_GB2312" w:eastAsia="仿宋_GB2312" w:cs="仿宋_GB2312"/>
          <w:sz w:val="32"/>
          <w:szCs w:val="32"/>
        </w:rPr>
        <w:t>本机关申请行政复议，本机关依法</w:t>
      </w:r>
      <w:r>
        <w:rPr>
          <w:rFonts w:hint="eastAsia" w:ascii="仿宋_GB2312" w:hAnsi="仿宋_GB2312" w:eastAsia="仿宋_GB2312" w:cs="仿宋_GB2312"/>
          <w:sz w:val="32"/>
          <w:szCs w:val="32"/>
          <w:lang w:eastAsia="zh-CN"/>
        </w:rPr>
        <w:t>予以</w:t>
      </w:r>
      <w:r>
        <w:rPr>
          <w:rFonts w:hint="eastAsia" w:ascii="仿宋_GB2312" w:hAnsi="仿宋_GB2312" w:eastAsia="仿宋_GB2312" w:cs="仿宋_GB2312"/>
          <w:sz w:val="32"/>
          <w:szCs w:val="32"/>
        </w:rPr>
        <w:t>受理。现已审理终结。</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申请人请求：</w:t>
      </w:r>
      <w:r>
        <w:rPr>
          <w:rFonts w:hint="eastAsia" w:ascii="仿宋_GB2312" w:hAnsi="仿宋_GB2312" w:eastAsia="仿宋_GB2312" w:cs="仿宋_GB2312"/>
          <w:sz w:val="32"/>
          <w:szCs w:val="32"/>
          <w:lang w:val="en-US" w:eastAsia="zh-CN"/>
        </w:rPr>
        <w:t>1.撤销被申请人于2023年7月25日的不予立案回复；2.责令被申请人在法定时间内重新处理；3.责令被申请人书面说明未履行法定职责的原因。</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申请人称：</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sz w:val="32"/>
          <w:szCs w:val="32"/>
          <w:lang w:val="en-US" w:eastAsia="zh-CN"/>
        </w:rPr>
        <w:t>被申请人对其2023年7月14日投诉举报农家乐超市涉嫌违反食品安全法的违法行为未依法全面核查，回复认定事实不清。</w:t>
      </w:r>
      <w:r>
        <w:rPr>
          <w:rFonts w:hint="eastAsia" w:ascii="仿宋_GB2312" w:hAnsi="仿宋_GB2312" w:eastAsia="仿宋_GB2312" w:cs="仿宋_GB2312"/>
          <w:b w:val="0"/>
          <w:bCs w:val="0"/>
          <w:sz w:val="32"/>
          <w:szCs w:val="32"/>
          <w:lang w:val="en-US" w:eastAsia="zh-CN"/>
        </w:rPr>
        <w:t>二、被</w:t>
      </w:r>
      <w:r>
        <w:rPr>
          <w:rFonts w:hint="eastAsia" w:ascii="仿宋_GB2312" w:hAnsi="仿宋_GB2312" w:eastAsia="仿宋_GB2312" w:cs="仿宋_GB2312"/>
          <w:sz w:val="32"/>
          <w:szCs w:val="32"/>
          <w:lang w:val="en-US" w:eastAsia="zh-CN"/>
        </w:rPr>
        <w:t>申请人作出拒绝性行政行为未列明法律依据，未履行必要的说理义务。</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被申请人称：</w:t>
      </w:r>
      <w:r>
        <w:rPr>
          <w:rFonts w:hint="eastAsia" w:ascii="仿宋_GB2312" w:hAnsi="仿宋_GB2312" w:eastAsia="仿宋_GB2312" w:cs="仿宋_GB2312"/>
          <w:b w:val="0"/>
          <w:bCs w:val="0"/>
          <w:sz w:val="32"/>
          <w:szCs w:val="32"/>
          <w:lang w:val="en-US" w:eastAsia="zh-CN"/>
        </w:rPr>
        <w:t>一、被</w:t>
      </w:r>
      <w:r>
        <w:rPr>
          <w:rFonts w:hint="eastAsia" w:ascii="仿宋_GB2312" w:hAnsi="仿宋_GB2312" w:eastAsia="仿宋_GB2312" w:cs="仿宋_GB2312"/>
          <w:sz w:val="32"/>
          <w:szCs w:val="32"/>
          <w:lang w:val="en-US" w:eastAsia="zh-CN"/>
        </w:rPr>
        <w:t>申请人在接到申请人的投诉举报信后，对被举报人的经营场所进行了现场核查，未发现销售有超过保质期的撕名牌薯片及其它过期食品，进货查验记录中也没有该产品的相关信息，于2023年7月25日作出投诉不予受理和举报不予立案告知书的决定符合有关法律规</w:t>
      </w:r>
      <w:r>
        <w:rPr>
          <w:rFonts w:hint="eastAsia" w:ascii="仿宋_GB2312" w:hAnsi="仿宋_GB2312" w:eastAsia="仿宋_GB2312" w:cs="仿宋_GB2312"/>
          <w:b w:val="0"/>
          <w:bCs w:val="0"/>
          <w:sz w:val="32"/>
          <w:szCs w:val="32"/>
          <w:lang w:val="en-US" w:eastAsia="zh-CN"/>
        </w:rPr>
        <w:t>定。二、</w:t>
      </w:r>
      <w:r>
        <w:rPr>
          <w:rFonts w:hint="eastAsia" w:ascii="仿宋_GB2312" w:hAnsi="仿宋_GB2312" w:eastAsia="仿宋_GB2312" w:cs="仿宋_GB2312"/>
          <w:sz w:val="32"/>
          <w:szCs w:val="32"/>
          <w:lang w:val="en-US" w:eastAsia="zh-CN"/>
        </w:rPr>
        <w:t>关于投诉部分，申请人在不同的四家店铺购买到超期食品并进行投诉举报的行为不是为了生活需要，依据有关规定，对投诉行为不予受理并无不当。申请人与被复议的行政行为没有利害关系，不具备复议资格</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sz w:val="32"/>
          <w:szCs w:val="32"/>
          <w:lang w:val="en-US" w:eastAsia="zh-CN"/>
        </w:rPr>
        <w:t>关于举报部分，被申请人将调查结果告知了申请人，已履行法定职责，申请人不属于利害关系人，无权提起行政复议。</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经审理查明：</w:t>
      </w:r>
      <w:r>
        <w:rPr>
          <w:rFonts w:hint="eastAsia" w:ascii="仿宋_GB2312" w:hAnsi="仿宋_GB2312" w:eastAsia="仿宋_GB2312" w:cs="仿宋_GB2312"/>
          <w:sz w:val="32"/>
          <w:szCs w:val="32"/>
          <w:lang w:val="en-US" w:eastAsia="zh-CN"/>
        </w:rPr>
        <w:t>2023年7月17日，被申请人收到申请人投诉举报农家乐超市销售过期撕名牌薯片的信件。7月21日被申请人对被举报人经营场所进行了现场检查，制作了《现场笔录》和《询问笔录》，未发现举报内容所述的超过保质期撕名牌薯片及其它过期食品，且否定其曾销售过投诉举报人所述食品。7月25日，被申请人作出不予立案决定，并向申请人作出投诉不予受理和举报不予立案的《投诉举报回复函》。以上事实有下列证据予以证明：</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1.投诉举报信；</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2.XA64416848241号邮件签收单；</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3.现场笔录和询问笔录；</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4.不予立案审批表；</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5.《投诉举报回复函》；</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6.XA61241054841号邮件信函收据。</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sz w:val="32"/>
          <w:szCs w:val="32"/>
          <w:lang w:val="en-US" w:eastAsia="zh-CN"/>
        </w:rPr>
        <w:t>本机关认为：</w:t>
      </w:r>
      <w:r>
        <w:rPr>
          <w:rFonts w:hint="eastAsia" w:ascii="仿宋_GB2312" w:hAnsi="仿宋_GB2312" w:eastAsia="仿宋_GB2312" w:cs="仿宋_GB2312"/>
          <w:kern w:val="2"/>
          <w:sz w:val="32"/>
          <w:szCs w:val="32"/>
          <w:lang w:val="en-US" w:eastAsia="zh-CN" w:bidi="ar-SA"/>
        </w:rPr>
        <w:t>《市场监督管理投诉举报处理暂行办法》第十四条规定，具有本办法规定的处理权限的市场监督管理部门，应当自收到投诉之日起七个工作日内作出受理或者不予受理的决定，并告知投诉人。《市场监督管理行政处罚程序规定》第十八条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市场监督管理投诉举报处理暂行办法》第三十一条规定，举报人实名举报的，有处理权限的市场监督管理部门还应当自作出是否立案决定之日起五个工作日内告知举报人。本案中，被申请人7月17日收到投诉举报信，7月21核查，7月25日作出不予立案决定并告知申请人对其投诉不予受理、对其举报不予立案的行政行为符合上述法律规定。</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综上，被申请人作出的</w:t>
      </w:r>
      <w:r>
        <w:rPr>
          <w:rFonts w:hint="eastAsia" w:ascii="仿宋_GB2312" w:hAnsi="仿宋_GB2312" w:eastAsia="仿宋_GB2312" w:cs="仿宋_GB2312"/>
          <w:sz w:val="32"/>
          <w:szCs w:val="32"/>
          <w:lang w:eastAsia="zh-CN"/>
        </w:rPr>
        <w:t>《投诉举报回复函》</w:t>
      </w:r>
      <w:r>
        <w:rPr>
          <w:rFonts w:hint="eastAsia" w:ascii="仿宋_GB2312" w:hAnsi="仿宋_GB2312" w:eastAsia="仿宋_GB2312" w:cs="仿宋_GB2312"/>
          <w:kern w:val="2"/>
          <w:sz w:val="32"/>
          <w:szCs w:val="32"/>
          <w:lang w:val="en-US" w:eastAsia="zh-CN" w:bidi="ar-SA"/>
        </w:rPr>
        <w:t>认定事实清楚，证据充分，程序合法，适用依据正确。根据《中华人民共和国</w:t>
      </w:r>
      <w:r>
        <w:rPr>
          <w:rFonts w:hint="eastAsia" w:ascii="仿宋_GB2312" w:hAnsi="仿宋_GB2312" w:eastAsia="仿宋_GB2312" w:cs="仿宋_GB2312"/>
          <w:sz w:val="32"/>
          <w:szCs w:val="32"/>
          <w:lang w:val="en-US" w:eastAsia="zh-CN"/>
        </w:rPr>
        <w:t>行政复议法》第二十八条第一款第（一）项的规定，决定如下：</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维持被申请人于2023年7月25日对申请人作出的</w:t>
      </w:r>
      <w:r>
        <w:rPr>
          <w:rFonts w:hint="eastAsia" w:ascii="仿宋_GB2312" w:hAnsi="仿宋_GB2312" w:eastAsia="仿宋_GB2312" w:cs="仿宋_GB2312"/>
          <w:sz w:val="32"/>
          <w:szCs w:val="32"/>
          <w:lang w:eastAsia="zh-CN"/>
        </w:rPr>
        <w:t>《投诉举报回复函》</w:t>
      </w:r>
      <w:r>
        <w:rPr>
          <w:rFonts w:hint="eastAsia" w:ascii="仿宋_GB2312" w:hAnsi="仿宋_GB2312" w:eastAsia="仿宋_GB2312" w:cs="仿宋_GB2312"/>
          <w:sz w:val="32"/>
          <w:szCs w:val="32"/>
          <w:lang w:val="en-US" w:eastAsia="zh-CN"/>
        </w:rPr>
        <w:t>。</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申请人如对本决定不服，可以自接到本决定书之日起十五日内向有管辖权的人民法院提起行政诉讼。</w:t>
      </w: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lang w:val="en-US" w:eastAsia="zh-CN"/>
        </w:rPr>
      </w:pPr>
    </w:p>
    <w:p>
      <w:pPr>
        <w:widowControl w:val="0"/>
        <w:wordWrap/>
        <w:adjustRightInd/>
        <w:snapToGrid/>
        <w:spacing w:before="0" w:after="0" w:line="580" w:lineRule="exact"/>
        <w:ind w:left="0" w:leftChars="0" w:firstLine="641"/>
        <w:jc w:val="both"/>
        <w:textAlignment w:val="auto"/>
        <w:outlineLvl w:val="9"/>
        <w:rPr>
          <w:rFonts w:hint="eastAsia" w:ascii="仿宋_GB2312" w:hAnsi="仿宋_GB2312" w:eastAsia="仿宋_GB2312" w:cs="仿宋_GB2312"/>
          <w:sz w:val="32"/>
          <w:szCs w:val="32"/>
        </w:rPr>
      </w:pPr>
    </w:p>
    <w:p>
      <w:pPr>
        <w:widowControl w:val="0"/>
        <w:wordWrap/>
        <w:adjustRightInd/>
        <w:snapToGrid/>
        <w:spacing w:before="0" w:after="0" w:line="580" w:lineRule="exact"/>
        <w:ind w:left="0" w:leftChars="0" w:firstLine="640"/>
        <w:jc w:val="both"/>
        <w:textAlignment w:val="auto"/>
        <w:outlineLvl w:val="9"/>
        <w:rPr>
          <w:rFonts w:hint="eastAsia" w:ascii="仿宋_GB2312" w:hAnsi="仿宋_GB2312" w:eastAsia="仿宋_GB2312" w:cs="仿宋_GB2312"/>
          <w:sz w:val="32"/>
          <w:szCs w:val="32"/>
        </w:rPr>
      </w:pPr>
    </w:p>
    <w:p>
      <w:pPr>
        <w:widowControl w:val="0"/>
        <w:tabs>
          <w:tab w:val="left" w:pos="0"/>
        </w:tabs>
        <w:wordWrap/>
        <w:adjustRightInd/>
        <w:snapToGrid/>
        <w:spacing w:before="0" w:after="0" w:line="580" w:lineRule="exact"/>
        <w:ind w:right="-53" w:rightChars="-25"/>
        <w:jc w:val="both"/>
        <w:textAlignment w:val="auto"/>
        <w:outlineLvl w:val="9"/>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日</w:t>
      </w:r>
    </w:p>
    <w:sectPr>
      <w:headerReference r:id="rId6" w:type="first"/>
      <w:footerReference r:id="rId9" w:type="first"/>
      <w:headerReference r:id="rId4" w:type="default"/>
      <w:footerReference r:id="rId7" w:type="default"/>
      <w:headerReference r:id="rId5" w:type="even"/>
      <w:footerReference r:id="rId8" w:type="even"/>
      <w:pgSz w:w="11905" w:h="16837"/>
      <w:pgMar w:top="2098" w:right="1474" w:bottom="1984" w:left="1587" w:header="851" w:footer="1417" w:gutter="0"/>
      <w:pgNumType w:fmt="decimal"/>
      <w:cols w:space="720" w:num="1"/>
      <w:rtlGutter w:val="0"/>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ylfaen">
    <w:panose1 w:val="010A0502050306030303"/>
    <w:charset w:val="00"/>
    <w:family w:val="auto"/>
    <w:pitch w:val="default"/>
    <w:sig w:usb0="04000687" w:usb1="00000000" w:usb2="00000000" w:usb3="00000000" w:csb0="200000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 w:lineRule="atLeast"/>
      <w:ind w:firstLine="400"/>
      <w:rPr>
        <w:szCs w:val="20"/>
      </w:rPr>
    </w:pPr>
    <w:r>
      <w:rPr>
        <w:rFonts w:ascii="Times New Roman" w:hAnsi="Times New Roman" w:eastAsia="宋体" w:cs="Times New Roman"/>
        <w:kern w:val="2"/>
        <w:sz w:val="21"/>
        <w:szCs w:val="24"/>
        <w:lang w:val="en-US" w:eastAsia="zh-CN" w:bidi="ar-SA"/>
      </w:rPr>
      <w:pict>
        <v:rect id="文本框 1" o:spid="_x0000_s1027" style="position:absolute;left:0;margin-top:0pt;height:144pt;width:144pt;mso-position-horizontal:center;mso-position-horizontal-relative:margin;mso-wrap-style:none;rotation:0f;z-index:251661312;"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仿宋_GB2312"/>
                    <w:sz w:val="28"/>
                    <w:lang w:eastAsia="zh-CN"/>
                  </w:rPr>
                </w:pPr>
                <w:r>
                  <w:rPr>
                    <w:rFonts w:hint="eastAsia" w:eastAsia="仿宋_GB2312"/>
                    <w:sz w:val="28"/>
                    <w:lang w:eastAsia="zh-CN"/>
                  </w:rPr>
                  <w:t>－</w:t>
                </w:r>
                <w:r>
                  <w:rPr>
                    <w:rFonts w:hint="eastAsia" w:eastAsia="仿宋_GB2312"/>
                    <w:sz w:val="28"/>
                    <w:lang w:val="en-US" w:eastAsia="zh-CN"/>
                  </w:rPr>
                  <w:t xml:space="preserve"> </w:t>
                </w:r>
                <w:r>
                  <w:rPr>
                    <w:rFonts w:hint="eastAsia" w:eastAsia="仿宋_GB2312"/>
                    <w:sz w:val="28"/>
                    <w:lang w:eastAsia="zh-CN"/>
                  </w:rPr>
                  <w:fldChar w:fldCharType="begin"/>
                </w:r>
                <w:r>
                  <w:rPr>
                    <w:rFonts w:hint="eastAsia" w:eastAsia="仿宋_GB2312"/>
                    <w:sz w:val="28"/>
                    <w:lang w:eastAsia="zh-CN"/>
                  </w:rPr>
                  <w:instrText xml:space="preserve"> PAGE  \* MERGEFORMAT </w:instrText>
                </w:r>
                <w:r>
                  <w:rPr>
                    <w:rFonts w:hint="eastAsia" w:eastAsia="仿宋_GB2312"/>
                    <w:sz w:val="28"/>
                    <w:lang w:eastAsia="zh-CN"/>
                  </w:rPr>
                  <w:fldChar w:fldCharType="separate"/>
                </w:r>
                <w:r>
                  <w:t>1</w:t>
                </w:r>
                <w:r>
                  <w:rPr>
                    <w:rFonts w:hint="eastAsia" w:eastAsia="仿宋_GB2312"/>
                    <w:sz w:val="28"/>
                    <w:lang w:eastAsia="zh-CN"/>
                  </w:rPr>
                  <w:fldChar w:fldCharType="end"/>
                </w:r>
                <w:r>
                  <w:rPr>
                    <w:rFonts w:hint="eastAsia" w:eastAsia="仿宋_GB2312"/>
                    <w:sz w:val="28"/>
                    <w:lang w:val="en-US" w:eastAsia="zh-CN"/>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 w:lineRule="atLeast"/>
      <w:ind w:firstLine="400"/>
      <w:rPr>
        <w:szCs w:val="20"/>
      </w:rPr>
    </w:pPr>
    <w:r>
      <w:rPr>
        <w:rFonts w:ascii="Times New Roman" w:hAnsi="Times New Roman" w:eastAsia="宋体" w:cs="Times New Roman"/>
        <w:kern w:val="2"/>
        <w:sz w:val="21"/>
        <w:szCs w:val="24"/>
        <w:lang w:val="en-US" w:eastAsia="zh-CN" w:bidi="ar-SA"/>
      </w:rPr>
      <w:pict>
        <v:rect id="文本框 2" o:spid="_x0000_s1028" style="position:absolute;left:0;margin-left:0pt;margin-top:0pt;height:51pt;width:460.3pt;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line="439" w:lineRule="atLeast"/>
                  <w:jc w:val="center"/>
                  <w:rPr>
                    <w:rFonts w:eastAsia="仿宋_GB2312"/>
                    <w:sz w:val="28"/>
                    <w:szCs w:val="28"/>
                  </w:rPr>
                </w:pPr>
                <w:r>
                  <w:rPr>
                    <w:rFonts w:hint="eastAsia" w:eastAsia="仿宋_GB2312"/>
                    <w:sz w:val="28"/>
                    <w:szCs w:val="28"/>
                  </w:rPr>
                  <w:t>－</w:t>
                </w:r>
                <w:r>
                  <w:rPr>
                    <w:rFonts w:eastAsia="仿宋_GB2312"/>
                    <w:sz w:val="28"/>
                    <w:szCs w:val="28"/>
                  </w:rPr>
                  <w:fldChar w:fldCharType="begin"/>
                </w:r>
                <w:r>
                  <w:rPr>
                    <w:rFonts w:eastAsia="仿宋_GB2312"/>
                    <w:sz w:val="28"/>
                    <w:szCs w:val="28"/>
                  </w:rPr>
                  <w:instrText xml:space="preserve"> PAGE \* DBCHAR \* MERGEFORMAT </w:instrText>
                </w:r>
                <w:r>
                  <w:rPr>
                    <w:rFonts w:eastAsia="仿宋_GB2312"/>
                    <w:sz w:val="28"/>
                    <w:szCs w:val="28"/>
                  </w:rPr>
                  <w:fldChar w:fldCharType="separate"/>
                </w:r>
                <w:r>
                  <w:t>１</w:t>
                </w:r>
                <w:r>
                  <w:rPr>
                    <w:rFonts w:eastAsia="仿宋_GB2312"/>
                    <w:sz w:val="28"/>
                    <w:szCs w:val="28"/>
                  </w:rPr>
                  <w:fldChar w:fldCharType="end"/>
                </w:r>
                <w:r>
                  <w:rPr>
                    <w:rFonts w:hint="eastAsia" w:eastAsia="仿宋_GB2312"/>
                    <w:sz w:val="28"/>
                    <w:szCs w:val="28"/>
                  </w:rPr>
                  <w:t>－</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 w:lineRule="atLeast"/>
      <w:ind w:firstLine="400"/>
      <w:rPr>
        <w:szCs w:val="20"/>
      </w:rPr>
    </w:pPr>
    <w:r>
      <w:rPr>
        <w:rFonts w:ascii="Times New Roman" w:hAnsi="Times New Roman" w:eastAsia="宋体" w:cs="Times New Roman"/>
        <w:kern w:val="2"/>
        <w:sz w:val="21"/>
        <w:szCs w:val="24"/>
        <w:lang w:val="en-US" w:eastAsia="zh-CN" w:bidi="ar-SA"/>
      </w:rPr>
      <w:pict>
        <v:rect id="文本框 3" o:spid="_x0000_s1025" style="position:absolute;left:0;margin-left:0pt;margin-top:0pt;height:62.35pt;width:460.3pt;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line="334" w:lineRule="atLeast"/>
                  <w:rPr>
                    <w:szCs w:val="21"/>
                  </w:rPr>
                </w:pPr>
              </w:p>
            </w:txbxContent>
          </v:textbox>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 w:lineRule="atLeast"/>
      <w:ind w:firstLine="400"/>
      <w:rPr>
        <w:szCs w:val="20"/>
      </w:rPr>
    </w:pPr>
    <w:r>
      <w:rPr>
        <w:rFonts w:ascii="Times New Roman" w:hAnsi="Times New Roman" w:eastAsia="宋体" w:cs="Times New Roman"/>
        <w:kern w:val="2"/>
        <w:sz w:val="21"/>
        <w:szCs w:val="24"/>
        <w:lang w:val="en-US" w:eastAsia="zh-CN" w:bidi="ar-SA"/>
      </w:rPr>
      <w:pict>
        <v:rect id="文本框 4" o:spid="_x0000_s1026" style="position:absolute;left:0;margin-left:0pt;margin-top:0pt;height:62.35pt;width:460.3pt;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pacing w:line="334" w:lineRule="atLeast"/>
                  <w:rPr>
                    <w:szCs w:val="21"/>
                  </w:rPr>
                </w:pPr>
              </w:p>
            </w:txbxContent>
          </v:textbox>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35D0810"/>
    <w:rsid w:val="040855C7"/>
    <w:rsid w:val="046F7C1E"/>
    <w:rsid w:val="05B773F7"/>
    <w:rsid w:val="072F3B2E"/>
    <w:rsid w:val="07EB5957"/>
    <w:rsid w:val="0B8E3476"/>
    <w:rsid w:val="0BB856CB"/>
    <w:rsid w:val="0BDE51F6"/>
    <w:rsid w:val="0D6D561A"/>
    <w:rsid w:val="0F0D000E"/>
    <w:rsid w:val="12E600E5"/>
    <w:rsid w:val="13565BDA"/>
    <w:rsid w:val="18753527"/>
    <w:rsid w:val="1BBED804"/>
    <w:rsid w:val="1F9F6F9B"/>
    <w:rsid w:val="218629CC"/>
    <w:rsid w:val="246F211E"/>
    <w:rsid w:val="257A08AA"/>
    <w:rsid w:val="25F7A755"/>
    <w:rsid w:val="2A773495"/>
    <w:rsid w:val="2C317EF9"/>
    <w:rsid w:val="2D37375D"/>
    <w:rsid w:val="2DC9F1E9"/>
    <w:rsid w:val="2DCF0E93"/>
    <w:rsid w:val="33EBBA86"/>
    <w:rsid w:val="35BC2FEA"/>
    <w:rsid w:val="35DE629A"/>
    <w:rsid w:val="363B5075"/>
    <w:rsid w:val="373B6509"/>
    <w:rsid w:val="3777A121"/>
    <w:rsid w:val="39347338"/>
    <w:rsid w:val="39BFC8BB"/>
    <w:rsid w:val="3B0C4A92"/>
    <w:rsid w:val="3E3F4B9B"/>
    <w:rsid w:val="3EC0271A"/>
    <w:rsid w:val="3EE7782B"/>
    <w:rsid w:val="3F3F86A5"/>
    <w:rsid w:val="3FBBF16B"/>
    <w:rsid w:val="3FC4599E"/>
    <w:rsid w:val="441615B3"/>
    <w:rsid w:val="4AD4504A"/>
    <w:rsid w:val="4AEC8891"/>
    <w:rsid w:val="4C3E91FE"/>
    <w:rsid w:val="4E4E3A88"/>
    <w:rsid w:val="4FAFCB6E"/>
    <w:rsid w:val="52DE0004"/>
    <w:rsid w:val="533E8BBE"/>
    <w:rsid w:val="53FD6DC3"/>
    <w:rsid w:val="560339FD"/>
    <w:rsid w:val="5624348C"/>
    <w:rsid w:val="579E01F0"/>
    <w:rsid w:val="57FB3CA8"/>
    <w:rsid w:val="58612D0F"/>
    <w:rsid w:val="593F97A8"/>
    <w:rsid w:val="5AD67B03"/>
    <w:rsid w:val="5AFFC249"/>
    <w:rsid w:val="5BBAB72C"/>
    <w:rsid w:val="5D7B36D0"/>
    <w:rsid w:val="5D7F4AC5"/>
    <w:rsid w:val="5DFB0F07"/>
    <w:rsid w:val="5E0FE7D8"/>
    <w:rsid w:val="5F713628"/>
    <w:rsid w:val="5FBB4183"/>
    <w:rsid w:val="63761BA0"/>
    <w:rsid w:val="63762C84"/>
    <w:rsid w:val="66901F69"/>
    <w:rsid w:val="683FDCCA"/>
    <w:rsid w:val="695B4FF4"/>
    <w:rsid w:val="6D7B696C"/>
    <w:rsid w:val="6DDFF35A"/>
    <w:rsid w:val="6FFA2E27"/>
    <w:rsid w:val="6FFE0E48"/>
    <w:rsid w:val="71F21827"/>
    <w:rsid w:val="73DF8EA2"/>
    <w:rsid w:val="752E71F2"/>
    <w:rsid w:val="75F493A8"/>
    <w:rsid w:val="76FB3819"/>
    <w:rsid w:val="76FF622A"/>
    <w:rsid w:val="77DF549F"/>
    <w:rsid w:val="77F73A8D"/>
    <w:rsid w:val="77FF4B1D"/>
    <w:rsid w:val="78BFEC51"/>
    <w:rsid w:val="79F8000A"/>
    <w:rsid w:val="7B1F1B0E"/>
    <w:rsid w:val="7B6A5522"/>
    <w:rsid w:val="7B7A1E1B"/>
    <w:rsid w:val="7BFF2951"/>
    <w:rsid w:val="7DB70602"/>
    <w:rsid w:val="7DDEBF71"/>
    <w:rsid w:val="7DFC0EE4"/>
    <w:rsid w:val="7EBE7ADA"/>
    <w:rsid w:val="7EDE5958"/>
    <w:rsid w:val="7EDF5DCB"/>
    <w:rsid w:val="7EE670B9"/>
    <w:rsid w:val="7EFF4BCA"/>
    <w:rsid w:val="7F5E8B05"/>
    <w:rsid w:val="7F7EE0A0"/>
    <w:rsid w:val="7FA73350"/>
    <w:rsid w:val="7FD79C1D"/>
    <w:rsid w:val="7FDDF8FF"/>
    <w:rsid w:val="7FFD400A"/>
    <w:rsid w:val="7FFF6497"/>
    <w:rsid w:val="8FCB850C"/>
    <w:rsid w:val="94A6740D"/>
    <w:rsid w:val="9DCC5798"/>
    <w:rsid w:val="9E9F80F4"/>
    <w:rsid w:val="A6336079"/>
    <w:rsid w:val="A9FF88A2"/>
    <w:rsid w:val="AB35C587"/>
    <w:rsid w:val="ABAB4981"/>
    <w:rsid w:val="AFDF2A86"/>
    <w:rsid w:val="B5FF598A"/>
    <w:rsid w:val="B76F7FAE"/>
    <w:rsid w:val="B77F1B2A"/>
    <w:rsid w:val="B8B6BB3A"/>
    <w:rsid w:val="BB8F1EEA"/>
    <w:rsid w:val="BBFB9E14"/>
    <w:rsid w:val="BCFF594D"/>
    <w:rsid w:val="BDDF0323"/>
    <w:rsid w:val="BDFE22B2"/>
    <w:rsid w:val="BFA73CD4"/>
    <w:rsid w:val="BFB93DCC"/>
    <w:rsid w:val="BFEDB184"/>
    <w:rsid w:val="C1EFC5AB"/>
    <w:rsid w:val="CFFD4498"/>
    <w:rsid w:val="D250CB9B"/>
    <w:rsid w:val="D3AFD3C4"/>
    <w:rsid w:val="D6EFF412"/>
    <w:rsid w:val="D7FF38C3"/>
    <w:rsid w:val="DB7B12FB"/>
    <w:rsid w:val="DB7F666F"/>
    <w:rsid w:val="DBA7C877"/>
    <w:rsid w:val="DBDB298F"/>
    <w:rsid w:val="DEB64DA9"/>
    <w:rsid w:val="DEBD4181"/>
    <w:rsid w:val="DED71154"/>
    <w:rsid w:val="DEEDD11C"/>
    <w:rsid w:val="DEFFF4F6"/>
    <w:rsid w:val="DF6FFBFC"/>
    <w:rsid w:val="DF7FCFF2"/>
    <w:rsid w:val="DF8EC5F9"/>
    <w:rsid w:val="DFBBC400"/>
    <w:rsid w:val="E5EDDC91"/>
    <w:rsid w:val="E7EF5B86"/>
    <w:rsid w:val="E9CF5AD0"/>
    <w:rsid w:val="EAC7DED5"/>
    <w:rsid w:val="EBFF5EC9"/>
    <w:rsid w:val="EBFF60A7"/>
    <w:rsid w:val="ED1F3A29"/>
    <w:rsid w:val="ED6E2A94"/>
    <w:rsid w:val="EDE7ACCF"/>
    <w:rsid w:val="EFEF9CB0"/>
    <w:rsid w:val="F4FE9EB4"/>
    <w:rsid w:val="F4FF857F"/>
    <w:rsid w:val="F5EF0677"/>
    <w:rsid w:val="F61FE30C"/>
    <w:rsid w:val="F6EDF173"/>
    <w:rsid w:val="F77FABB3"/>
    <w:rsid w:val="F7E73CF6"/>
    <w:rsid w:val="F7FE390C"/>
    <w:rsid w:val="F7FF6251"/>
    <w:rsid w:val="F9AF18BD"/>
    <w:rsid w:val="FAFB444A"/>
    <w:rsid w:val="FB3E6F01"/>
    <w:rsid w:val="FB7DE583"/>
    <w:rsid w:val="FB977709"/>
    <w:rsid w:val="FBBFC4AC"/>
    <w:rsid w:val="FBE0286C"/>
    <w:rsid w:val="FBFB694A"/>
    <w:rsid w:val="FCB589E4"/>
    <w:rsid w:val="FDCED1A2"/>
    <w:rsid w:val="FDDB3468"/>
    <w:rsid w:val="FDFF94B2"/>
    <w:rsid w:val="FEF6695B"/>
    <w:rsid w:val="FFAF58E4"/>
    <w:rsid w:val="FFBDFAF0"/>
    <w:rsid w:val="FFBFB0B6"/>
    <w:rsid w:val="FFF79AA3"/>
    <w:rsid w:val="FFFDAFE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footer"/>
    <w:basedOn w:val="1"/>
    <w:semiHidden/>
    <w:qFormat/>
    <w:uiPriority w:val="0"/>
    <w:pPr>
      <w:tabs>
        <w:tab w:val="center" w:pos="4153"/>
        <w:tab w:val="right" w:pos="8306"/>
      </w:tabs>
      <w:snapToGrid w:val="0"/>
      <w:jc w:val="left"/>
    </w:pPr>
    <w:rPr>
      <w:sz w:val="18"/>
      <w:szCs w:val="18"/>
    </w:rPr>
  </w:style>
  <w:style w:type="paragraph" w:styleId="3">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5">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2019-03-07T19:04:00Z</dcterms:created>
  <dc:creator>信仰</dc:creator>
  <cp:lastModifiedBy>Administrator</cp:lastModifiedBy>
  <cp:lastPrinted>2019-06-17T00:58:00Z</cp:lastPrinted>
  <dcterms:modified xsi:type="dcterms:W3CDTF">2023-11-03T09:03:40Z</dcterms:modified>
  <dc:title>鹤政复决〔2019〕1号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