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z w:val="56"/>
          <w:szCs w:val="96"/>
        </w:rPr>
      </w:pPr>
    </w:p>
    <w:p>
      <w:pPr>
        <w:jc w:val="center"/>
        <w:rPr>
          <w:rFonts w:hint="eastAsia" w:ascii="方正小标宋简体" w:hAnsi="方正小标宋简体" w:eastAsia="方正小标宋简体" w:cs="方正小标宋简体"/>
          <w:sz w:val="56"/>
          <w:szCs w:val="96"/>
        </w:rPr>
      </w:pPr>
    </w:p>
    <w:p>
      <w:pPr>
        <w:jc w:val="center"/>
        <w:rPr>
          <w:rFonts w:hint="eastAsia" w:ascii="方正小标宋简体" w:hAnsi="方正小标宋简体" w:eastAsia="方正小标宋简体" w:cs="方正小标宋简体"/>
          <w:sz w:val="56"/>
          <w:szCs w:val="96"/>
        </w:rPr>
      </w:pPr>
      <w:r>
        <w:rPr>
          <w:rFonts w:hint="eastAsia" w:ascii="方正小标宋简体" w:hAnsi="方正小标宋简体" w:eastAsia="方正小标宋简体" w:cs="方正小标宋简体"/>
          <w:sz w:val="56"/>
          <w:szCs w:val="96"/>
        </w:rPr>
        <w:t>方城县2023年巩固脱贫攻坚成果行业政策解读汇编</w:t>
      </w:r>
    </w:p>
    <w:p>
      <w:pPr>
        <w:jc w:val="center"/>
        <w:rPr>
          <w:rFonts w:hint="eastAsia" w:ascii="方正小标宋简体" w:hAnsi="方正小标宋简体" w:eastAsia="方正小标宋简体" w:cs="方正小标宋简体"/>
          <w:sz w:val="56"/>
          <w:szCs w:val="96"/>
        </w:rPr>
      </w:pPr>
    </w:p>
    <w:p>
      <w:pPr>
        <w:jc w:val="center"/>
        <w:rPr>
          <w:rFonts w:hint="eastAsia" w:ascii="方正小标宋简体" w:hAnsi="方正小标宋简体" w:eastAsia="方正小标宋简体" w:cs="方正小标宋简体"/>
          <w:sz w:val="56"/>
          <w:szCs w:val="96"/>
        </w:rPr>
      </w:pPr>
    </w:p>
    <w:p>
      <w:pPr>
        <w:jc w:val="center"/>
        <w:rPr>
          <w:rFonts w:hint="eastAsia" w:ascii="方正小标宋简体" w:hAnsi="方正小标宋简体" w:eastAsia="方正小标宋简体" w:cs="方正小标宋简体"/>
          <w:sz w:val="56"/>
          <w:szCs w:val="96"/>
        </w:rPr>
      </w:pPr>
    </w:p>
    <w:p>
      <w:pPr>
        <w:jc w:val="center"/>
        <w:rPr>
          <w:rFonts w:hint="eastAsia" w:ascii="方正小标宋简体" w:hAnsi="方正小标宋简体" w:eastAsia="方正小标宋简体" w:cs="方正小标宋简体"/>
          <w:sz w:val="56"/>
          <w:szCs w:val="96"/>
        </w:rPr>
      </w:pPr>
    </w:p>
    <w:p>
      <w:pPr>
        <w:jc w:val="both"/>
        <w:rPr>
          <w:rFonts w:hint="eastAsia" w:ascii="方正小标宋简体" w:hAnsi="方正小标宋简体" w:eastAsia="方正小标宋简体" w:cs="方正小标宋简体"/>
          <w:sz w:val="56"/>
          <w:szCs w:val="96"/>
        </w:rPr>
      </w:pPr>
    </w:p>
    <w:p>
      <w:pPr>
        <w:jc w:val="both"/>
        <w:rPr>
          <w:rFonts w:hint="eastAsia" w:ascii="方正小标宋简体" w:hAnsi="方正小标宋简体" w:eastAsia="方正小标宋简体" w:cs="方正小标宋简体"/>
          <w:sz w:val="56"/>
          <w:szCs w:val="96"/>
        </w:rPr>
      </w:pPr>
    </w:p>
    <w:p>
      <w:pPr>
        <w:jc w:val="center"/>
        <w:rPr>
          <w:rFonts w:hint="eastAsia" w:ascii="方正小标宋简体" w:hAnsi="方正小标宋简体" w:eastAsia="方正小标宋简体" w:cs="方正小标宋简体"/>
          <w:sz w:val="56"/>
          <w:szCs w:val="96"/>
        </w:rPr>
      </w:pPr>
    </w:p>
    <w:p>
      <w:pPr>
        <w:jc w:val="center"/>
        <w:rPr>
          <w:rFonts w:hint="default" w:ascii="方正小标宋简体" w:hAnsi="方正小标宋简体" w:eastAsia="方正小标宋简体" w:cs="方正小标宋简体"/>
          <w:sz w:val="56"/>
          <w:szCs w:val="96"/>
          <w:lang w:val="en-US" w:eastAsia="zh-CN"/>
        </w:rPr>
      </w:pPr>
      <w:r>
        <w:rPr>
          <w:rFonts w:hint="eastAsia" w:ascii="方正小标宋简体" w:hAnsi="方正小标宋简体" w:eastAsia="方正小标宋简体" w:cs="方正小标宋简体"/>
          <w:sz w:val="56"/>
          <w:szCs w:val="96"/>
          <w:lang w:val="en-US" w:eastAsia="zh-CN"/>
        </w:rPr>
        <w:t>2023年8月</w:t>
      </w:r>
    </w:p>
    <w:p>
      <w:pPr>
        <w:jc w:val="both"/>
        <w:rPr>
          <w:rFonts w:hint="eastAsia" w:ascii="方正小标宋简体" w:hAnsi="方正小标宋简体" w:eastAsia="方正小标宋简体" w:cs="方正小标宋简体"/>
          <w:sz w:val="56"/>
          <w:szCs w:val="96"/>
        </w:rPr>
      </w:pPr>
    </w:p>
    <w:p>
      <w:pPr>
        <w:jc w:val="center"/>
        <w:rPr>
          <w:rFonts w:hint="eastAsia" w:ascii="方正小标宋简体" w:hAnsi="方正小标宋简体" w:eastAsia="方正小标宋简体" w:cs="方正小标宋简体"/>
          <w:sz w:val="56"/>
          <w:szCs w:val="96"/>
        </w:rPr>
      </w:pPr>
    </w:p>
    <w:p>
      <w:pPr>
        <w:jc w:val="center"/>
        <w:rPr>
          <w:rFonts w:hint="eastAsia" w:ascii="方正小标宋简体" w:hAnsi="方正小标宋简体" w:eastAsia="方正小标宋简体" w:cs="方正小标宋简体"/>
          <w:sz w:val="56"/>
          <w:szCs w:val="96"/>
        </w:rPr>
      </w:pPr>
    </w:p>
    <w:p>
      <w:pPr>
        <w:jc w:val="center"/>
        <w:rPr>
          <w:rFonts w:hint="eastAsia" w:ascii="方正小标宋简体" w:hAnsi="方正小标宋简体" w:eastAsia="方正小标宋简体" w:cs="方正小标宋简体"/>
          <w:sz w:val="56"/>
          <w:szCs w:val="96"/>
        </w:rPr>
      </w:pPr>
      <w:r>
        <w:rPr>
          <w:rFonts w:hint="eastAsia" w:ascii="方正小标宋简体" w:hAnsi="方正小标宋简体" w:eastAsia="方正小标宋简体" w:cs="方正小标宋简体"/>
          <w:sz w:val="56"/>
          <w:szCs w:val="96"/>
        </w:rPr>
        <w:t>目</w:t>
      </w:r>
      <w:r>
        <w:rPr>
          <w:rFonts w:hint="eastAsia" w:ascii="方正小标宋简体" w:hAnsi="方正小标宋简体" w:eastAsia="方正小标宋简体" w:cs="方正小标宋简体"/>
          <w:sz w:val="56"/>
          <w:szCs w:val="96"/>
          <w:lang w:val="en-US" w:eastAsia="zh-CN"/>
        </w:rPr>
        <w:t xml:space="preserve">  </w:t>
      </w:r>
      <w:r>
        <w:rPr>
          <w:rFonts w:hint="eastAsia" w:ascii="方正小标宋简体" w:hAnsi="方正小标宋简体" w:eastAsia="方正小标宋简体" w:cs="方正小标宋简体"/>
          <w:sz w:val="56"/>
          <w:szCs w:val="96"/>
        </w:rPr>
        <w:t>录</w:t>
      </w:r>
    </w:p>
    <w:p>
      <w:pPr>
        <w:jc w:val="center"/>
        <w:rPr>
          <w:rFonts w:hint="eastAsia" w:ascii="方正小标宋简体" w:hAnsi="方正小标宋简体" w:eastAsia="方正小标宋简体" w:cs="方正小标宋简体"/>
          <w:sz w:val="56"/>
          <w:szCs w:val="96"/>
        </w:rPr>
      </w:pPr>
    </w:p>
    <w:p>
      <w:pPr>
        <w:ind w:firstLine="440" w:firstLineChars="100"/>
        <w:jc w:val="both"/>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1、防返贫动态监测和帮扶政策解读（1-11）</w:t>
      </w:r>
    </w:p>
    <w:p>
      <w:pPr>
        <w:ind w:firstLine="440" w:firstLineChars="1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兜底保障政策</w:t>
      </w:r>
      <w:r>
        <w:rPr>
          <w:rFonts w:hint="eastAsia" w:ascii="方正小标宋简体" w:hAnsi="方正小标宋简体" w:eastAsia="方正小标宋简体" w:cs="方正小标宋简体"/>
          <w:sz w:val="44"/>
          <w:szCs w:val="44"/>
          <w:lang w:val="en-US" w:eastAsia="zh-CN"/>
        </w:rPr>
        <w:t>解读（12-13）</w:t>
      </w:r>
    </w:p>
    <w:p>
      <w:pPr>
        <w:ind w:firstLine="440" w:firstLineChars="100"/>
        <w:jc w:val="both"/>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教育帮扶政策</w:t>
      </w:r>
      <w:r>
        <w:rPr>
          <w:rFonts w:hint="eastAsia" w:ascii="方正小标宋简体" w:hAnsi="方正小标宋简体" w:eastAsia="方正小标宋简体" w:cs="方正小标宋简体"/>
          <w:sz w:val="44"/>
          <w:szCs w:val="44"/>
          <w:lang w:val="en-US" w:eastAsia="zh-CN"/>
        </w:rPr>
        <w:t>解读（14-19）</w:t>
      </w:r>
    </w:p>
    <w:p>
      <w:pPr>
        <w:ind w:firstLine="440" w:firstLineChars="1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就业帮扶政策</w:t>
      </w:r>
      <w:r>
        <w:rPr>
          <w:rFonts w:hint="eastAsia" w:ascii="方正小标宋简体" w:hAnsi="方正小标宋简体" w:eastAsia="方正小标宋简体" w:cs="方正小标宋简体"/>
          <w:sz w:val="44"/>
          <w:szCs w:val="44"/>
          <w:lang w:val="en-US" w:eastAsia="zh-CN"/>
        </w:rPr>
        <w:t>解读（20-23）</w:t>
      </w:r>
    </w:p>
    <w:p>
      <w:pPr>
        <w:ind w:firstLine="440" w:firstLineChars="1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健康帮扶政策</w:t>
      </w:r>
      <w:r>
        <w:rPr>
          <w:rFonts w:hint="eastAsia" w:ascii="方正小标宋简体" w:hAnsi="方正小标宋简体" w:eastAsia="方正小标宋简体" w:cs="方正小标宋简体"/>
          <w:sz w:val="44"/>
          <w:szCs w:val="44"/>
          <w:lang w:val="en-US" w:eastAsia="zh-CN"/>
        </w:rPr>
        <w:t>解读（24-30）</w:t>
      </w:r>
    </w:p>
    <w:p>
      <w:pPr>
        <w:ind w:firstLine="440" w:firstLineChars="1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6、</w:t>
      </w:r>
      <w:r>
        <w:rPr>
          <w:rFonts w:hint="eastAsia" w:ascii="方正小标宋简体" w:hAnsi="方正小标宋简体" w:eastAsia="方正小标宋简体" w:cs="方正小标宋简体"/>
          <w:sz w:val="44"/>
          <w:szCs w:val="44"/>
        </w:rPr>
        <w:t>医疗保障政策</w:t>
      </w:r>
      <w:r>
        <w:rPr>
          <w:rFonts w:hint="eastAsia" w:ascii="方正小标宋简体" w:hAnsi="方正小标宋简体" w:eastAsia="方正小标宋简体" w:cs="方正小标宋简体"/>
          <w:sz w:val="44"/>
          <w:szCs w:val="44"/>
          <w:lang w:val="en-US" w:eastAsia="zh-CN"/>
        </w:rPr>
        <w:t>解读（38-49）</w:t>
      </w:r>
    </w:p>
    <w:p>
      <w:pPr>
        <w:ind w:firstLine="440" w:firstLineChars="1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7、</w:t>
      </w:r>
      <w:r>
        <w:rPr>
          <w:rFonts w:hint="eastAsia" w:ascii="方正小标宋简体" w:hAnsi="方正小标宋简体" w:eastAsia="方正小标宋简体" w:cs="方正小标宋简体"/>
          <w:sz w:val="44"/>
          <w:szCs w:val="44"/>
        </w:rPr>
        <w:t>残疾保障政策</w:t>
      </w:r>
      <w:r>
        <w:rPr>
          <w:rFonts w:hint="eastAsia" w:ascii="方正小标宋简体" w:hAnsi="方正小标宋简体" w:eastAsia="方正小标宋简体" w:cs="方正小标宋简体"/>
          <w:sz w:val="44"/>
          <w:szCs w:val="44"/>
          <w:lang w:val="en-US" w:eastAsia="zh-CN"/>
        </w:rPr>
        <w:t>解读（50-55）</w:t>
      </w:r>
    </w:p>
    <w:p>
      <w:pPr>
        <w:ind w:firstLine="440" w:firstLineChars="1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8、</w:t>
      </w:r>
      <w:r>
        <w:rPr>
          <w:rFonts w:hint="eastAsia" w:ascii="方正小标宋简体" w:hAnsi="方正小标宋简体" w:eastAsia="方正小标宋简体" w:cs="方正小标宋简体"/>
          <w:sz w:val="44"/>
          <w:szCs w:val="44"/>
        </w:rPr>
        <w:t>饮水安全政策</w:t>
      </w:r>
      <w:r>
        <w:rPr>
          <w:rFonts w:hint="eastAsia" w:ascii="方正小标宋简体" w:hAnsi="方正小标宋简体" w:eastAsia="方正小标宋简体" w:cs="方正小标宋简体"/>
          <w:sz w:val="44"/>
          <w:szCs w:val="44"/>
          <w:lang w:val="en-US" w:eastAsia="zh-CN"/>
        </w:rPr>
        <w:t>解读（52-57）</w:t>
      </w:r>
    </w:p>
    <w:p>
      <w:pPr>
        <w:ind w:firstLine="440" w:firstLineChars="100"/>
        <w:jc w:val="both"/>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9、</w:t>
      </w:r>
      <w:r>
        <w:rPr>
          <w:rFonts w:hint="eastAsia" w:ascii="方正小标宋简体" w:hAnsi="方正小标宋简体" w:eastAsia="方正小标宋简体" w:cs="方正小标宋简体"/>
          <w:sz w:val="44"/>
          <w:szCs w:val="44"/>
        </w:rPr>
        <w:t>危房改造政策</w:t>
      </w:r>
      <w:r>
        <w:rPr>
          <w:rFonts w:hint="eastAsia" w:ascii="方正小标宋简体" w:hAnsi="方正小标宋简体" w:eastAsia="方正小标宋简体" w:cs="方正小标宋简体"/>
          <w:sz w:val="44"/>
          <w:szCs w:val="44"/>
          <w:lang w:val="en-US" w:eastAsia="zh-CN"/>
        </w:rPr>
        <w:t>解读（56-57）</w:t>
      </w:r>
    </w:p>
    <w:p>
      <w:pPr>
        <w:ind w:firstLine="880" w:firstLineChars="200"/>
        <w:jc w:val="both"/>
        <w:rPr>
          <w:rFonts w:hint="eastAsia" w:ascii="方正小标宋简体" w:hAnsi="方正小标宋简体" w:eastAsia="方正小标宋简体" w:cs="方正小标宋简体"/>
          <w:sz w:val="44"/>
          <w:szCs w:val="44"/>
          <w:lang w:val="en-US" w:eastAsia="zh-CN"/>
        </w:rPr>
      </w:pPr>
    </w:p>
    <w:p/>
    <w:p/>
    <w:p/>
    <w:p/>
    <w:p/>
    <w:p/>
    <w:p/>
    <w:p/>
    <w:p>
      <w:pPr>
        <w:pStyle w:val="2"/>
        <w:keepNext w:val="0"/>
        <w:keepLines w:val="0"/>
        <w:pageBreakBefore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lang w:val="en-US" w:eastAsia="zh-CN"/>
        </w:rPr>
        <w:sectPr>
          <w:footerReference r:id="rId3" w:type="default"/>
          <w:pgSz w:w="11906" w:h="16838"/>
          <w:pgMar w:top="1440" w:right="1800" w:bottom="1440" w:left="1800" w:header="851" w:footer="992" w:gutter="0"/>
          <w:pgNumType w:fmt="numberInDash"/>
          <w:cols w:space="425" w:num="1"/>
          <w:docGrid w:type="lines" w:linePitch="312" w:charSpace="0"/>
        </w:sectPr>
      </w:pPr>
      <w:bookmarkStart w:id="0" w:name="_Toc20488"/>
      <w:bookmarkStart w:id="1" w:name="_Toc249"/>
    </w:p>
    <w:p>
      <w:pPr>
        <w:pStyle w:val="2"/>
        <w:keepNext w:val="0"/>
        <w:keepLines w:val="0"/>
        <w:pageBreakBefore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防返贫动态监测和帮扶政策解读</w:t>
      </w:r>
    </w:p>
    <w:p>
      <w:pPr>
        <w:keepNext w:val="0"/>
        <w:keepLines w:val="0"/>
        <w:pageBreakBefore w:val="0"/>
        <w:kinsoku/>
        <w:wordWrap/>
        <w:bidi w:val="0"/>
        <w:spacing w:line="560" w:lineRule="exact"/>
        <w:rPr>
          <w:rFonts w:hint="eastAsia"/>
          <w:lang w:val="en-US" w:eastAsia="zh-CN"/>
        </w:rPr>
      </w:pPr>
    </w:p>
    <w:p>
      <w:pPr>
        <w:pStyle w:val="3"/>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一、防返贫监测帮扶工作</w:t>
      </w:r>
    </w:p>
    <w:p>
      <w:pPr>
        <w:pStyle w:val="3"/>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 xml:space="preserve">防返贫监测帮扶的根本目的是要防止规模性返贫致贫。我省的目标是:一人不返贫,无人新致贫。要做到这一点,就要切实做到应纳尽纳、精准帮扶、应退慎退。 </w:t>
      </w:r>
    </w:p>
    <w:p>
      <w:pPr>
        <w:pStyle w:val="3"/>
        <w:keepNext w:val="0"/>
        <w:keepLines w:val="0"/>
        <w:pageBreakBefore w:val="0"/>
        <w:widowControl/>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b/>
          <w:bCs/>
          <w:color w:val="auto"/>
          <w:sz w:val="32"/>
          <w:szCs w:val="32"/>
          <w:lang w:val="en-US" w:eastAsia="zh-CN" w:bidi="ar-SA"/>
        </w:rPr>
      </w:pPr>
      <w:r>
        <w:rPr>
          <w:rFonts w:hint="eastAsia" w:ascii="仿宋_GB2312" w:hAnsi="仿宋_GB2312" w:eastAsia="仿宋_GB2312" w:cs="仿宋_GB2312"/>
          <w:b/>
          <w:bCs/>
          <w:color w:val="auto"/>
          <w:sz w:val="32"/>
          <w:szCs w:val="32"/>
          <w:lang w:val="en-US" w:eastAsia="zh-CN" w:bidi="ar-SA"/>
        </w:rPr>
        <w:t xml:space="preserve">(一)应纳尽纳 </w:t>
      </w:r>
    </w:p>
    <w:p>
      <w:pPr>
        <w:pStyle w:val="3"/>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 xml:space="preserve">要做到应纳尽纳就要开展集中排查和常态化排查,使排查全天候,农户全覆盖,做到及时发现、及时识别、动态管理。 </w:t>
      </w:r>
    </w:p>
    <w:p>
      <w:pPr>
        <w:pStyle w:val="2"/>
        <w:keepNext w:val="0"/>
        <w:keepLines w:val="0"/>
        <w:pageBreakBefore w:val="0"/>
        <w:widowControl/>
        <w:numPr>
          <w:ilvl w:val="0"/>
          <w:numId w:val="1"/>
        </w:numPr>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b/>
          <w:bCs/>
          <w:color w:val="auto"/>
          <w:sz w:val="32"/>
          <w:szCs w:val="32"/>
          <w:lang w:val="en-US" w:eastAsia="zh-CN" w:bidi="ar-SA"/>
        </w:rPr>
        <w:t>监测范围。</w:t>
      </w:r>
      <w:r>
        <w:rPr>
          <w:rFonts w:hint="eastAsia" w:ascii="仿宋_GB2312" w:hAnsi="仿宋_GB2312" w:eastAsia="仿宋_GB2312" w:cs="仿宋_GB2312"/>
          <w:color w:val="auto"/>
          <w:sz w:val="32"/>
          <w:szCs w:val="32"/>
          <w:lang w:val="en-US" w:eastAsia="zh-CN" w:bidi="ar-SA"/>
        </w:rPr>
        <w:t>所谓监测范围,就是过去的识别标准。我省2023年监测范围收入参考范围是7500元,同时考虑 “两不愁三保障”和饮水安全,综合判定返贫致贫风险。也就是说,一般农户、脱贫户人均纯收入低于7500元的,原则上都要纳入;高于7500元的,综合考虑 “两不愁三保障”和刚性支出情况,存在返贫致贫风险的,也要纳入。</w:t>
      </w:r>
    </w:p>
    <w:p>
      <w:pPr>
        <w:pStyle w:val="3"/>
        <w:keepNext w:val="0"/>
        <w:keepLines w:val="0"/>
        <w:pageBreakBefore w:val="0"/>
        <w:widowControl/>
        <w:numPr>
          <w:ilvl w:val="0"/>
          <w:numId w:val="1"/>
        </w:numPr>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b/>
          <w:bCs/>
          <w:color w:val="auto"/>
          <w:sz w:val="32"/>
          <w:szCs w:val="32"/>
          <w:lang w:val="en-US" w:eastAsia="zh-CN" w:bidi="ar-SA"/>
        </w:rPr>
        <w:t>排查方式。</w:t>
      </w:r>
      <w:r>
        <w:rPr>
          <w:rFonts w:hint="eastAsia" w:ascii="仿宋_GB2312" w:hAnsi="仿宋_GB2312" w:eastAsia="仿宋_GB2312" w:cs="仿宋_GB2312"/>
          <w:color w:val="auto"/>
          <w:sz w:val="32"/>
          <w:szCs w:val="32"/>
          <w:lang w:val="en-US" w:eastAsia="zh-CN" w:bidi="ar-SA"/>
        </w:rPr>
        <w:t>有集中排查和常态化排查两种。</w:t>
      </w:r>
      <w:r>
        <w:rPr>
          <w:rFonts w:hint="eastAsia" w:ascii="仿宋_GB2312" w:hAnsi="仿宋_GB2312" w:eastAsia="仿宋_GB2312" w:cs="仿宋_GB2312"/>
          <w:b/>
          <w:bCs/>
          <w:color w:val="auto"/>
          <w:sz w:val="32"/>
          <w:szCs w:val="32"/>
          <w:lang w:val="en-US" w:eastAsia="zh-CN" w:bidi="ar-SA"/>
        </w:rPr>
        <w:t>集中排查</w:t>
      </w:r>
      <w:r>
        <w:rPr>
          <w:rFonts w:hint="eastAsia" w:ascii="仿宋_GB2312" w:hAnsi="仿宋_GB2312" w:eastAsia="仿宋_GB2312" w:cs="仿宋_GB2312"/>
          <w:color w:val="auto"/>
          <w:sz w:val="32"/>
          <w:szCs w:val="32"/>
          <w:lang w:val="en-US" w:eastAsia="zh-CN" w:bidi="ar-SA"/>
        </w:rPr>
        <w:t>我省每年安排两次，每次一个半月左右，其他时间都是常态化排查。常态化排查的标准、程序和集中排查完全一样，不一样的是排查方式。集中排查是拉网式排查，常态化排查是重点排查。主要有三种方式。一是村组干部排查。乡村干部、驻村干部、网格员等结合日常走访进行排查，及时把因天灾人祸等陷入困难的农户纳进来。二是部门筛查预警。行业部门及时将“两不愁三保障及饮水安全疑似问题和因病、因灾、因意外事故等刚性支出较大或收入大幅减少的信息推送基层，进行逐户核实，符合条件的及时纳入。三是农户自主申报。农户本人或委托他人向村委会提出申请，或通过APP、拨打服务咨询电话等途径申报，乡村要及时受理并核实，符合条件的及时纳入，不符合条件的讲清政策。</w:t>
      </w:r>
    </w:p>
    <w:p>
      <w:pPr>
        <w:pStyle w:val="3"/>
        <w:keepNext w:val="0"/>
        <w:keepLines w:val="0"/>
        <w:pageBreakBefore w:val="0"/>
        <w:widowControl/>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b/>
          <w:bCs/>
          <w:color w:val="auto"/>
          <w:sz w:val="32"/>
          <w:szCs w:val="32"/>
          <w:lang w:val="en-US" w:eastAsia="zh-CN" w:bidi="ar-SA"/>
        </w:rPr>
        <w:t>常态化排查。</w:t>
      </w:r>
      <w:r>
        <w:rPr>
          <w:rFonts w:hint="eastAsia" w:ascii="仿宋_GB2312" w:hAnsi="仿宋_GB2312" w:eastAsia="仿宋_GB2312" w:cs="仿宋_GB2312"/>
          <w:color w:val="auto"/>
          <w:sz w:val="32"/>
          <w:szCs w:val="32"/>
          <w:lang w:val="en-US" w:eastAsia="zh-CN" w:bidi="ar-SA"/>
        </w:rPr>
        <w:t>村支书每月至少召开1次防返贫预警监测排查研判会。每月对常态化排查和系统预警的重点群体进行分析研判，对户家收入、就业、刚性大额支出、“两不愁、三保障”和饮水安全等情况入户核实、会议审核，记好会议记录。</w:t>
      </w:r>
    </w:p>
    <w:p>
      <w:pPr>
        <w:pStyle w:val="3"/>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村干部要掌握排查方式和基本要求；掌握排查重点人群、重点群体、重点内容、重点区域的概念；掌握监测对象识别纳入的条件和程序；农户外出一年以上要建立台账；对农户进行入户填写的排查表不能存在空项漏项和逻辑错误；排查表、民主评议会、报告批复、公示公告等程序性资料要符合逻辑，并整理归档。</w:t>
      </w:r>
    </w:p>
    <w:p>
      <w:pPr>
        <w:pStyle w:val="2"/>
        <w:keepNext w:val="0"/>
        <w:keepLines w:val="0"/>
        <w:pageBreakBefore w:val="0"/>
        <w:widowControl w:val="0"/>
        <w:kinsoku/>
        <w:wordWrap/>
        <w:overflowPunct/>
        <w:topLinePunct w:val="0"/>
        <w:autoSpaceDE/>
        <w:autoSpaceDN/>
        <w:bidi w:val="0"/>
        <w:spacing w:after="0" w:line="560" w:lineRule="exact"/>
        <w:ind w:firstLine="643" w:firstLineChars="200"/>
        <w:textAlignment w:val="auto"/>
        <w:rPr>
          <w:rFonts w:hint="eastAsia" w:ascii="仿宋_GB2312" w:hAnsi="仿宋_GB2312" w:eastAsia="仿宋_GB2312" w:cs="仿宋_GB2312"/>
          <w:b/>
          <w:bCs/>
          <w:color w:val="auto"/>
          <w:sz w:val="32"/>
          <w:szCs w:val="32"/>
          <w:lang w:val="en-US" w:eastAsia="zh-CN" w:bidi="ar-SA"/>
        </w:rPr>
      </w:pPr>
      <w:r>
        <w:rPr>
          <w:rFonts w:hint="eastAsia" w:ascii="仿宋_GB2312" w:hAnsi="仿宋_GB2312" w:eastAsia="仿宋_GB2312" w:cs="仿宋_GB2312"/>
          <w:b/>
          <w:bCs/>
          <w:color w:val="auto"/>
          <w:sz w:val="32"/>
          <w:szCs w:val="32"/>
          <w:lang w:val="en-US" w:eastAsia="zh-CN" w:bidi="ar-SA"/>
        </w:rPr>
        <w:t>3.识别程序</w:t>
      </w:r>
    </w:p>
    <w:p>
      <w:pPr>
        <w:keepNext w:val="0"/>
        <w:keepLines w:val="0"/>
        <w:pageBreakBefore w:val="0"/>
        <w:widowControl w:val="0"/>
        <w:shd w:val="clear" w:color="auto" w:fill="auto"/>
        <w:kinsoku/>
        <w:wordWrap/>
        <w:overflowPunct/>
        <w:topLinePunct/>
        <w:autoSpaceDE/>
        <w:autoSpaceDN/>
        <w:bidi w:val="0"/>
        <w:adjustRightInd/>
        <w:snapToGrid/>
        <w:spacing w:line="560" w:lineRule="exact"/>
        <w:ind w:left="0" w:leftChars="0" w:firstLine="640" w:firstLineChars="200"/>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(1)入户核实。针对基层干部排查、部门筛查预警、农户自主申报等途径发现的风险线索，村级组织对农户家庭收入支出、“三保障”及饮水安全、返贫致贫风险等情况进行入户核实，填写《防止返贫动态监测核查表》。有申报监测对象意愿的农户，逐户签订承诺授权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(2)信息比对。村级及时收集汇总签订承诺授权书的农户信息，通过乡(镇、街道)统一报送县级乡村振兴部门开展信息比对、反馈比对结果。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(3)村级初选。村级根据比对反馈信息，结合家庭基本情况、返贫致贫风险等综合研判，通过民主评议确定初选监测对象并在村内进行公示，公示时间不少于5天。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(4)乡级审核。乡(镇、街道)对村级上报的公示无异议的初选监测对象及时审核，确定拟纳入监测对象名单，报县级乡村振兴部门审核批准。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(5)县级审批。县级乡村振兴部门对乡(镇、街道)上报的拟纳入监测对象名单，结合信息比对等有关情况，进行汇总审核，及时报县级党委农村工作领导小组（或巩固拓展脱贫攻坚成果同乡村振兴有效衔接领导小组）批准或授权批准，并将审批结果推送乡（镇、街道）。</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(6)结果公告。以乡(镇、街道)名义将县级审批后的监测对象名单在所在村公告。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(7)录入建档。由乡(镇、街道)组织村级将监测对象信息录入全国防返贫监测信息系统并建立相关档案。</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bidi="ar-SA"/>
        </w:rPr>
      </w:pPr>
      <w:r>
        <w:rPr>
          <w:rFonts w:hint="eastAsia" w:ascii="仿宋_GB2312" w:hAnsi="仿宋_GB2312" w:eastAsia="仿宋_GB2312" w:cs="仿宋_GB2312"/>
          <w:b/>
          <w:bCs/>
          <w:color w:val="auto"/>
          <w:sz w:val="32"/>
          <w:szCs w:val="32"/>
          <w:lang w:val="en-US" w:eastAsia="zh-CN" w:bidi="ar-SA"/>
        </w:rPr>
        <w:t>4.识别要求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从农户申报、干部排查、部门预警发现风险线索之日起，到县级完成审核批准时间，一般不超过15天。要提高工作时效，监测对象认定的信息比对与识别程序可以同步进行，推动防止返贫监测和低收入人口动态监测平台数据共享、比对结果共用，对新纳入低保对象已开展过信息比对的，可不重复比对。</w:t>
      </w:r>
    </w:p>
    <w:p>
      <w:pPr>
        <w:pStyle w:val="2"/>
        <w:keepNext w:val="0"/>
        <w:keepLines w:val="0"/>
        <w:pageBreakBefore w:val="0"/>
        <w:kinsoku/>
        <w:wordWrap/>
        <w:overflowPunct/>
        <w:topLinePunct w:val="0"/>
        <w:autoSpaceDE/>
        <w:autoSpaceDN/>
        <w:bidi w:val="0"/>
        <w:spacing w:after="0" w:line="560" w:lineRule="exact"/>
        <w:ind w:firstLine="643" w:firstLineChars="200"/>
        <w:textAlignment w:val="auto"/>
        <w:rPr>
          <w:rFonts w:hint="eastAsia" w:ascii="仿宋_GB2312" w:hAnsi="仿宋_GB2312" w:eastAsia="仿宋_GB2312" w:cs="仿宋_GB2312"/>
          <w:b/>
          <w:bCs/>
          <w:color w:val="auto"/>
          <w:sz w:val="32"/>
          <w:szCs w:val="32"/>
          <w:lang w:val="en-US" w:eastAsia="zh-CN" w:bidi="ar-SA"/>
        </w:rPr>
      </w:pPr>
      <w:r>
        <w:rPr>
          <w:rFonts w:hint="eastAsia" w:ascii="仿宋_GB2312" w:hAnsi="仿宋_GB2312" w:eastAsia="仿宋_GB2312" w:cs="仿宋_GB2312"/>
          <w:b/>
          <w:bCs/>
          <w:color w:val="auto"/>
          <w:sz w:val="32"/>
          <w:szCs w:val="32"/>
          <w:lang w:val="en-US" w:eastAsia="zh-CN" w:bidi="ar-SA"/>
        </w:rPr>
        <w:t>5.分类标准</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纳入监测对象和标注风险消除计算收入时，以识别（风险消除）月份的上一个月为节点，向前倒推一年的收入来计算（例：识别时间为2023年8月，收入计算周期为2022年8月1日—2023年7月31日）。</w:t>
      </w:r>
    </w:p>
    <w:p>
      <w:pPr>
        <w:pStyle w:val="2"/>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家庭人均纯收入=家庭纯收入(工资性收入+生产经营性收入-生产经营性支出+ 财产性收入+转移性收入)÷家庭人口数。区分脱贫不稳定户、边缘易致贫户与突出严重困难户的依据。</w:t>
      </w:r>
    </w:p>
    <w:p>
      <w:pPr>
        <w:pStyle w:val="5"/>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脱贫户人均纯收入低于7500元的，归类为脱贫不稳定户；人均纯收入高于7500元的，如家里出现状况有返贫风险，归类为突发严重困难户。一般农户人均纯收入低于7500元的归类为边缘易致贫户，人均纯收入高于7500元，但是有致贫风险，归类为突发严重困难户。</w:t>
      </w:r>
    </w:p>
    <w:p>
      <w:pPr>
        <w:pStyle w:val="2"/>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bidi="ar-SA"/>
        </w:rPr>
        <w:t xml:space="preserve">    纳入监测对象的人均收入参考范围=（家庭纯收入+理赔收入-合规自付支出）/家庭人口数。确定监测对象的参考。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bidi="ar-SA"/>
        </w:rPr>
      </w:pPr>
      <w:r>
        <w:rPr>
          <w:rFonts w:hint="eastAsia" w:ascii="仿宋_GB2312" w:hAnsi="仿宋_GB2312" w:eastAsia="仿宋_GB2312" w:cs="仿宋_GB2312"/>
          <w:b/>
          <w:bCs/>
          <w:color w:val="auto"/>
          <w:sz w:val="32"/>
          <w:szCs w:val="32"/>
          <w:lang w:val="en-US" w:eastAsia="zh-CN" w:bidi="ar-SA"/>
        </w:rPr>
        <w:t xml:space="preserve">(二)精准帮扶 </w:t>
      </w:r>
    </w:p>
    <w:p>
      <w:pPr>
        <w:keepNext w:val="0"/>
        <w:keepLines w:val="0"/>
        <w:pageBreakBefore w:val="0"/>
        <w:widowControl w:val="0"/>
        <w:shd w:val="clear" w:color="auto" w:fill="auto"/>
        <w:kinsoku/>
        <w:wordWrap/>
        <w:overflowPunct/>
        <w:topLinePunct/>
        <w:autoSpaceDE/>
        <w:autoSpaceDN/>
        <w:bidi w:val="0"/>
        <w:adjustRightInd/>
        <w:snapToGrid/>
        <w:spacing w:line="560" w:lineRule="exact"/>
        <w:ind w:left="0" w:leftChars="0" w:firstLine="643" w:firstLineChars="200"/>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b/>
          <w:sz w:val="32"/>
          <w:szCs w:val="32"/>
        </w:rPr>
        <w:t>1.</w:t>
      </w:r>
      <w:r>
        <w:rPr>
          <w:rFonts w:hint="eastAsia" w:ascii="仿宋_GB2312" w:hAnsi="仿宋_GB2312" w:eastAsia="仿宋_GB2312" w:cs="仿宋_GB2312"/>
          <w:b/>
          <w:sz w:val="32"/>
          <w:szCs w:val="32"/>
          <w:lang w:val="en-US" w:eastAsia="zh-CN"/>
        </w:rPr>
        <w:t>确定帮扶人</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color w:val="auto"/>
          <w:sz w:val="32"/>
          <w:szCs w:val="32"/>
          <w:lang w:val="en-US" w:eastAsia="zh-CN" w:bidi="ar-SA"/>
        </w:rPr>
        <w:t>对新识别的监测对象，要及时明确一名国家公职人员作为帮扶责任人，并录入全国防返贫监测信息系统。村“两委”、驻村工作队、帮扶责任人针对新纳入的监测对象要建立帮扶档案，原则上县级审核批准后10天内，应根据返贫致贫风险，完成帮扶计划制定和帮扶措施申报工作，防止出现只纳入不帮扶或帮扶不及时问题。</w:t>
      </w:r>
    </w:p>
    <w:p>
      <w:pPr>
        <w:keepNext w:val="0"/>
        <w:keepLines w:val="0"/>
        <w:pageBreakBefore w:val="0"/>
        <w:widowControl w:val="0"/>
        <w:shd w:val="clear" w:color="auto" w:fill="auto"/>
        <w:kinsoku/>
        <w:wordWrap/>
        <w:overflowPunct/>
        <w:topLinePunct/>
        <w:autoSpaceDE/>
        <w:autoSpaceDN/>
        <w:bidi w:val="0"/>
        <w:adjustRightInd/>
        <w:snapToGrid/>
        <w:spacing w:line="560" w:lineRule="exact"/>
        <w:ind w:left="0" w:leftChars="0" w:firstLine="643" w:firstLineChars="200"/>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b/>
          <w:bCs/>
          <w:color w:val="auto"/>
          <w:sz w:val="32"/>
          <w:szCs w:val="32"/>
          <w:lang w:val="en-US" w:eastAsia="zh-CN" w:bidi="ar-SA"/>
        </w:rPr>
        <w:t>2. 制订帮扶措施。</w:t>
      </w:r>
      <w:r>
        <w:rPr>
          <w:rFonts w:hint="eastAsia" w:ascii="仿宋_GB2312" w:hAnsi="仿宋_GB2312" w:eastAsia="仿宋_GB2312" w:cs="仿宋_GB2312"/>
          <w:color w:val="auto"/>
          <w:sz w:val="32"/>
          <w:szCs w:val="32"/>
          <w:lang w:val="en-US" w:eastAsia="zh-CN" w:bidi="ar-SA"/>
        </w:rPr>
        <w:t>按照坚持精准施策的工作要求，在准确认定监测对象返贫致贫风险的基础上，根据家庭成员劳动能力和发展需求，因人因户制定切实可行的帮扶计划，实施精准帮扶。对义务教育、住房安全、饮水安全等方面存在单一风险问题的，要及时实施针对性帮扶措施，解决问题，消除风险；对风险复杂多样的，要分层分类实施综合性帮扶措施，做到管用够用。同时注重激发群众内生动力，着力提升持续发展能力，坚持开发时帮扶方针，对有劳动能力、有意愿的监测对象，至少落实一项产业就业等开发式帮扶措施，引导勤劳致富；对符合条件的无劳动能力监测对象做好兜底保障；对弱劳力半劳力，要创造条件探索落实开发式帮扶措施。</w:t>
      </w:r>
    </w:p>
    <w:p>
      <w:pPr>
        <w:pStyle w:val="2"/>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开发式帮扶主要指产业帮扶（种植业、林果业、养殖业、加工业、乡村旅游、消费帮扶、光伏收益补贴等）、就业（劳务输出、外出务工补贴、以工代赈、经营主体就业、技能培训等)、金融帮扶（小额信贷等）、公益岗帮扶(护林员、护草员、保洁员等）。直接发钱发物、入股分红和对提升劳动能力没有直接作用的技能培训不属于开发式帮扶措施。对未消除风险监测对象帮扶措施进行排查，对有劳动能力、有意愿的监测户已落实开发式帮扶措施的进行认定，并在系统中标识“已实施开发式帮扶”。对尚未落实的，要逐户制定针对性开发式帮扶计划，加快实施帮扶措施，确保尽快落地见效。</w:t>
      </w:r>
    </w:p>
    <w:p>
      <w:pPr>
        <w:pStyle w:val="3"/>
        <w:keepNext w:val="0"/>
        <w:keepLines w:val="0"/>
        <w:pageBreakBefore w:val="0"/>
        <w:widowControl/>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b/>
          <w:bCs/>
          <w:color w:val="auto"/>
          <w:sz w:val="32"/>
          <w:szCs w:val="32"/>
          <w:lang w:val="en-US" w:eastAsia="zh-CN" w:bidi="ar-SA"/>
        </w:rPr>
      </w:pPr>
      <w:r>
        <w:rPr>
          <w:rFonts w:hint="eastAsia" w:ascii="仿宋_GB2312" w:hAnsi="仿宋_GB2312" w:eastAsia="仿宋_GB2312" w:cs="仿宋_GB2312"/>
          <w:b/>
          <w:bCs/>
          <w:color w:val="auto"/>
          <w:sz w:val="32"/>
          <w:szCs w:val="32"/>
          <w:lang w:val="en-US" w:eastAsia="zh-CN" w:bidi="ar-SA"/>
        </w:rPr>
        <w:t xml:space="preserve">(三)风险消除 </w:t>
      </w:r>
    </w:p>
    <w:p>
      <w:pPr>
        <w:pStyle w:val="3"/>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1.标注条件。收入原则上要稳定超过当年监测范围且持续半年以上、“两不愁三保障”及饮水安全持续巩固、返贫致贫风险已经稳定消除的，标注“风险消除”。监测对象中整户无劳动能力兜底保障户暂不标注“风险消除”。</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村级每两个月对纳入时间超过半年的监测对象进行一次风险消除评估，达到稳定消除的，履行规定程序后在国网中标注。每月对已消除风险的监测对象进行评估，对已消除风险的脱贫享受政策户落实“四个不摘”；对风险消除稳定性较弱的农户进行“回头帮”；对风险消除后又产生新风险的农户，及时纳入重新开展帮扶；对风险消除后不再监测帮扶的农户，监测预警排查时持续关注，继续落实好已享受但尚未到期帮扶措施和政策。</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村干部对拟消除风险监测对象进行入户排查时，核查表不能存在空项漏项和逻辑错误；掌握监测对象风险消除的条件和程序；核查表、民主评议会、报告批复、公示公告等程序性资料中要符合逻辑，并整理归档。</w:t>
      </w:r>
    </w:p>
    <w:p>
      <w:pPr>
        <w:pStyle w:val="3"/>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2.风险消除标注程序</w:t>
      </w:r>
    </w:p>
    <w:p>
      <w:pPr>
        <w:pStyle w:val="3"/>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(1)入户核查。村级组织对未消除风险监测对象家庭收入支出、“三保障”和饮水安全以及帮扶成效等情况进行核查,填写《风险稳定消除核查表》。</w:t>
      </w:r>
    </w:p>
    <w:p>
      <w:pPr>
        <w:pStyle w:val="3"/>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(2)村级初选。村级根据入户核查结果，综合研判返贫致贫风险变化情况，通过民主评议，初选标注“风险消除”监测对象名单并在村内公示，公示时间不少于5天。</w:t>
      </w:r>
    </w:p>
    <w:p>
      <w:pPr>
        <w:pStyle w:val="3"/>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(3)乡级审核。乡(镇、街道)对村级上报的公示无异议的初选标注“风险消除”监测对象及时审核，确定拟标注“风险消除”监测对象名单，报县级审核批准。</w:t>
      </w:r>
    </w:p>
    <w:p>
      <w:pPr>
        <w:pStyle w:val="3"/>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(4)县级审批。县级乡村振兴部门对乡（镇、街道）上报的拟标注“风险消除”监测对象进行汇总审核，及时报县级党委农村工作领导小组（或巩固拓展脱贫攻坚成果同乡村振兴有效衔接领导小组）批准或授权批准，并将审批结果推送乡（镇、街道）。</w:t>
      </w:r>
    </w:p>
    <w:p>
      <w:pPr>
        <w:pStyle w:val="3"/>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(5)结果公告。以乡(镇、街道)名义将县级审批后的风险稳定消除监测对象名单在所在村公告，并将风险消除结果告知所标注的监测对象。</w:t>
      </w:r>
    </w:p>
    <w:p>
      <w:pPr>
        <w:pStyle w:val="3"/>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(6)系统标注。由乡(镇、街道)组织村级采集《监测对象消除风险信息采集表》，在全国防返贫监测信息系统中标注“风险消除”并完善相关信息，同时规范相关档案资料。</w:t>
      </w:r>
    </w:p>
    <w:p>
      <w:pPr>
        <w:pStyle w:val="3"/>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3.风险消除标注要求</w:t>
      </w:r>
    </w:p>
    <w:p>
      <w:pPr>
        <w:pStyle w:val="3"/>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监测对象标注“风险消除”，要坚持实事求是，不得人为设置风险消除比例要求。要坚持审慎标注，严格标注条件，规范标注程序，既不能拔苗助长集中标注，又不能过度帮扶应消不消（特别是有劳动能力的户纳入12个月以上、18个月以上未消除风险的，重点核实，纳入时间长风险未消除说明帮扶成效不明显）。风险标注回退程序，参照风险消除标注程序执行。</w:t>
      </w:r>
    </w:p>
    <w:p>
      <w:pPr>
        <w:keepNext w:val="0"/>
        <w:keepLines w:val="0"/>
        <w:pageBreakBefore w:val="0"/>
        <w:widowControl w:val="0"/>
        <w:kinsoku/>
        <w:wordWrap/>
        <w:overflowPunct/>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bidi="ar-SA"/>
        </w:rPr>
      </w:pPr>
      <w:r>
        <w:rPr>
          <w:rFonts w:hint="eastAsia" w:ascii="仿宋_GB2312" w:hAnsi="仿宋_GB2312" w:eastAsia="仿宋_GB2312" w:cs="仿宋_GB2312"/>
          <w:b/>
          <w:bCs/>
          <w:color w:val="auto"/>
          <w:sz w:val="32"/>
          <w:szCs w:val="32"/>
          <w:lang w:val="en-US" w:eastAsia="zh-CN" w:bidi="ar-SA"/>
        </w:rPr>
        <w:t>（四）整户无劳动能力兜底保障户认定</w:t>
      </w:r>
    </w:p>
    <w:p>
      <w:pPr>
        <w:keepNext w:val="0"/>
        <w:keepLines w:val="0"/>
        <w:pageBreakBefore w:val="0"/>
        <w:widowControl w:val="0"/>
        <w:shd w:val="clear" w:color="auto" w:fill="auto"/>
        <w:kinsoku/>
        <w:wordWrap/>
        <w:overflowPunct/>
        <w:topLinePunct/>
        <w:autoSpaceDE/>
        <w:autoSpaceDN/>
        <w:bidi w:val="0"/>
        <w:adjustRightInd/>
        <w:snapToGrid/>
        <w:spacing w:line="560" w:lineRule="exact"/>
        <w:ind w:left="0" w:leftChars="0" w:firstLine="640" w:firstLineChars="200"/>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1.概念：整户无劳动能力兜底保障户，是指监测对象中整户无劳动能力、主要或只能通过社会综合保障政策维持基本生活的家庭，包括农村分散供养特困人员、整户无劳动能力且享受全额或最高档次农村低保补助标准的监测对象。通俗的讲，也就是整户享受A类低保、特困、孤儿或事实无人抚养儿童标准。</w:t>
      </w:r>
    </w:p>
    <w:p>
      <w:pPr>
        <w:keepNext w:val="0"/>
        <w:keepLines w:val="0"/>
        <w:pageBreakBefore w:val="0"/>
        <w:widowControl w:val="0"/>
        <w:shd w:val="clear" w:color="auto" w:fill="auto"/>
        <w:kinsoku/>
        <w:wordWrap/>
        <w:overflowPunct/>
        <w:topLinePunct/>
        <w:autoSpaceDE/>
        <w:autoSpaceDN/>
        <w:bidi w:val="0"/>
        <w:adjustRightInd/>
        <w:snapToGrid/>
        <w:spacing w:line="560" w:lineRule="exact"/>
        <w:ind w:left="0" w:leftChars="0" w:firstLine="640" w:firstLineChars="200"/>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2.规范认定程序</w:t>
      </w:r>
    </w:p>
    <w:p>
      <w:pPr>
        <w:keepNext w:val="0"/>
        <w:keepLines w:val="0"/>
        <w:pageBreakBefore w:val="0"/>
        <w:widowControl w:val="0"/>
        <w:shd w:val="clear" w:color="auto" w:fill="auto"/>
        <w:kinsoku/>
        <w:wordWrap/>
        <w:overflowPunct/>
        <w:topLinePunct/>
        <w:autoSpaceDE/>
        <w:autoSpaceDN/>
        <w:bidi w:val="0"/>
        <w:adjustRightInd/>
        <w:snapToGrid/>
        <w:spacing w:line="560" w:lineRule="exact"/>
        <w:ind w:left="0" w:leftChars="0" w:firstLine="640" w:firstLineChars="200"/>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（1）入户核查。村级组织对未消除风险监测对象家庭成员劳动能力、社会综合保障政策落实等情况进行核查，填写《监测对象中整户无劳动能力兜底保障户认定审核表》。</w:t>
      </w:r>
    </w:p>
    <w:p>
      <w:pPr>
        <w:keepNext w:val="0"/>
        <w:keepLines w:val="0"/>
        <w:pageBreakBefore w:val="0"/>
        <w:widowControl w:val="0"/>
        <w:shd w:val="clear" w:color="auto" w:fill="auto"/>
        <w:kinsoku/>
        <w:wordWrap/>
        <w:overflowPunct/>
        <w:topLinePunct/>
        <w:autoSpaceDE/>
        <w:autoSpaceDN/>
        <w:bidi w:val="0"/>
        <w:adjustRightInd/>
        <w:snapToGrid/>
        <w:spacing w:line="560" w:lineRule="exact"/>
        <w:ind w:left="0" w:leftChars="0" w:firstLine="640" w:firstLineChars="200"/>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（2）村级初选。村级根据入户核查结果，综合研判本村监测对象中整户无劳动能力兜底保障户情况，通过民主评议，初选拟标注“整户无劳动能力兜底保障户”监测对象名单并在村内公示，公示时间不少于5天。</w:t>
      </w:r>
    </w:p>
    <w:p>
      <w:pPr>
        <w:keepNext w:val="0"/>
        <w:keepLines w:val="0"/>
        <w:pageBreakBefore w:val="0"/>
        <w:widowControl w:val="0"/>
        <w:shd w:val="clear" w:color="auto" w:fill="auto"/>
        <w:kinsoku/>
        <w:wordWrap/>
        <w:overflowPunct/>
        <w:topLinePunct/>
        <w:autoSpaceDE/>
        <w:autoSpaceDN/>
        <w:bidi w:val="0"/>
        <w:adjustRightInd/>
        <w:snapToGrid/>
        <w:spacing w:line="560" w:lineRule="exact"/>
        <w:ind w:left="0" w:leftChars="0" w:firstLine="640" w:firstLineChars="200"/>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（3）乡级确定。乡（镇、街道）对村级上报的公示无异议的初选标注“整户无劳动能力兜底保障户”监测对象及时审核，确定最终标注名单，并在所在村公告。</w:t>
      </w:r>
    </w:p>
    <w:p>
      <w:pPr>
        <w:keepNext w:val="0"/>
        <w:keepLines w:val="0"/>
        <w:pageBreakBefore w:val="0"/>
        <w:widowControl w:val="0"/>
        <w:shd w:val="clear" w:color="auto" w:fill="auto"/>
        <w:kinsoku/>
        <w:wordWrap/>
        <w:overflowPunct/>
        <w:topLinePunct/>
        <w:autoSpaceDE/>
        <w:autoSpaceDN/>
        <w:bidi w:val="0"/>
        <w:adjustRightInd/>
        <w:snapToGrid/>
        <w:spacing w:line="560" w:lineRule="exact"/>
        <w:ind w:left="0" w:leftChars="0" w:firstLine="640" w:firstLineChars="200"/>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（4）县级备案。乡（镇、街道）将确定的“整户无劳动能力兜底保障户”标注名单报县级乡村振兴部门备案。</w:t>
      </w:r>
    </w:p>
    <w:p>
      <w:pPr>
        <w:keepNext w:val="0"/>
        <w:keepLines w:val="0"/>
        <w:pageBreakBefore w:val="0"/>
        <w:widowControl w:val="0"/>
        <w:shd w:val="clear" w:color="auto" w:fill="auto"/>
        <w:kinsoku/>
        <w:wordWrap/>
        <w:overflowPunct/>
        <w:topLinePunct/>
        <w:autoSpaceDE/>
        <w:autoSpaceDN/>
        <w:bidi w:val="0"/>
        <w:adjustRightInd/>
        <w:snapToGrid/>
        <w:spacing w:line="560" w:lineRule="exact"/>
        <w:ind w:left="0" w:leftChars="0" w:firstLine="640" w:firstLineChars="200"/>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（5）系统标注。在县级乡村振兴部门指导下，由乡（镇、街道）组织在全国防止返贫监测和衔接推进乡村振兴信息系统中标注“整户无劳动能力兜底保障户”，同时规范相关档案资料。</w:t>
      </w:r>
    </w:p>
    <w:p>
      <w:pPr>
        <w:pStyle w:val="3"/>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二、</w:t>
      </w:r>
      <w:bookmarkEnd w:id="0"/>
      <w:r>
        <w:rPr>
          <w:rFonts w:hint="eastAsia" w:ascii="黑体" w:hAnsi="黑体" w:eastAsia="黑体" w:cs="黑体"/>
          <w:color w:val="auto"/>
          <w:sz w:val="32"/>
          <w:szCs w:val="32"/>
          <w:lang w:val="en-US" w:eastAsia="zh-CN" w:bidi="ar-SA"/>
        </w:rPr>
        <w:t>户档、村档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b/>
          <w:bCs/>
          <w:color w:val="auto"/>
          <w:sz w:val="32"/>
          <w:szCs w:val="32"/>
          <w:lang w:val="en-US" w:eastAsia="zh-CN" w:bidi="ar-SA"/>
        </w:rPr>
        <w:t>（一）家庭档案。</w:t>
      </w:r>
      <w:r>
        <w:rPr>
          <w:rFonts w:hint="eastAsia" w:ascii="仿宋_GB2312" w:hAnsi="仿宋_GB2312" w:eastAsia="仿宋_GB2312" w:cs="仿宋_GB2312"/>
          <w:color w:val="auto"/>
          <w:sz w:val="32"/>
          <w:szCs w:val="32"/>
          <w:lang w:val="en-US" w:eastAsia="zh-CN" w:bidi="ar-SA"/>
        </w:rPr>
        <w:t>脱贫户（不含脱贫不享受政策户）、监测对象户内墙上分别张贴脱贫户、监测对象明白卡</w:t>
      </w:r>
      <w:r>
        <w:rPr>
          <w:rFonts w:hint="eastAsia" w:ascii="仿宋_GB2312" w:hAnsi="仿宋_GB2312" w:eastAsia="仿宋_GB2312" w:cs="仿宋_GB2312"/>
          <w:color w:val="auto"/>
          <w:sz w:val="32"/>
          <w:szCs w:val="32"/>
          <w:lang w:val="en" w:eastAsia="zh-CN" w:bidi="ar-SA"/>
        </w:rPr>
        <w:t>，</w:t>
      </w:r>
      <w:r>
        <w:rPr>
          <w:rFonts w:hint="eastAsia" w:ascii="仿宋_GB2312" w:hAnsi="仿宋_GB2312" w:eastAsia="仿宋_GB2312" w:cs="仿宋_GB2312"/>
          <w:color w:val="auto"/>
          <w:sz w:val="32"/>
          <w:szCs w:val="32"/>
          <w:lang w:val="en-US" w:eastAsia="zh-CN" w:bidi="ar-SA"/>
        </w:rPr>
        <w:t>2021年以来识别和</w:t>
      </w:r>
      <w:r>
        <w:rPr>
          <w:rFonts w:hint="eastAsia" w:ascii="仿宋_GB2312" w:hAnsi="仿宋_GB2312" w:eastAsia="仿宋_GB2312" w:cs="仿宋_GB2312"/>
          <w:color w:val="auto"/>
          <w:sz w:val="32"/>
          <w:szCs w:val="32"/>
          <w:lang w:val="en" w:eastAsia="zh-CN" w:bidi="ar-SA"/>
        </w:rPr>
        <w:t>风险消除</w:t>
      </w:r>
      <w:r>
        <w:rPr>
          <w:rFonts w:hint="eastAsia" w:ascii="仿宋_GB2312" w:hAnsi="仿宋_GB2312" w:eastAsia="仿宋_GB2312" w:cs="仿宋_GB2312"/>
          <w:color w:val="auto"/>
          <w:sz w:val="32"/>
          <w:szCs w:val="32"/>
          <w:lang w:val="en-US" w:eastAsia="zh-CN" w:bidi="ar-SA"/>
        </w:rPr>
        <w:t>的监测对象家中要分别存放个人承诺授权书</w:t>
      </w:r>
      <w:r>
        <w:rPr>
          <w:rFonts w:hint="eastAsia" w:ascii="仿宋_GB2312" w:hAnsi="仿宋_GB2312" w:eastAsia="仿宋_GB2312" w:cs="仿宋_GB2312"/>
          <w:color w:val="auto"/>
          <w:sz w:val="32"/>
          <w:szCs w:val="32"/>
          <w:lang w:val="en" w:eastAsia="zh-CN" w:bidi="ar-SA"/>
        </w:rPr>
        <w:t>和风险消除告知书；</w:t>
      </w:r>
      <w:r>
        <w:rPr>
          <w:rFonts w:hint="eastAsia" w:ascii="仿宋_GB2312" w:hAnsi="仿宋_GB2312" w:eastAsia="仿宋_GB2312" w:cs="仿宋_GB2312"/>
          <w:color w:val="auto"/>
          <w:sz w:val="32"/>
          <w:szCs w:val="32"/>
          <w:lang w:val="en-US" w:eastAsia="zh-CN" w:bidi="ar-SA"/>
        </w:rPr>
        <w:t>脱贫户存放相关证件及享受政策措施的有关支撑资料。监测对象存放享受政策告知书及相关证件、享受政策措施的有关支撑资料。</w:t>
      </w:r>
    </w:p>
    <w:p>
      <w:pPr>
        <w:keepNext w:val="0"/>
        <w:keepLines w:val="0"/>
        <w:pageBreakBefore w:val="0"/>
        <w:widowControl w:val="0"/>
        <w:shd w:val="clear" w:color="auto" w:fill="auto"/>
        <w:kinsoku/>
        <w:wordWrap/>
        <w:overflowPunct/>
        <w:topLinePunct/>
        <w:autoSpaceDE/>
        <w:autoSpaceDN/>
        <w:bidi w:val="0"/>
        <w:adjustRightInd/>
        <w:snapToGrid/>
        <w:spacing w:line="560" w:lineRule="exact"/>
        <w:ind w:left="0" w:leftChars="0" w:firstLine="643" w:firstLineChars="200"/>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b/>
          <w:bCs/>
          <w:color w:val="auto"/>
          <w:sz w:val="32"/>
          <w:szCs w:val="32"/>
          <w:lang w:val="en-US" w:eastAsia="zh-CN" w:bidi="ar-SA"/>
        </w:rPr>
        <w:t>（二）村级档案。</w:t>
      </w:r>
      <w:r>
        <w:rPr>
          <w:rFonts w:hint="eastAsia" w:ascii="仿宋_GB2312" w:hAnsi="仿宋_GB2312" w:eastAsia="仿宋_GB2312" w:cs="仿宋_GB2312"/>
          <w:color w:val="auto"/>
          <w:sz w:val="32"/>
          <w:szCs w:val="32"/>
          <w:lang w:val="en-US" w:eastAsia="zh-CN" w:bidi="ar-SA"/>
        </w:rPr>
        <w:t>村级档案分户档和村档。户档即脱贫户、监测对象一户一档；村档重点围绕后评估的内容，按照责任落实、政策落实、工作落实、巩固成效等方面进行整理，分门别类放置于档案盒内。</w:t>
      </w:r>
    </w:p>
    <w:p>
      <w:pPr>
        <w:keepNext w:val="0"/>
        <w:keepLines w:val="0"/>
        <w:pageBreakBefore w:val="0"/>
        <w:widowControl w:val="0"/>
        <w:shd w:val="clear" w:color="auto" w:fill="auto"/>
        <w:kinsoku/>
        <w:wordWrap/>
        <w:overflowPunct/>
        <w:topLinePunct/>
        <w:autoSpaceDE/>
        <w:autoSpaceDN/>
        <w:bidi w:val="0"/>
        <w:adjustRightInd/>
        <w:snapToGrid/>
        <w:spacing w:line="560" w:lineRule="exact"/>
        <w:ind w:left="0" w:leftChars="0" w:firstLine="640" w:firstLineChars="200"/>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脱贫户档案（一户一档）</w:t>
      </w:r>
    </w:p>
    <w:p>
      <w:pPr>
        <w:keepNext w:val="0"/>
        <w:keepLines w:val="0"/>
        <w:pageBreakBefore w:val="0"/>
        <w:widowControl w:val="0"/>
        <w:shd w:val="clear" w:color="auto" w:fill="auto"/>
        <w:kinsoku/>
        <w:wordWrap/>
        <w:overflowPunct/>
        <w:topLinePunct/>
        <w:autoSpaceDE/>
        <w:autoSpaceDN/>
        <w:bidi w:val="0"/>
        <w:adjustRightInd/>
        <w:snapToGrid/>
        <w:spacing w:line="560" w:lineRule="exact"/>
        <w:ind w:left="0" w:leftChars="0" w:firstLine="640" w:firstLineChars="200"/>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1.脱贫户明白卡（与户内张贴保持一致）</w:t>
      </w:r>
    </w:p>
    <w:p>
      <w:pPr>
        <w:keepNext w:val="0"/>
        <w:keepLines w:val="0"/>
        <w:pageBreakBefore w:val="0"/>
        <w:widowControl w:val="0"/>
        <w:shd w:val="clear" w:color="auto" w:fill="auto"/>
        <w:kinsoku/>
        <w:wordWrap/>
        <w:overflowPunct/>
        <w:topLinePunct/>
        <w:autoSpaceDE/>
        <w:autoSpaceDN/>
        <w:bidi w:val="0"/>
        <w:adjustRightInd/>
        <w:snapToGrid/>
        <w:spacing w:line="560" w:lineRule="exact"/>
        <w:ind w:left="0" w:leftChars="0" w:firstLine="640" w:firstLineChars="200"/>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2.202</w:t>
      </w:r>
      <w:r>
        <w:rPr>
          <w:rFonts w:hint="eastAsia" w:ascii="仿宋_GB2312" w:hAnsi="仿宋_GB2312" w:eastAsia="仿宋_GB2312" w:cs="仿宋_GB2312"/>
          <w:color w:val="auto"/>
          <w:sz w:val="32"/>
          <w:szCs w:val="32"/>
          <w:lang w:val="en" w:eastAsia="zh-CN" w:bidi="ar-SA"/>
        </w:rPr>
        <w:t>0</w:t>
      </w:r>
      <w:r>
        <w:rPr>
          <w:rFonts w:hint="eastAsia" w:ascii="仿宋_GB2312" w:hAnsi="仿宋_GB2312" w:eastAsia="仿宋_GB2312" w:cs="仿宋_GB2312"/>
          <w:color w:val="auto"/>
          <w:sz w:val="32"/>
          <w:szCs w:val="32"/>
          <w:lang w:val="en-US" w:eastAsia="zh-CN" w:bidi="ar-SA"/>
        </w:rPr>
        <w:t>年</w:t>
      </w:r>
      <w:r>
        <w:rPr>
          <w:rFonts w:hint="eastAsia" w:ascii="仿宋_GB2312" w:hAnsi="仿宋_GB2312" w:eastAsia="仿宋_GB2312" w:cs="仿宋_GB2312"/>
          <w:color w:val="auto"/>
          <w:sz w:val="32"/>
          <w:szCs w:val="32"/>
          <w:lang w:val="en" w:eastAsia="zh-CN" w:bidi="ar-SA"/>
        </w:rPr>
        <w:t>10月</w:t>
      </w:r>
      <w:r>
        <w:rPr>
          <w:rFonts w:hint="eastAsia" w:ascii="仿宋_GB2312" w:hAnsi="仿宋_GB2312" w:eastAsia="仿宋_GB2312" w:cs="仿宋_GB2312"/>
          <w:color w:val="auto"/>
          <w:sz w:val="32"/>
          <w:szCs w:val="32"/>
          <w:lang w:val="en-US" w:eastAsia="zh-CN" w:bidi="ar-SA"/>
        </w:rPr>
        <w:t>以来享受政策措施以及体现帮扶成效相关资料</w:t>
      </w:r>
    </w:p>
    <w:p>
      <w:pPr>
        <w:keepNext w:val="0"/>
        <w:keepLines w:val="0"/>
        <w:pageBreakBefore w:val="0"/>
        <w:widowControl w:val="0"/>
        <w:shd w:val="clear" w:color="auto" w:fill="auto"/>
        <w:kinsoku/>
        <w:wordWrap/>
        <w:overflowPunct/>
        <w:topLinePunct/>
        <w:autoSpaceDE/>
        <w:autoSpaceDN/>
        <w:bidi w:val="0"/>
        <w:adjustRightInd/>
        <w:snapToGrid/>
        <w:spacing w:line="560" w:lineRule="exact"/>
        <w:ind w:left="0" w:leftChars="0" w:firstLine="640" w:firstLineChars="200"/>
        <w:textAlignment w:val="top"/>
        <w:rPr>
          <w:rFonts w:hint="eastAsia" w:ascii="仿宋_GB2312" w:hAnsi="仿宋_GB2312" w:eastAsia="仿宋_GB2312" w:cs="仿宋_GB2312"/>
          <w:color w:val="auto"/>
          <w:sz w:val="32"/>
          <w:szCs w:val="32"/>
          <w:lang w:val="en" w:eastAsia="zh-CN" w:bidi="ar-SA"/>
        </w:rPr>
      </w:pPr>
      <w:r>
        <w:rPr>
          <w:rFonts w:hint="eastAsia" w:ascii="仿宋_GB2312" w:hAnsi="仿宋_GB2312" w:eastAsia="仿宋_GB2312" w:cs="仿宋_GB2312"/>
          <w:color w:val="auto"/>
          <w:sz w:val="32"/>
          <w:szCs w:val="32"/>
          <w:lang w:val="en" w:eastAsia="zh-CN" w:bidi="ar-SA"/>
        </w:rPr>
        <w:t>3.</w:t>
      </w:r>
      <w:r>
        <w:rPr>
          <w:rFonts w:hint="eastAsia" w:ascii="仿宋_GB2312" w:hAnsi="仿宋_GB2312" w:eastAsia="仿宋_GB2312" w:cs="仿宋_GB2312"/>
          <w:color w:val="auto"/>
          <w:sz w:val="32"/>
          <w:szCs w:val="32"/>
          <w:lang w:val="en-US" w:eastAsia="zh-CN" w:bidi="ar-SA"/>
        </w:rPr>
        <w:t>2021年以来年度信息采集表（含对照表）</w:t>
      </w:r>
    </w:p>
    <w:p>
      <w:pPr>
        <w:keepNext w:val="0"/>
        <w:keepLines w:val="0"/>
        <w:pageBreakBefore w:val="0"/>
        <w:widowControl w:val="0"/>
        <w:shd w:val="clear" w:color="auto" w:fill="auto"/>
        <w:kinsoku/>
        <w:wordWrap/>
        <w:overflowPunct/>
        <w:topLinePunct/>
        <w:autoSpaceDE/>
        <w:autoSpaceDN/>
        <w:bidi w:val="0"/>
        <w:adjustRightInd/>
        <w:snapToGrid/>
        <w:spacing w:line="560" w:lineRule="exact"/>
        <w:ind w:left="0" w:leftChars="0" w:firstLine="640" w:firstLineChars="200"/>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4.受灾情况采集表</w:t>
      </w:r>
    </w:p>
    <w:p>
      <w:pPr>
        <w:keepNext w:val="0"/>
        <w:keepLines w:val="0"/>
        <w:pageBreakBefore w:val="0"/>
        <w:widowControl w:val="0"/>
        <w:shd w:val="clear" w:color="auto" w:fill="auto"/>
        <w:kinsoku/>
        <w:wordWrap/>
        <w:overflowPunct/>
        <w:topLinePunct/>
        <w:autoSpaceDE/>
        <w:autoSpaceDN/>
        <w:bidi w:val="0"/>
        <w:adjustRightInd/>
        <w:snapToGrid/>
        <w:spacing w:line="560" w:lineRule="exact"/>
        <w:ind w:left="0" w:leftChars="0" w:firstLine="640" w:firstLineChars="200"/>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5.其他相关资料</w:t>
      </w:r>
    </w:p>
    <w:p>
      <w:pPr>
        <w:keepNext w:val="0"/>
        <w:keepLines w:val="0"/>
        <w:pageBreakBefore w:val="0"/>
        <w:widowControl w:val="0"/>
        <w:shd w:val="clear" w:color="auto" w:fill="auto"/>
        <w:kinsoku/>
        <w:wordWrap/>
        <w:overflowPunct/>
        <w:topLinePunct/>
        <w:autoSpaceDE/>
        <w:autoSpaceDN/>
        <w:bidi w:val="0"/>
        <w:adjustRightInd/>
        <w:snapToGrid/>
        <w:spacing w:line="560" w:lineRule="exact"/>
        <w:ind w:left="0" w:leftChars="0" w:firstLine="640" w:firstLineChars="200"/>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监测对象档案（一户一档）</w:t>
      </w:r>
    </w:p>
    <w:p>
      <w:pPr>
        <w:keepNext w:val="0"/>
        <w:keepLines w:val="0"/>
        <w:pageBreakBefore w:val="0"/>
        <w:widowControl w:val="0"/>
        <w:shd w:val="clear" w:color="auto" w:fill="auto"/>
        <w:kinsoku/>
        <w:wordWrap/>
        <w:overflowPunct/>
        <w:topLinePunct/>
        <w:autoSpaceDE/>
        <w:autoSpaceDN/>
        <w:bidi w:val="0"/>
        <w:adjustRightInd/>
        <w:snapToGrid/>
        <w:spacing w:line="560" w:lineRule="exact"/>
        <w:ind w:left="0" w:leftChars="0" w:firstLine="640" w:firstLineChars="200"/>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1.监测对象明白卡（与户内张贴保持一致）</w:t>
      </w:r>
    </w:p>
    <w:p>
      <w:pPr>
        <w:keepNext w:val="0"/>
        <w:keepLines w:val="0"/>
        <w:pageBreakBefore w:val="0"/>
        <w:widowControl w:val="0"/>
        <w:shd w:val="clear" w:color="auto" w:fill="auto"/>
        <w:kinsoku/>
        <w:wordWrap/>
        <w:overflowPunct/>
        <w:topLinePunct/>
        <w:autoSpaceDE/>
        <w:autoSpaceDN/>
        <w:bidi w:val="0"/>
        <w:adjustRightInd/>
        <w:snapToGrid/>
        <w:spacing w:line="560" w:lineRule="exact"/>
        <w:ind w:left="0" w:leftChars="0" w:firstLine="640" w:firstLineChars="200"/>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2.防止返贫动态监测排查表</w:t>
      </w:r>
    </w:p>
    <w:p>
      <w:pPr>
        <w:keepNext w:val="0"/>
        <w:keepLines w:val="0"/>
        <w:pageBreakBefore w:val="0"/>
        <w:widowControl w:val="0"/>
        <w:shd w:val="clear" w:color="auto" w:fill="auto"/>
        <w:kinsoku/>
        <w:wordWrap/>
        <w:overflowPunct/>
        <w:topLinePunct/>
        <w:autoSpaceDE/>
        <w:autoSpaceDN/>
        <w:bidi w:val="0"/>
        <w:adjustRightInd/>
        <w:snapToGrid/>
        <w:spacing w:line="560" w:lineRule="exact"/>
        <w:ind w:left="0" w:leftChars="0" w:firstLine="640" w:firstLineChars="200"/>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3.个人承诺授权书（2021年6月中旬以来识别）</w:t>
      </w:r>
    </w:p>
    <w:p>
      <w:pPr>
        <w:keepNext w:val="0"/>
        <w:keepLines w:val="0"/>
        <w:pageBreakBefore w:val="0"/>
        <w:widowControl w:val="0"/>
        <w:shd w:val="clear" w:color="auto" w:fill="auto"/>
        <w:kinsoku/>
        <w:wordWrap/>
        <w:overflowPunct/>
        <w:topLinePunct/>
        <w:autoSpaceDE/>
        <w:autoSpaceDN/>
        <w:bidi w:val="0"/>
        <w:adjustRightInd/>
        <w:snapToGrid/>
        <w:spacing w:line="560" w:lineRule="exact"/>
        <w:ind w:left="0" w:leftChars="0" w:firstLine="640" w:firstLineChars="200"/>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4.防止返贫监测对象信息采集表（含对照表）</w:t>
      </w:r>
    </w:p>
    <w:p>
      <w:pPr>
        <w:keepNext w:val="0"/>
        <w:keepLines w:val="0"/>
        <w:pageBreakBefore w:val="0"/>
        <w:widowControl w:val="0"/>
        <w:shd w:val="clear" w:color="auto" w:fill="auto"/>
        <w:kinsoku/>
        <w:wordWrap/>
        <w:overflowPunct/>
        <w:topLinePunct/>
        <w:autoSpaceDE/>
        <w:autoSpaceDN/>
        <w:bidi w:val="0"/>
        <w:adjustRightInd/>
        <w:snapToGrid/>
        <w:spacing w:line="560" w:lineRule="exact"/>
        <w:ind w:left="0" w:leftChars="0" w:firstLine="640" w:firstLineChars="200"/>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5.识别纳入以来享受政策措施以及体现帮扶成效相关资料</w:t>
      </w:r>
    </w:p>
    <w:p>
      <w:pPr>
        <w:keepNext w:val="0"/>
        <w:keepLines w:val="0"/>
        <w:pageBreakBefore w:val="0"/>
        <w:widowControl w:val="0"/>
        <w:shd w:val="clear" w:color="auto" w:fill="auto"/>
        <w:kinsoku/>
        <w:wordWrap/>
        <w:overflowPunct/>
        <w:topLinePunct/>
        <w:autoSpaceDE/>
        <w:autoSpaceDN/>
        <w:bidi w:val="0"/>
        <w:adjustRightInd/>
        <w:snapToGrid/>
        <w:spacing w:line="560" w:lineRule="exact"/>
        <w:ind w:left="0" w:leftChars="0" w:firstLine="640" w:firstLineChars="200"/>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6.风险稳定消除核查表（2021年6月中旬以来消除）</w:t>
      </w:r>
    </w:p>
    <w:p>
      <w:pPr>
        <w:keepNext w:val="0"/>
        <w:keepLines w:val="0"/>
        <w:pageBreakBefore w:val="0"/>
        <w:widowControl w:val="0"/>
        <w:shd w:val="clear" w:color="auto" w:fill="auto"/>
        <w:kinsoku/>
        <w:wordWrap/>
        <w:overflowPunct/>
        <w:topLinePunct/>
        <w:autoSpaceDE/>
        <w:autoSpaceDN/>
        <w:bidi w:val="0"/>
        <w:adjustRightInd/>
        <w:snapToGrid/>
        <w:spacing w:line="560" w:lineRule="exact"/>
        <w:ind w:left="0" w:leftChars="0" w:firstLine="640" w:firstLineChars="200"/>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7.风险消除告知书（2021年6月中旬以来消除）</w:t>
      </w:r>
    </w:p>
    <w:p>
      <w:pPr>
        <w:keepNext w:val="0"/>
        <w:keepLines w:val="0"/>
        <w:pageBreakBefore w:val="0"/>
        <w:widowControl w:val="0"/>
        <w:shd w:val="clear" w:color="auto" w:fill="auto"/>
        <w:kinsoku/>
        <w:wordWrap/>
        <w:overflowPunct/>
        <w:topLinePunct/>
        <w:autoSpaceDE/>
        <w:autoSpaceDN/>
        <w:bidi w:val="0"/>
        <w:adjustRightInd/>
        <w:snapToGrid/>
        <w:spacing w:line="560" w:lineRule="exact"/>
        <w:ind w:left="0" w:leftChars="0" w:firstLine="640" w:firstLineChars="200"/>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8.受灾情况采集表</w:t>
      </w:r>
    </w:p>
    <w:p>
      <w:pPr>
        <w:keepNext w:val="0"/>
        <w:keepLines w:val="0"/>
        <w:pageBreakBefore w:val="0"/>
        <w:widowControl w:val="0"/>
        <w:shd w:val="clear" w:color="auto" w:fill="auto"/>
        <w:kinsoku/>
        <w:wordWrap/>
        <w:overflowPunct/>
        <w:topLinePunct/>
        <w:autoSpaceDE/>
        <w:autoSpaceDN/>
        <w:bidi w:val="0"/>
        <w:adjustRightInd/>
        <w:snapToGrid/>
        <w:spacing w:line="560" w:lineRule="exact"/>
        <w:ind w:left="0" w:leftChars="0" w:firstLine="640" w:firstLineChars="200"/>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9.其他相关资料</w:t>
      </w:r>
    </w:p>
    <w:p>
      <w:pPr>
        <w:pStyle w:val="3"/>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三、数据质量</w:t>
      </w:r>
    </w:p>
    <w:p>
      <w:pPr>
        <w:pStyle w:val="3"/>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数据质量决定着防返贫监测帮扶工作的成效成色,提升监测帮扶数据质量,是做好巩固拓展脱贫攻坚成果的基础性工作。为抓实数据质量提升工作，我们要从以下几个方面入手：</w:t>
      </w:r>
    </w:p>
    <w:p>
      <w:pPr>
        <w:pStyle w:val="3"/>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1、筛查疑点数据早预警。防返贫监测信息系统中的数据记录着脱贫户、监测户从识别到退出的全过程，直观展示了户家的人口、收入、年龄、务工等状况，体现了帮扶措施的强度和成效。但由于不可控原因，如：嫁入嫁出、年龄增长等，导致相关数据滞后。为此要组织专人定期从国家、省防返贫监测信息系统中导出相关数据，并按照249项数据质量评价规则,筛选出疑点数据，做到问题早发现、早预警。</w:t>
      </w:r>
    </w:p>
    <w:p>
      <w:pPr>
        <w:pStyle w:val="3"/>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2、对照核实信息早行动。为了保证工作质量，确保数据真实，针对筛查出的疑点数据，进行入户核实，并在防返贫监测信息系统进行修改。对于户家出现的新的风险点，防返贫监测信息系统能够实现有效监测，确保及时发现、及时整改。</w:t>
      </w:r>
    </w:p>
    <w:p>
      <w:pPr>
        <w:pStyle w:val="3"/>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3、重点工作内容早关注。防返贫监测帮扶数据质量提升工作共计涉及数据质量评价规则249项（其中国家级231项,省级18项）,根据规则要求,我们需重点关注：（1）脱贫人口和监测对象家庭人员与系统录入人员是否一致,人口自然变更是否及时、准确；比如死亡、出嫁、婚入等；（2）脱贫人口和监测对象住房保障、基本医疗、义务教育和饮水安全等重要指标是否切实解决；比如学生已上七年级了，系统中在校生还是小学等账实不符信息；（3）脱贫人口和监测对象户基本信息和人基本信息填写是否完整,主要指标是否存在缺漏项问题；比如务工能力、公益岗位类型和聘用时间等关键指标的缺失；（4）脱贫人口和监测对象相关信息是否存在逻辑错误或异常；比如监测对象家庭成员健康状况为残疾但无残疾人证；（5）脱贫人口和监测对象家庭收入信息更新是否及时,收入数据是否真实；（6）监测对象落实的帮扶措施是否与返贫致贫风险相对应,脱贫人口和监测对象纸质资料中填写的帮扶措施与实际情况是否相符；（7）新增监测对象帮扶措施落实及系统录入是否及时(识别时间是否超过一个月未录入帮扶措施),监测对象风险消除标注前家庭收入和帮扶措施以及变量信息是否及时更新。</w:t>
      </w:r>
    </w:p>
    <w:p>
      <w:pPr>
        <w:keepNext w:val="0"/>
        <w:keepLines w:val="0"/>
        <w:pageBreakBefore w:val="0"/>
        <w:widowControl/>
        <w:suppressLineNumbers w:val="0"/>
        <w:kinsoku/>
        <w:wordWrap/>
        <w:autoSpaceDE/>
        <w:autoSpaceDN/>
        <w:bidi w:val="0"/>
        <w:spacing w:line="560" w:lineRule="exact"/>
        <w:ind w:firstLine="640" w:firstLineChars="200"/>
        <w:jc w:val="left"/>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解决数据问题，不能简单停留在问题表面去修改，要从根本上查找问题背后的原因，所以就要求我们前期入户采集信息一定要准，并且也要加强信息监测人员力量，落实专人负责系统用户管理，提高信息监测人员的业务水平，明确系统数据日常维护和审核的工作职责、目标任务，充分利用省平台数据质量审核模块，省平台每周一会提取上周六的数据，县信息中心每周五会批量筛查，将疑似问题反馈给你们进行逐户进行核实，乡镇也要主动筛查，不能只等办公室反馈了再修改，持续做好精准识别，全面准确采集、录入信息，确保信息数据的完整、及时、准确。</w:t>
      </w:r>
    </w:p>
    <w:p>
      <w:pPr>
        <w:pStyle w:val="2"/>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lang w:val="en-US" w:eastAsia="zh-CN"/>
        </w:rPr>
      </w:pPr>
    </w:p>
    <w:p>
      <w:pPr>
        <w:pStyle w:val="9"/>
        <w:keepNext w:val="0"/>
        <w:keepLines w:val="0"/>
        <w:pageBreakBefore w:val="0"/>
        <w:kinsoku/>
        <w:wordWrap/>
        <w:bidi w:val="0"/>
        <w:spacing w:line="560" w:lineRule="exact"/>
        <w:ind w:left="0" w:leftChars="0" w:firstLine="0" w:firstLineChars="0"/>
        <w:rPr>
          <w:rFonts w:hint="eastAsia" w:ascii="方正小标宋简体" w:hAnsi="方正小标宋简体" w:eastAsia="方正小标宋简体" w:cs="方正小标宋简体"/>
          <w:b w:val="0"/>
          <w:bCs w:val="0"/>
          <w:color w:val="auto"/>
          <w:sz w:val="44"/>
          <w:szCs w:val="44"/>
          <w:lang w:eastAsia="zh-CN"/>
        </w:rPr>
      </w:pPr>
    </w:p>
    <w:p>
      <w:pPr>
        <w:keepNext w:val="0"/>
        <w:keepLines w:val="0"/>
        <w:pageBreakBefore w:val="0"/>
        <w:widowControl w:val="0"/>
        <w:numPr>
          <w:ilvl w:val="0"/>
          <w:numId w:val="0"/>
        </w:numPr>
        <w:shd w:val="clear" w:color="auto" w:fill="auto"/>
        <w:kinsoku/>
        <w:wordWrap/>
        <w:overflowPunct/>
        <w:topLinePunct/>
        <w:autoSpaceDE/>
        <w:autoSpaceDN/>
        <w:bidi w:val="0"/>
        <w:adjustRightInd/>
        <w:snapToGrid/>
        <w:spacing w:line="560" w:lineRule="exact"/>
        <w:jc w:val="center"/>
        <w:textAlignment w:val="top"/>
        <w:outlineLvl w:val="0"/>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兜底保障政策解读</w:t>
      </w:r>
    </w:p>
    <w:p>
      <w:pPr>
        <w:pStyle w:val="2"/>
        <w:keepNext w:val="0"/>
        <w:keepLines w:val="0"/>
        <w:pageBreakBefore w:val="0"/>
        <w:widowControl w:val="0"/>
        <w:kinsoku/>
        <w:wordWrap/>
        <w:overflowPunct/>
        <w:autoSpaceDE/>
        <w:autoSpaceDN/>
        <w:bidi w:val="0"/>
        <w:adjustRightInd/>
        <w:snapToGrid/>
        <w:spacing w:line="560" w:lineRule="exact"/>
        <w:rPr>
          <w:rFonts w:hint="eastAsia"/>
          <w:lang w:eastAsia="zh-CN"/>
        </w:rPr>
      </w:pPr>
    </w:p>
    <w:p>
      <w:pPr>
        <w:keepNext w:val="0"/>
        <w:keepLines w:val="0"/>
        <w:pageBreakBefore w:val="0"/>
        <w:widowControl w:val="0"/>
        <w:numPr>
          <w:ilvl w:val="0"/>
          <w:numId w:val="0"/>
        </w:numPr>
        <w:shd w:val="clear" w:color="auto" w:fill="auto"/>
        <w:kinsoku/>
        <w:wordWrap/>
        <w:overflowPunct/>
        <w:topLinePunct/>
        <w:bidi w:val="0"/>
        <w:adjustRightInd/>
        <w:snapToGrid/>
        <w:spacing w:line="560" w:lineRule="exact"/>
        <w:ind w:leftChars="0" w:firstLine="643" w:firstLineChars="200"/>
        <w:jc w:val="both"/>
        <w:textAlignment w:val="top"/>
        <w:outlineLvl w:val="0"/>
        <w:rPr>
          <w:rFonts w:hint="eastAsia" w:ascii="黑体" w:hAnsi="黑体" w:eastAsia="黑体" w:cs="黑体"/>
          <w:b/>
          <w:bCs/>
          <w:color w:val="auto"/>
          <w:sz w:val="32"/>
          <w:szCs w:val="32"/>
          <w:lang w:eastAsia="zh-CN"/>
        </w:rPr>
      </w:pPr>
    </w:p>
    <w:p>
      <w:pPr>
        <w:keepNext w:val="0"/>
        <w:keepLines w:val="0"/>
        <w:pageBreakBefore w:val="0"/>
        <w:widowControl w:val="0"/>
        <w:numPr>
          <w:ilvl w:val="0"/>
          <w:numId w:val="0"/>
        </w:numPr>
        <w:shd w:val="clear" w:color="auto" w:fill="auto"/>
        <w:kinsoku/>
        <w:wordWrap/>
        <w:overflowPunct/>
        <w:topLinePunct/>
        <w:bidi w:val="0"/>
        <w:adjustRightInd/>
        <w:snapToGrid/>
        <w:spacing w:line="560" w:lineRule="exact"/>
        <w:ind w:leftChars="0" w:firstLine="643" w:firstLineChars="200"/>
        <w:jc w:val="both"/>
        <w:textAlignment w:val="top"/>
        <w:outlineLvl w:val="0"/>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一、农村最低生活保障</w:t>
      </w:r>
      <w:bookmarkEnd w:id="1"/>
    </w:p>
    <w:p>
      <w:pPr>
        <w:keepNext w:val="0"/>
        <w:keepLines w:val="0"/>
        <w:pageBreakBefore w:val="0"/>
        <w:widowControl w:val="0"/>
        <w:kinsoku/>
        <w:wordWrap/>
        <w:overflowPunct/>
        <w:topLinePunct/>
        <w:bidi w:val="0"/>
        <w:adjustRightInd/>
        <w:snapToGrid/>
        <w:spacing w:line="560" w:lineRule="exact"/>
        <w:ind w:firstLine="643" w:firstLineChars="200"/>
        <w:jc w:val="both"/>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农村低保申请标准</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val="en-US" w:eastAsia="zh-CN" w:bidi="ar-SA"/>
        </w:rPr>
        <w:t>2023年1月1日起，根据算账年度农村家庭人均年收入低于5280元（月440元）。</w:t>
      </w:r>
    </w:p>
    <w:p>
      <w:pPr>
        <w:keepNext w:val="0"/>
        <w:keepLines w:val="0"/>
        <w:pageBreakBefore w:val="0"/>
        <w:widowControl w:val="0"/>
        <w:kinsoku/>
        <w:wordWrap/>
        <w:overflowPunct/>
        <w:topLinePunct/>
        <w:bidi w:val="0"/>
        <w:adjustRightInd/>
        <w:snapToGrid/>
        <w:spacing w:line="560" w:lineRule="exact"/>
        <w:ind w:firstLine="643" w:firstLineChars="200"/>
        <w:jc w:val="both"/>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b/>
          <w:bCs/>
          <w:color w:val="auto"/>
          <w:sz w:val="32"/>
          <w:szCs w:val="32"/>
          <w:lang w:val="en-US" w:eastAsia="zh-CN" w:bidi="ar-SA"/>
        </w:rPr>
        <w:t>2.农村低保救助标准。</w:t>
      </w:r>
      <w:r>
        <w:rPr>
          <w:rFonts w:hint="eastAsia" w:ascii="仿宋_GB2312" w:hAnsi="仿宋_GB2312" w:eastAsia="仿宋_GB2312" w:cs="仿宋_GB2312"/>
          <w:color w:val="auto"/>
          <w:sz w:val="32"/>
          <w:szCs w:val="32"/>
          <w:lang w:val="en-US" w:eastAsia="zh-CN" w:bidi="ar-SA"/>
        </w:rPr>
        <w:t>月人均财政补助水平不低于220元，农村低保实行分类救助，分为三档，其中A档补助标准每人每月345元，B档每人每月220元，C档每人每月190元。</w:t>
      </w:r>
    </w:p>
    <w:p>
      <w:pPr>
        <w:keepNext w:val="0"/>
        <w:keepLines w:val="0"/>
        <w:pageBreakBefore w:val="0"/>
        <w:widowControl w:val="0"/>
        <w:numPr>
          <w:ilvl w:val="0"/>
          <w:numId w:val="0"/>
        </w:numPr>
        <w:shd w:val="clear" w:color="auto" w:fill="auto"/>
        <w:kinsoku/>
        <w:wordWrap/>
        <w:overflowPunct/>
        <w:topLinePunct/>
        <w:bidi w:val="0"/>
        <w:adjustRightInd/>
        <w:snapToGrid/>
        <w:spacing w:line="560" w:lineRule="exact"/>
        <w:ind w:leftChars="0" w:firstLine="643" w:firstLineChars="200"/>
        <w:jc w:val="both"/>
        <w:textAlignment w:val="top"/>
        <w:outlineLvl w:val="0"/>
        <w:rPr>
          <w:rFonts w:hint="eastAsia" w:ascii="黑体" w:hAnsi="黑体" w:eastAsia="黑体" w:cs="黑体"/>
          <w:b/>
          <w:bCs/>
          <w:color w:val="auto"/>
          <w:sz w:val="32"/>
          <w:szCs w:val="32"/>
          <w:lang w:eastAsia="zh-CN"/>
        </w:rPr>
      </w:pPr>
      <w:bookmarkStart w:id="2" w:name="_Toc15808"/>
      <w:r>
        <w:rPr>
          <w:rFonts w:hint="eastAsia" w:ascii="黑体" w:hAnsi="黑体" w:eastAsia="黑体" w:cs="黑体"/>
          <w:b/>
          <w:bCs/>
          <w:color w:val="auto"/>
          <w:sz w:val="32"/>
          <w:szCs w:val="32"/>
          <w:lang w:eastAsia="zh-CN"/>
        </w:rPr>
        <w:t>二、农村特困人员救助供养</w:t>
      </w:r>
      <w:bookmarkEnd w:id="2"/>
    </w:p>
    <w:p>
      <w:pPr>
        <w:keepNext w:val="0"/>
        <w:keepLines w:val="0"/>
        <w:pageBreakBefore w:val="0"/>
        <w:widowControl w:val="0"/>
        <w:numPr>
          <w:ilvl w:val="0"/>
          <w:numId w:val="0"/>
        </w:numPr>
        <w:kinsoku/>
        <w:wordWrap/>
        <w:overflowPunct/>
        <w:topLinePunct/>
        <w:bidi w:val="0"/>
        <w:adjustRightInd/>
        <w:snapToGrid/>
        <w:spacing w:line="560" w:lineRule="exact"/>
        <w:ind w:leftChars="0" w:firstLine="643" w:firstLineChars="200"/>
        <w:jc w:val="both"/>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b/>
          <w:bCs/>
          <w:color w:val="auto"/>
          <w:sz w:val="32"/>
          <w:szCs w:val="32"/>
          <w:lang w:val="en-US" w:eastAsia="zh-CN"/>
        </w:rPr>
        <w:t>1.特困供养人员认定标准。</w:t>
      </w:r>
      <w:r>
        <w:rPr>
          <w:rFonts w:hint="eastAsia" w:ascii="仿宋_GB2312" w:hAnsi="仿宋_GB2312" w:eastAsia="仿宋_GB2312" w:cs="仿宋_GB2312"/>
          <w:color w:val="auto"/>
          <w:sz w:val="32"/>
          <w:szCs w:val="32"/>
          <w:lang w:val="en-US" w:eastAsia="zh-CN" w:bidi="ar-SA"/>
        </w:rPr>
        <w:t>同时具备无劳动能力；无生活来源；无法定赡养、抚养、扶养义务人或者法定义务人无履行义务能力条件的老年人、残疾人和未成年人，应当纳入特困人员救助供养范围。</w:t>
      </w:r>
    </w:p>
    <w:p>
      <w:pPr>
        <w:keepNext w:val="0"/>
        <w:keepLines w:val="0"/>
        <w:pageBreakBefore w:val="0"/>
        <w:widowControl w:val="0"/>
        <w:numPr>
          <w:ilvl w:val="0"/>
          <w:numId w:val="0"/>
        </w:numPr>
        <w:kinsoku/>
        <w:wordWrap/>
        <w:overflowPunct/>
        <w:topLinePunct/>
        <w:bidi w:val="0"/>
        <w:adjustRightInd/>
        <w:snapToGrid/>
        <w:spacing w:line="560" w:lineRule="exact"/>
        <w:ind w:leftChars="0" w:firstLine="643" w:firstLineChars="200"/>
        <w:jc w:val="both"/>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b/>
          <w:bCs/>
          <w:color w:val="auto"/>
          <w:sz w:val="32"/>
          <w:szCs w:val="32"/>
          <w:lang w:val="en-US" w:eastAsia="zh-CN"/>
        </w:rPr>
        <w:t>2.特困人员基本生活标准。</w:t>
      </w:r>
      <w:r>
        <w:rPr>
          <w:rFonts w:hint="eastAsia" w:ascii="仿宋_GB2312" w:hAnsi="仿宋_GB2312" w:eastAsia="仿宋_GB2312" w:cs="仿宋_GB2312"/>
          <w:color w:val="auto"/>
          <w:sz w:val="32"/>
          <w:szCs w:val="32"/>
          <w:lang w:val="en-US" w:eastAsia="zh-CN" w:bidi="ar-SA"/>
        </w:rPr>
        <w:t>每人每年分散特困6864元、集中特困7000元。</w:t>
      </w:r>
    </w:p>
    <w:p>
      <w:pPr>
        <w:keepNext w:val="0"/>
        <w:keepLines w:val="0"/>
        <w:pageBreakBefore w:val="0"/>
        <w:widowControl w:val="0"/>
        <w:numPr>
          <w:ilvl w:val="0"/>
          <w:numId w:val="0"/>
        </w:numPr>
        <w:kinsoku/>
        <w:wordWrap/>
        <w:overflowPunct/>
        <w:topLinePunct/>
        <w:bidi w:val="0"/>
        <w:adjustRightInd/>
        <w:snapToGrid/>
        <w:spacing w:line="560" w:lineRule="exact"/>
        <w:ind w:leftChars="0" w:firstLine="643" w:firstLineChars="200"/>
        <w:jc w:val="both"/>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b/>
          <w:bCs/>
          <w:color w:val="auto"/>
          <w:sz w:val="32"/>
          <w:szCs w:val="32"/>
          <w:lang w:val="en-US" w:eastAsia="zh-CN"/>
        </w:rPr>
        <w:t>3.照料护理补贴标准。</w:t>
      </w:r>
      <w:r>
        <w:rPr>
          <w:rFonts w:hint="eastAsia" w:ascii="仿宋_GB2312" w:hAnsi="仿宋_GB2312" w:eastAsia="仿宋_GB2312" w:cs="仿宋_GB2312"/>
          <w:color w:val="auto"/>
          <w:sz w:val="32"/>
          <w:szCs w:val="32"/>
          <w:lang w:val="en-US" w:eastAsia="zh-CN" w:bidi="ar-SA"/>
        </w:rPr>
        <w:t>按照当地最低工资标准的1/3、1/6和当地重残人员执行，全失能人员、半失能人员、自理人员照料护理补贴标准分别为每人每月534元、267元、75元。</w:t>
      </w:r>
    </w:p>
    <w:p>
      <w:pPr>
        <w:keepNext w:val="0"/>
        <w:keepLines w:val="0"/>
        <w:pageBreakBefore w:val="0"/>
        <w:widowControl w:val="0"/>
        <w:numPr>
          <w:ilvl w:val="0"/>
          <w:numId w:val="0"/>
        </w:numPr>
        <w:shd w:val="clear" w:color="auto" w:fill="auto"/>
        <w:kinsoku/>
        <w:wordWrap/>
        <w:overflowPunct/>
        <w:topLinePunct/>
        <w:bidi w:val="0"/>
        <w:adjustRightInd/>
        <w:snapToGrid/>
        <w:spacing w:line="560" w:lineRule="exact"/>
        <w:ind w:leftChars="0" w:firstLine="643" w:firstLineChars="200"/>
        <w:jc w:val="both"/>
        <w:textAlignment w:val="top"/>
        <w:outlineLvl w:val="0"/>
        <w:rPr>
          <w:rFonts w:hint="eastAsia" w:ascii="黑体" w:hAnsi="黑体" w:eastAsia="黑体" w:cs="黑体"/>
          <w:b/>
          <w:bCs/>
          <w:color w:val="auto"/>
          <w:sz w:val="32"/>
          <w:szCs w:val="32"/>
          <w:lang w:eastAsia="zh-CN"/>
        </w:rPr>
      </w:pPr>
      <w:bookmarkStart w:id="3" w:name="_Toc19992"/>
      <w:r>
        <w:rPr>
          <w:rFonts w:hint="eastAsia" w:ascii="黑体" w:hAnsi="黑体" w:eastAsia="黑体" w:cs="黑体"/>
          <w:b/>
          <w:bCs/>
          <w:color w:val="auto"/>
          <w:sz w:val="32"/>
          <w:szCs w:val="32"/>
          <w:lang w:eastAsia="zh-CN"/>
        </w:rPr>
        <w:t>三、孤儿</w:t>
      </w:r>
      <w:r>
        <w:rPr>
          <w:rFonts w:hint="eastAsia" w:ascii="黑体" w:hAnsi="黑体" w:eastAsia="黑体" w:cs="黑体"/>
          <w:b/>
          <w:bCs/>
          <w:color w:val="auto"/>
          <w:sz w:val="32"/>
          <w:szCs w:val="32"/>
          <w:lang w:val="en-US" w:eastAsia="zh-CN"/>
        </w:rPr>
        <w:t>和事实无人抚养儿童</w:t>
      </w:r>
      <w:r>
        <w:rPr>
          <w:rFonts w:hint="eastAsia" w:ascii="黑体" w:hAnsi="黑体" w:eastAsia="黑体" w:cs="黑体"/>
          <w:b/>
          <w:bCs/>
          <w:color w:val="auto"/>
          <w:sz w:val="32"/>
          <w:szCs w:val="32"/>
          <w:lang w:eastAsia="zh-CN"/>
        </w:rPr>
        <w:t>保障标准</w:t>
      </w:r>
      <w:bookmarkEnd w:id="3"/>
    </w:p>
    <w:p>
      <w:pPr>
        <w:keepNext w:val="0"/>
        <w:keepLines w:val="0"/>
        <w:pageBreakBefore w:val="0"/>
        <w:widowControl w:val="0"/>
        <w:kinsoku/>
        <w:wordWrap/>
        <w:overflowPunct/>
        <w:topLinePunct/>
        <w:bidi w:val="0"/>
        <w:adjustRightInd/>
        <w:snapToGrid/>
        <w:spacing w:line="560" w:lineRule="exact"/>
        <w:ind w:firstLine="640" w:firstLineChars="200"/>
        <w:jc w:val="both"/>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福利机构集中供养每人每月1450元，分散供养每人每月1050元。艾滋病病毒感染儿童、事实无人抚养儿童基本生活费参照孤儿标准同步执行。</w:t>
      </w:r>
    </w:p>
    <w:p>
      <w:pPr>
        <w:keepNext w:val="0"/>
        <w:keepLines w:val="0"/>
        <w:pageBreakBefore w:val="0"/>
        <w:widowControl w:val="0"/>
        <w:numPr>
          <w:ilvl w:val="0"/>
          <w:numId w:val="0"/>
        </w:numPr>
        <w:shd w:val="clear" w:color="auto" w:fill="auto"/>
        <w:kinsoku/>
        <w:wordWrap/>
        <w:overflowPunct/>
        <w:topLinePunct/>
        <w:bidi w:val="0"/>
        <w:adjustRightInd/>
        <w:snapToGrid/>
        <w:spacing w:line="560" w:lineRule="exact"/>
        <w:ind w:leftChars="0" w:firstLine="643" w:firstLineChars="200"/>
        <w:jc w:val="both"/>
        <w:textAlignment w:val="top"/>
        <w:outlineLvl w:val="0"/>
        <w:rPr>
          <w:rFonts w:hint="eastAsia" w:ascii="黑体" w:hAnsi="黑体" w:eastAsia="黑体" w:cs="黑体"/>
          <w:b/>
          <w:bCs/>
          <w:color w:val="auto"/>
          <w:sz w:val="32"/>
          <w:szCs w:val="32"/>
          <w:highlight w:val="none"/>
          <w:lang w:eastAsia="zh-CN"/>
        </w:rPr>
      </w:pPr>
      <w:bookmarkStart w:id="4" w:name="_Toc3255"/>
      <w:r>
        <w:rPr>
          <w:rFonts w:hint="eastAsia" w:ascii="黑体" w:hAnsi="黑体" w:eastAsia="黑体" w:cs="黑体"/>
          <w:b/>
          <w:bCs/>
          <w:color w:val="auto"/>
          <w:sz w:val="32"/>
          <w:szCs w:val="32"/>
          <w:highlight w:val="none"/>
          <w:lang w:eastAsia="zh-CN"/>
        </w:rPr>
        <w:t>四、</w:t>
      </w:r>
      <w:bookmarkEnd w:id="4"/>
      <w:bookmarkStart w:id="5" w:name="_Toc10690"/>
      <w:r>
        <w:rPr>
          <w:rFonts w:hint="eastAsia" w:ascii="黑体" w:hAnsi="黑体" w:eastAsia="黑体" w:cs="黑体"/>
          <w:b/>
          <w:bCs/>
          <w:color w:val="auto"/>
          <w:sz w:val="32"/>
          <w:szCs w:val="32"/>
          <w:highlight w:val="none"/>
          <w:lang w:eastAsia="zh-CN"/>
        </w:rPr>
        <w:t>民政临时救助</w:t>
      </w:r>
      <w:bookmarkEnd w:id="5"/>
    </w:p>
    <w:p>
      <w:pPr>
        <w:keepNext w:val="0"/>
        <w:keepLines w:val="0"/>
        <w:pageBreakBefore w:val="0"/>
        <w:widowControl w:val="0"/>
        <w:numPr>
          <w:ilvl w:val="0"/>
          <w:numId w:val="0"/>
        </w:numPr>
        <w:shd w:val="clear" w:color="auto" w:fill="auto"/>
        <w:kinsoku/>
        <w:wordWrap/>
        <w:overflowPunct/>
        <w:topLinePunct/>
        <w:bidi w:val="0"/>
        <w:adjustRightInd/>
        <w:snapToGrid/>
        <w:spacing w:line="560" w:lineRule="exact"/>
        <w:ind w:leftChars="0" w:firstLine="640" w:firstLineChars="200"/>
        <w:jc w:val="both"/>
        <w:textAlignment w:val="top"/>
        <w:outlineLvl w:val="0"/>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临时救助不针对特定人群、身份，只确定是否发生突发性、紧迫性、临时性基本生活困难。根据困难情形，临时救助对象分为</w:t>
      </w:r>
      <w:r>
        <w:rPr>
          <w:rFonts w:hint="eastAsia" w:ascii="仿宋_GB2312" w:hAnsi="仿宋_GB2312" w:eastAsia="仿宋_GB2312" w:cs="仿宋_GB2312"/>
          <w:b/>
          <w:bCs/>
          <w:color w:val="auto"/>
          <w:sz w:val="32"/>
          <w:szCs w:val="32"/>
          <w:highlight w:val="none"/>
        </w:rPr>
        <w:t>急难型救助对象</w:t>
      </w:r>
      <w:r>
        <w:rPr>
          <w:rFonts w:hint="eastAsia" w:ascii="仿宋_GB2312" w:hAnsi="仿宋_GB2312" w:eastAsia="仿宋_GB2312" w:cs="仿宋_GB2312"/>
          <w:color w:val="auto"/>
          <w:sz w:val="32"/>
          <w:szCs w:val="32"/>
          <w:lang w:val="en-US" w:eastAsia="zh-CN" w:bidi="ar-SA"/>
        </w:rPr>
        <w:t>和</w:t>
      </w:r>
      <w:r>
        <w:rPr>
          <w:rFonts w:hint="eastAsia" w:ascii="仿宋_GB2312" w:hAnsi="仿宋_GB2312" w:eastAsia="仿宋_GB2312" w:cs="仿宋_GB2312"/>
          <w:b/>
          <w:bCs/>
          <w:color w:val="auto"/>
          <w:sz w:val="32"/>
          <w:szCs w:val="32"/>
          <w:highlight w:val="none"/>
        </w:rPr>
        <w:t>支出型救助对象。</w:t>
      </w:r>
      <w:r>
        <w:rPr>
          <w:rFonts w:hint="eastAsia" w:ascii="仿宋_GB2312" w:hAnsi="仿宋_GB2312" w:eastAsia="仿宋_GB2312" w:cs="仿宋_GB2312"/>
          <w:color w:val="auto"/>
          <w:sz w:val="32"/>
          <w:szCs w:val="32"/>
          <w:lang w:val="en-US" w:eastAsia="zh-CN" w:bidi="ar-SA"/>
        </w:rPr>
        <w:t>临时救助金额不超过当地当年城市月最低生活保障标准3倍的，县级人民政府民政部门可以委托乡镇人民政府（街道办事处）审批，自受理之日起10个工作日内完成审核审批手续，并发放临时救助金，审批结束后应报县级政府民政部门备案；临时救助金额超过当地当年城市月最低生活保障标准3倍的，由县级人民政府民政部门按规定程序审批。</w:t>
      </w:r>
    </w:p>
    <w:p>
      <w:pPr>
        <w:keepNext w:val="0"/>
        <w:keepLines w:val="0"/>
        <w:pageBreakBefore w:val="0"/>
        <w:widowControl w:val="0"/>
        <w:numPr>
          <w:ilvl w:val="0"/>
          <w:numId w:val="0"/>
        </w:numPr>
        <w:kinsoku/>
        <w:wordWrap/>
        <w:overflowPunct/>
        <w:topLinePunct/>
        <w:bidi w:val="0"/>
        <w:adjustRightInd/>
        <w:snapToGrid/>
        <w:spacing w:line="560" w:lineRule="exact"/>
        <w:ind w:leftChars="0" w:firstLine="643" w:firstLineChars="200"/>
        <w:jc w:val="both"/>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b/>
          <w:bCs/>
          <w:color w:val="auto"/>
          <w:sz w:val="32"/>
          <w:szCs w:val="32"/>
        </w:rPr>
        <w:t>急难型救助</w:t>
      </w:r>
      <w:r>
        <w:rPr>
          <w:rFonts w:hint="eastAsia" w:ascii="仿宋_GB2312" w:hAnsi="仿宋_GB2312" w:eastAsia="仿宋_GB2312" w:cs="仿宋_GB2312"/>
          <w:b/>
          <w:bCs/>
          <w:color w:val="auto"/>
          <w:sz w:val="32"/>
          <w:szCs w:val="32"/>
          <w:lang w:eastAsia="zh-CN"/>
        </w:rPr>
        <w:t>对象</w:t>
      </w:r>
      <w:r>
        <w:rPr>
          <w:rFonts w:hint="eastAsia" w:ascii="仿宋_GB2312" w:hAnsi="仿宋_GB2312" w:eastAsia="仿宋_GB2312" w:cs="仿宋_GB2312"/>
          <w:color w:val="auto"/>
          <w:sz w:val="32"/>
          <w:szCs w:val="32"/>
          <w:lang w:val="en-US" w:eastAsia="zh-CN" w:bidi="ar-SA"/>
        </w:rPr>
        <w:t>困难程度较轻的，人均救助标准不超过1890元；困难程度较重的，人均救助标准不超过3780元。</w:t>
      </w:r>
    </w:p>
    <w:p>
      <w:pPr>
        <w:keepNext w:val="0"/>
        <w:keepLines w:val="0"/>
        <w:pageBreakBefore w:val="0"/>
        <w:widowControl w:val="0"/>
        <w:numPr>
          <w:ilvl w:val="0"/>
          <w:numId w:val="0"/>
        </w:numPr>
        <w:kinsoku/>
        <w:wordWrap/>
        <w:overflowPunct/>
        <w:topLinePunct/>
        <w:bidi w:val="0"/>
        <w:adjustRightInd/>
        <w:snapToGrid/>
        <w:spacing w:line="560" w:lineRule="exact"/>
        <w:ind w:leftChars="0" w:firstLine="643" w:firstLineChars="200"/>
        <w:jc w:val="both"/>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支出型救助对象</w:t>
      </w:r>
      <w:r>
        <w:rPr>
          <w:rFonts w:hint="eastAsia" w:ascii="仿宋_GB2312" w:hAnsi="仿宋_GB2312" w:eastAsia="仿宋_GB2312" w:cs="仿宋_GB2312"/>
          <w:color w:val="auto"/>
          <w:sz w:val="32"/>
          <w:szCs w:val="32"/>
          <w:lang w:val="en-US" w:eastAsia="zh-CN" w:bidi="ar-SA"/>
        </w:rPr>
        <w:t>视相关医疗保险补偿和医疗救助后个人自负费用给予救助，可按照个人自负费用分段分档进行救助，每人救助标准原则上不超过3780元。</w:t>
      </w:r>
    </w:p>
    <w:p>
      <w:pPr>
        <w:keepNext w:val="0"/>
        <w:keepLines w:val="0"/>
        <w:pageBreakBefore w:val="0"/>
        <w:widowControl w:val="0"/>
        <w:kinsoku/>
        <w:wordWrap/>
        <w:overflowPunct/>
        <w:topLinePunct/>
        <w:bidi w:val="0"/>
        <w:adjustRightInd/>
        <w:snapToGrid/>
        <w:spacing w:line="560" w:lineRule="exact"/>
        <w:ind w:leftChars="0" w:firstLine="643" w:firstLineChars="200"/>
        <w:jc w:val="both"/>
        <w:textAlignment w:val="top"/>
        <w:rPr>
          <w:rFonts w:hint="eastAsia" w:ascii="仿宋_GB2312" w:hAnsi="仿宋_GB2312" w:eastAsia="仿宋_GB2312" w:cs="仿宋_GB2312"/>
          <w:b/>
          <w:bCs/>
          <w:color w:val="auto"/>
          <w:sz w:val="32"/>
          <w:szCs w:val="32"/>
          <w:lang w:val="en-US" w:eastAsia="zh-CN"/>
        </w:rPr>
      </w:pPr>
    </w:p>
    <w:p>
      <w:pPr>
        <w:keepNext w:val="0"/>
        <w:keepLines w:val="0"/>
        <w:pageBreakBefore w:val="0"/>
        <w:widowControl w:val="0"/>
        <w:kinsoku/>
        <w:wordWrap/>
        <w:overflowPunct/>
        <w:topLinePunct/>
        <w:bidi w:val="0"/>
        <w:adjustRightInd/>
        <w:snapToGrid/>
        <w:spacing w:line="560" w:lineRule="exact"/>
        <w:ind w:leftChars="0" w:firstLine="643" w:firstLineChars="200"/>
        <w:jc w:val="both"/>
        <w:textAlignment w:val="top"/>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方城县民政局政策解读咨询电话：0377-67290317  67290326</w:t>
      </w:r>
    </w:p>
    <w:p>
      <w:pPr>
        <w:keepNext w:val="0"/>
        <w:keepLines w:val="0"/>
        <w:pageBreakBefore w:val="0"/>
        <w:kinsoku/>
        <w:wordWrap/>
        <w:bidi w:val="0"/>
        <w:spacing w:line="560" w:lineRule="exact"/>
      </w:pPr>
    </w:p>
    <w:p>
      <w:pPr>
        <w:pStyle w:val="2"/>
        <w:keepNext w:val="0"/>
        <w:keepLines w:val="0"/>
        <w:pageBreakBefore w:val="0"/>
        <w:kinsoku/>
        <w:wordWrap/>
        <w:bidi w:val="0"/>
        <w:spacing w:line="560" w:lineRule="exact"/>
      </w:pPr>
    </w:p>
    <w:p>
      <w:pPr>
        <w:pStyle w:val="3"/>
        <w:keepNext w:val="0"/>
        <w:keepLines w:val="0"/>
        <w:pageBreakBefore w:val="0"/>
        <w:kinsoku/>
        <w:wordWrap/>
        <w:bidi w:val="0"/>
        <w:spacing w:line="560" w:lineRule="exact"/>
      </w:pPr>
    </w:p>
    <w:p>
      <w:pPr>
        <w:pStyle w:val="2"/>
        <w:keepNext w:val="0"/>
        <w:keepLines w:val="0"/>
        <w:pageBreakBefore w:val="0"/>
        <w:kinsoku/>
        <w:wordWrap/>
        <w:bidi w:val="0"/>
        <w:spacing w:line="560" w:lineRule="exact"/>
      </w:pPr>
    </w:p>
    <w:p>
      <w:pPr>
        <w:pStyle w:val="2"/>
        <w:keepNext w:val="0"/>
        <w:keepLines w:val="0"/>
        <w:pageBreakBefore w:val="0"/>
        <w:kinsoku/>
        <w:wordWrap/>
        <w:bidi w:val="0"/>
        <w:spacing w:line="560" w:lineRule="exact"/>
      </w:pPr>
    </w:p>
    <w:p>
      <w:pPr>
        <w:pStyle w:val="2"/>
        <w:keepNext w:val="0"/>
        <w:keepLines w:val="0"/>
        <w:pageBreakBefore w:val="0"/>
        <w:kinsoku/>
        <w:wordWrap/>
        <w:bidi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教育</w:t>
      </w:r>
      <w:r>
        <w:rPr>
          <w:rFonts w:hint="eastAsia" w:ascii="方正小标宋简体" w:hAnsi="方正小标宋简体" w:eastAsia="方正小标宋简体" w:cs="方正小标宋简体"/>
          <w:sz w:val="44"/>
          <w:szCs w:val="44"/>
          <w:lang w:eastAsia="zh-CN"/>
        </w:rPr>
        <w:t>帮扶</w:t>
      </w:r>
      <w:r>
        <w:rPr>
          <w:rFonts w:hint="eastAsia" w:ascii="方正小标宋简体" w:hAnsi="方正小标宋简体" w:eastAsia="方正小标宋简体" w:cs="方正小标宋简体"/>
          <w:sz w:val="44"/>
          <w:szCs w:val="44"/>
        </w:rPr>
        <w:t>政策解读</w:t>
      </w:r>
    </w:p>
    <w:p>
      <w:pPr>
        <w:keepNext w:val="0"/>
        <w:keepLines w:val="0"/>
        <w:pageBreakBefore w:val="0"/>
        <w:kinsoku/>
        <w:wordWrap/>
        <w:bidi w:val="0"/>
        <w:spacing w:line="560" w:lineRule="exact"/>
        <w:rPr>
          <w:rFonts w:hint="eastAsia" w:ascii="仿宋" w:hAnsi="仿宋" w:eastAsia="仿宋"/>
          <w:sz w:val="32"/>
          <w:szCs w:val="32"/>
        </w:rPr>
      </w:pPr>
      <w:bookmarkStart w:id="6" w:name="_Toc15637"/>
    </w:p>
    <w:p>
      <w:pPr>
        <w:keepNext w:val="0"/>
        <w:keepLines w:val="0"/>
        <w:pageBreakBefore w:val="0"/>
        <w:widowControl/>
        <w:kinsoku/>
        <w:wordWrap/>
        <w:overflowPunct/>
        <w:topLinePunct w:val="0"/>
        <w:autoSpaceDN/>
        <w:bidi w:val="0"/>
        <w:adjustRightInd/>
        <w:snapToGrid/>
        <w:spacing w:line="560" w:lineRule="exact"/>
        <w:ind w:firstLine="643" w:firstLineChars="200"/>
        <w:textAlignment w:val="auto"/>
        <w:rPr>
          <w:rFonts w:hint="eastAsia" w:ascii="黑体" w:hAnsi="黑体" w:eastAsia="黑体" w:cs="黑体"/>
          <w:b/>
          <w:bCs/>
          <w:sz w:val="32"/>
          <w:szCs w:val="32"/>
        </w:rPr>
      </w:pPr>
      <w:bookmarkStart w:id="83" w:name="_GoBack"/>
      <w:r>
        <w:rPr>
          <w:rFonts w:hint="eastAsia" w:ascii="黑体" w:hAnsi="黑体" w:eastAsia="黑体" w:cs="黑体"/>
          <w:b/>
          <w:bCs/>
          <w:sz w:val="32"/>
          <w:szCs w:val="32"/>
        </w:rPr>
        <w:t>一、义务教育控辍保学</w:t>
      </w:r>
      <w:bookmarkEnd w:id="6"/>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义务教育阶段是指小学六年和初中三年共九年；义务教育阶段适龄儿童少年是指年满六周岁至十五周岁；义务教育阶段控辍保学是指适龄儿童少年不失学辍学，确保除身体原因不具备学习条件的义务教育阶段适龄义务教育阶段适龄</w:t>
      </w:r>
    </w:p>
    <w:p>
      <w:pPr>
        <w:keepNext w:val="0"/>
        <w:keepLines w:val="0"/>
        <w:pageBreakBefore w:val="0"/>
        <w:widowControl/>
        <w:kinsoku/>
        <w:wordWrap/>
        <w:overflowPunct/>
        <w:topLinePunct w:val="0"/>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儿童少年接受九年义务教育。</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不属于失学辍学的范围：</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1.年龄满6周岁但仍在幼儿园就读或因身体等原因由家长申请延缓入学的适龄儿童。</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2.年满15周岁或年龄不满15周岁但已初中毕业。</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3.请假和休学的学生。</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4.因重度残疾而安排送教上门的适龄儿童少年。</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5.因身体原因不具备学习条件的适龄儿童少年。</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6.失踪失联的适龄儿童少年。</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7.有本地户籍但在异地就读的适龄儿童少年。</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8.对少数经相关部门联合劝返三次以上或经司法部门判决裁定监护人已履行相应法定义务，但学生本人拒不返校的辍学学生。</w:t>
      </w:r>
    </w:p>
    <w:p>
      <w:pPr>
        <w:keepNext w:val="0"/>
        <w:keepLines w:val="0"/>
        <w:pageBreakBefore w:val="0"/>
        <w:widowControl/>
        <w:kinsoku/>
        <w:wordWrap/>
        <w:overflowPunct/>
        <w:topLinePunct w:val="0"/>
        <w:autoSpaceDN/>
        <w:bidi w:val="0"/>
        <w:adjustRightInd/>
        <w:snapToGrid/>
        <w:spacing w:line="560" w:lineRule="exact"/>
        <w:ind w:firstLine="643" w:firstLineChars="200"/>
        <w:textAlignment w:val="auto"/>
        <w:rPr>
          <w:rFonts w:hint="eastAsia" w:ascii="黑体" w:hAnsi="黑体" w:eastAsia="黑体" w:cs="黑体"/>
          <w:b/>
          <w:bCs/>
          <w:sz w:val="32"/>
          <w:szCs w:val="32"/>
        </w:rPr>
      </w:pPr>
      <w:bookmarkStart w:id="7" w:name="_Toc6754"/>
      <w:r>
        <w:rPr>
          <w:rFonts w:hint="eastAsia" w:ascii="黑体" w:hAnsi="黑体" w:eastAsia="黑体" w:cs="黑体"/>
          <w:b/>
          <w:bCs/>
          <w:sz w:val="32"/>
          <w:szCs w:val="32"/>
        </w:rPr>
        <w:t>二、适龄残疾儿童少年送教上门</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1.送教对象。具有接受教育能力，需专人护理、不能到普通学校随班就读或特殊教育学校就读的各类重度适龄残疾儿童少年；适龄残疾儿童少年是指年满六周岁至十五周岁。</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送教方式。教育行政部门联合残联等部门，通过送教进社区、进儿童福利机构、进康复机构、进家庭等方式，共同为学生提供规范、有效的康复训练、教育指导等服务。送教到康复机构的，要由教育部门统筹安排中小学校与康复中心建立结对帮扶送教机制。有条件的地方可通过远程教育的方式实施义务教育，确保不漏一人。原则上每月送教不少于 2 次，每次 3 个课时，一人一档建立送教档案。</w:t>
      </w:r>
    </w:p>
    <w:p>
      <w:pPr>
        <w:keepNext w:val="0"/>
        <w:keepLines w:val="0"/>
        <w:pageBreakBefore w:val="0"/>
        <w:widowControl/>
        <w:kinsoku/>
        <w:wordWrap/>
        <w:overflowPunct/>
        <w:topLinePunct w:val="0"/>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三、脱贫享受政策户和风险未消除监测对象家庭学生的资助政策</w:t>
      </w:r>
      <w:bookmarkEnd w:id="7"/>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学前阶段：脱贫享受政策户和风险未消除监测户家庭学生生活费</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00元/</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，保教费</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00元/</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；一般贫困生生活补助</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00元/</w:t>
      </w:r>
      <w:r>
        <w:rPr>
          <w:rFonts w:hint="eastAsia" w:ascii="仿宋_GB2312" w:hAnsi="仿宋_GB2312" w:eastAsia="仿宋_GB2312" w:cs="仿宋_GB2312"/>
          <w:sz w:val="32"/>
          <w:szCs w:val="32"/>
          <w:lang w:eastAsia="zh-CN"/>
        </w:rPr>
        <w:t>年。</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义教阶段：脱贫享受政策户和风险未消除监测户家庭学生营养餐</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00元/</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，小学寄宿生补助</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；初中寄宿生补助</w:t>
      </w:r>
      <w:r>
        <w:rPr>
          <w:rFonts w:hint="eastAsia" w:ascii="仿宋_GB2312" w:hAnsi="仿宋_GB2312" w:eastAsia="仿宋_GB2312" w:cs="仿宋_GB2312"/>
          <w:sz w:val="32"/>
          <w:szCs w:val="32"/>
          <w:lang w:val="en-US" w:eastAsia="zh-CN"/>
        </w:rPr>
        <w:t>1250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，非寄宿生按同类寄宿生50%给予补助。一般贫困生小学寄宿生补助</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00元/</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；初中寄宿生生补助</w:t>
      </w:r>
      <w:r>
        <w:rPr>
          <w:rFonts w:hint="eastAsia" w:ascii="仿宋_GB2312" w:hAnsi="仿宋_GB2312" w:eastAsia="仿宋_GB2312" w:cs="仿宋_GB2312"/>
          <w:sz w:val="32"/>
          <w:szCs w:val="32"/>
          <w:lang w:val="en-US" w:eastAsia="zh-CN"/>
        </w:rPr>
        <w:t>1250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，非寄宿生按同类寄宿生50%给予补助。</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高中阶段：脱贫享受政策户和风险未消除监测户家庭学生、一般贫困生中非建档立卡的家庭经济困难残疾学生、农村低保家庭学生、农村特困救助供养学生免学费、免住宿费，享受国家助学金</w:t>
      </w:r>
      <w:r>
        <w:rPr>
          <w:rFonts w:hint="eastAsia" w:ascii="仿宋_GB2312" w:hAnsi="仿宋_GB2312" w:eastAsia="仿宋_GB2312" w:cs="仿宋_GB2312"/>
          <w:sz w:val="32"/>
          <w:szCs w:val="32"/>
          <w:lang w:val="en-US" w:eastAsia="zh-CN"/>
        </w:rPr>
        <w:t>3000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；一般贫困生一档</w:t>
      </w:r>
      <w:r>
        <w:rPr>
          <w:rFonts w:hint="eastAsia" w:ascii="仿宋_GB2312" w:hAnsi="仿宋_GB2312" w:eastAsia="仿宋_GB2312" w:cs="仿宋_GB2312"/>
          <w:sz w:val="32"/>
          <w:szCs w:val="32"/>
          <w:lang w:val="en-US" w:eastAsia="zh-CN"/>
        </w:rPr>
        <w:t>3000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，二档</w:t>
      </w:r>
      <w:r>
        <w:rPr>
          <w:rFonts w:hint="eastAsia" w:ascii="仿宋_GB2312" w:hAnsi="仿宋_GB2312" w:eastAsia="仿宋_GB2312" w:cs="仿宋_GB2312"/>
          <w:sz w:val="32"/>
          <w:szCs w:val="32"/>
          <w:lang w:val="en-US" w:eastAsia="zh-CN"/>
        </w:rPr>
        <w:t>1500</w:t>
      </w:r>
      <w:r>
        <w:rPr>
          <w:rFonts w:hint="eastAsia" w:ascii="仿宋_GB2312" w:hAnsi="仿宋_GB2312" w:eastAsia="仿宋_GB2312" w:cs="仿宋_GB2312"/>
          <w:sz w:val="32"/>
          <w:szCs w:val="32"/>
        </w:rPr>
        <w:t>元/期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中职阶段：脱贫享受政策户和风险未消除监测户家庭学生国家助学金</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000元/</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，中职学生免除学费。一般贫困生助学金</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000元/</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针对无籍生、复习生等不完全符合资助政策户的脱贫享受政策户和风险未消除监测户家庭学生，我们按照资助标准实行县级兜底资助，保证贫困家庭学生的“应助尽助，不漏一人。”</w:t>
      </w:r>
    </w:p>
    <w:p>
      <w:pPr>
        <w:keepNext w:val="0"/>
        <w:keepLines w:val="0"/>
        <w:pageBreakBefore w:val="0"/>
        <w:widowControl/>
        <w:kinsoku/>
        <w:wordWrap/>
        <w:overflowPunct/>
        <w:topLinePunct w:val="0"/>
        <w:autoSpaceDN/>
        <w:bidi w:val="0"/>
        <w:adjustRightInd/>
        <w:snapToGrid/>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四、工作经验</w:t>
      </w:r>
    </w:p>
    <w:p>
      <w:pPr>
        <w:keepNext w:val="0"/>
        <w:keepLines w:val="0"/>
        <w:pageBreakBefore w:val="0"/>
        <w:widowControl/>
        <w:kinsoku/>
        <w:wordWrap/>
        <w:overflowPunct/>
        <w:topLinePunct w:val="0"/>
        <w:autoSpaceDN/>
        <w:bidi w:val="0"/>
        <w:adjustRightInd/>
        <w:snapToGrid/>
        <w:spacing w:line="560" w:lineRule="exact"/>
        <w:ind w:firstLine="643" w:firstLineChars="20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（一）全面覆盖 不断深化资助政策宣传</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落实学生资助宣传长效工作机制，实施好“32211”工程。做好致初中毕业生、普通高中毕业生和学生资助工作者“三封信”发放工作;推动各级各类学校上好每学年“两节课”，秋季学期初和春季学期末各上一节资助政策宣传课，强化各学段之间资助政策衔接;组织发放资助政策明白卡、受助情况温馨告知书(卡);资助政策简介等。各学校</w:t>
      </w:r>
      <w:r>
        <w:rPr>
          <w:rFonts w:hint="eastAsia" w:ascii="仿宋" w:hAnsi="仿宋" w:eastAsia="仿宋" w:cs="仿宋"/>
          <w:bCs/>
          <w:color w:val="000000" w:themeColor="text1"/>
          <w:sz w:val="32"/>
          <w:szCs w:val="32"/>
          <w14:textFill>
            <w14:solidFill>
              <w14:schemeClr w14:val="tx1"/>
            </w14:solidFill>
          </w14:textFill>
        </w:rPr>
        <w:t>采取宣传页、版面、学校流动电子屏、校外横幅等途径宣传</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资助中心</w:t>
      </w:r>
      <w:r>
        <w:rPr>
          <w:rFonts w:hint="eastAsia" w:ascii="仿宋" w:hAnsi="仿宋" w:eastAsia="仿宋" w:cs="仿宋"/>
          <w:color w:val="000000" w:themeColor="text1"/>
          <w:sz w:val="32"/>
          <w:szCs w:val="32"/>
          <w14:textFill>
            <w14:solidFill>
              <w14:schemeClr w14:val="tx1"/>
            </w14:solidFill>
          </w14:textFill>
        </w:rPr>
        <w:t>加强网站、微信、视频号等新媒体宣传力度，开通学生资助咨询服务热线等途径宣传资助政策。</w:t>
      </w:r>
      <w:r>
        <w:rPr>
          <w:rFonts w:hint="eastAsia" w:ascii="仿宋" w:hAnsi="仿宋" w:eastAsia="仿宋" w:cs="仿宋"/>
          <w:bCs/>
          <w:color w:val="000000" w:themeColor="text1"/>
          <w:sz w:val="32"/>
          <w:szCs w:val="32"/>
          <w14:textFill>
            <w14:solidFill>
              <w14:schemeClr w14:val="tx1"/>
            </w14:solidFill>
          </w14:textFill>
        </w:rPr>
        <w:t>对县外就读学生，通过发放“致学生家长的一封信”和“致县外就读学校的函”，提醒学生在就读学校享受资助，确保在县外享受相关资助政策。学校老师为学生及家长</w:t>
      </w:r>
      <w:r>
        <w:rPr>
          <w:rFonts w:hint="eastAsia" w:ascii="仿宋" w:hAnsi="仿宋" w:eastAsia="仿宋" w:cs="仿宋"/>
          <w:color w:val="000000" w:themeColor="text1"/>
          <w:sz w:val="32"/>
          <w:szCs w:val="32"/>
          <w14:textFill>
            <w14:solidFill>
              <w14:schemeClr w14:val="tx1"/>
            </w14:solidFill>
          </w14:textFill>
        </w:rPr>
        <w:t>全面深入解读学生资助政策。</w:t>
      </w:r>
      <w:r>
        <w:rPr>
          <w:rFonts w:hint="eastAsia" w:ascii="仿宋" w:hAnsi="仿宋" w:eastAsia="仿宋" w:cs="仿宋"/>
          <w:bCs/>
          <w:color w:val="000000" w:themeColor="text1"/>
          <w:sz w:val="32"/>
          <w:szCs w:val="32"/>
          <w14:textFill>
            <w14:solidFill>
              <w14:schemeClr w14:val="tx1"/>
            </w14:solidFill>
          </w14:textFill>
        </w:rPr>
        <w:t>让资助政策入村到户，进班上墙，做到家喻户晓，心知肚明，人人皆知。实现资助政策宣传全覆盖。</w:t>
      </w:r>
    </w:p>
    <w:p>
      <w:pPr>
        <w:keepNext w:val="0"/>
        <w:keepLines w:val="0"/>
        <w:pageBreakBefore w:val="0"/>
        <w:widowControl/>
        <w:numPr>
          <w:ilvl w:val="0"/>
          <w:numId w:val="0"/>
        </w:numPr>
        <w:kinsoku/>
        <w:wordWrap/>
        <w:overflowPunct/>
        <w:topLinePunct w:val="0"/>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b/>
          <w:bCs/>
          <w:sz w:val="32"/>
          <w:szCs w:val="32"/>
          <w:lang w:val="en-US" w:eastAsia="zh-CN"/>
        </w:rPr>
        <w:t>（二）做好排查 精准掌握贫困家庭学生基本情况</w:t>
      </w:r>
    </w:p>
    <w:p>
      <w:pPr>
        <w:keepNext w:val="0"/>
        <w:keepLines w:val="0"/>
        <w:pageBreakBefore w:val="0"/>
        <w:widowControl/>
        <w:numPr>
          <w:ilvl w:val="0"/>
          <w:numId w:val="0"/>
        </w:numPr>
        <w:kinsoku/>
        <w:wordWrap/>
        <w:overflowPunct/>
        <w:topLinePunct w:val="0"/>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各中小学对脱贫享受政策户及风险未消除监测户家庭学生家庭信息进行排查，依据下发县乡村振兴局扶贫库数据，各学校先以村为单位</w:t>
      </w:r>
      <w:r>
        <w:rPr>
          <w:rFonts w:hint="eastAsia" w:ascii="仿宋" w:hAnsi="仿宋" w:eastAsia="仿宋" w:cs="仿宋"/>
          <w:color w:val="000000" w:themeColor="text1"/>
          <w:sz w:val="32"/>
          <w:szCs w:val="32"/>
          <w:lang w:eastAsia="zh-CN"/>
          <w14:textFill>
            <w14:solidFill>
              <w14:schemeClr w14:val="tx1"/>
            </w14:solidFill>
          </w14:textFill>
        </w:rPr>
        <w:t>采取</w:t>
      </w:r>
      <w:r>
        <w:rPr>
          <w:rFonts w:hint="eastAsia" w:ascii="仿宋" w:hAnsi="仿宋" w:eastAsia="仿宋" w:cs="仿宋"/>
          <w:color w:val="000000" w:themeColor="text1"/>
          <w:sz w:val="32"/>
          <w:szCs w:val="32"/>
          <w14:textFill>
            <w14:solidFill>
              <w14:schemeClr w14:val="tx1"/>
            </w14:solidFill>
          </w14:textFill>
        </w:rPr>
        <w:t>进村入户走访或电话联系、与村委对接等方式核实学生的就读学校信息，无误后分“县内就读、县外就读”两类，学校、中心学校把关，按照时间节点，上报县学生资助中心审核汇总，最后建立县、镇、校三级台账</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对因自然灾害，家庭变故、疫情等问题引起的返贫、致贫家庭学生，</w:t>
      </w:r>
      <w:r>
        <w:rPr>
          <w:rFonts w:hint="eastAsia" w:ascii="仿宋" w:hAnsi="仿宋" w:eastAsia="仿宋" w:cs="仿宋"/>
          <w:color w:val="000000" w:themeColor="text1"/>
          <w:sz w:val="32"/>
          <w:szCs w:val="32"/>
          <w:lang w:eastAsia="zh-CN"/>
          <w14:textFill>
            <w14:solidFill>
              <w14:schemeClr w14:val="tx1"/>
            </w14:solidFill>
          </w14:textFill>
        </w:rPr>
        <w:t>及时</w:t>
      </w:r>
      <w:r>
        <w:rPr>
          <w:rFonts w:hint="eastAsia" w:ascii="仿宋" w:hAnsi="仿宋" w:eastAsia="仿宋" w:cs="仿宋"/>
          <w:color w:val="000000" w:themeColor="text1"/>
          <w:sz w:val="32"/>
          <w:szCs w:val="32"/>
          <w14:textFill>
            <w14:solidFill>
              <w14:schemeClr w14:val="tx1"/>
            </w14:solidFill>
          </w14:textFill>
        </w:rPr>
        <w:t>了解其家庭受灾情况和资助诉求，掌握因灾因疫受影响困难学生家庭基本情况，为精准资助做好数据准备。</w:t>
      </w:r>
    </w:p>
    <w:p>
      <w:pPr>
        <w:keepNext w:val="0"/>
        <w:keepLines w:val="0"/>
        <w:pageBreakBefore w:val="0"/>
        <w:widowControl/>
        <w:kinsoku/>
        <w:wordWrap/>
        <w:overflowPunct/>
        <w:topLinePunct w:val="0"/>
        <w:autoSpaceDN/>
        <w:bidi w:val="0"/>
        <w:adjustRightInd/>
        <w:snapToGrid/>
        <w:spacing w:line="560" w:lineRule="exact"/>
        <w:ind w:firstLine="643" w:firstLineChars="20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（三）精准认定 确保资助政策享受对象一人不漏</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脱贫享受政策户及风险未消除监测户家庭学生所在学校对学生的资助信息进行再次采集、核实，结合校级台账、“致学生家长的一封信”，确定本学校脱贫享受政策户及风险未消除监测户家庭学生在本县享受资助，各学校以中心校为单位组织上报。同时，各中心学校资助专干与与学籍管理人员及时沟通，保证享受上级资助的学生人人有学籍，无学籍的脱贫享受政策户及风险未消除监测户家庭学生县级兜底资助，实现学生资助全覆盖。</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县资助中心将对各乡校上报数据进行汇总，与县乡村振兴局扶贫库、学籍库再次进行比对，实现学生资助“应助尽助，一人不漏</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同时，还要进行全县学校之间、学段之间查重比对，确保学生资助“一人不重”；接着将汇总数据信息导入到一卡通系统中进行校验、纠错，最后导入一卡通系统，确保上报脱贫享受政策户及风险未消除监测户家庭学生数据信息的准确。</w:t>
      </w:r>
    </w:p>
    <w:p>
      <w:pPr>
        <w:keepNext w:val="0"/>
        <w:keepLines w:val="0"/>
        <w:pageBreakBefore w:val="0"/>
        <w:widowControl/>
        <w:kinsoku/>
        <w:wordWrap/>
        <w:overflowPunct/>
        <w:topLinePunct w:val="0"/>
        <w:autoSpaceDN/>
        <w:bidi w:val="0"/>
        <w:adjustRightInd/>
        <w:snapToGrid/>
        <w:spacing w:line="560" w:lineRule="exact"/>
        <w:ind w:firstLine="643" w:firstLineChars="20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（四）精准发放 确保资助资金一分不少</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我们将在规定的时间节点完成脱贫享受政策户及风险未消除监测户家庭学生信息数据的采集、校验、纠错，及时上报局里，申请县财局拨款，将资金落实到位，县财局将资助款项通过一卡通系统拨付农业银行打卡直接发放，资金打卡后，由学生就读学校发放“资金发放温馨告知书”，落实资助金发放是否到位，确保资金发放及时、准确，“一分不少”、“一个不漏”。</w:t>
      </w:r>
    </w:p>
    <w:p>
      <w:pPr>
        <w:keepNext w:val="0"/>
        <w:keepLines w:val="0"/>
        <w:pageBreakBefore w:val="0"/>
        <w:widowControl/>
        <w:kinsoku/>
        <w:wordWrap/>
        <w:overflowPunct/>
        <w:topLinePunct w:val="0"/>
        <w:autoSpaceDN/>
        <w:bidi w:val="0"/>
        <w:adjustRightInd/>
        <w:snapToGrid/>
        <w:spacing w:line="560" w:lineRule="exact"/>
        <w:ind w:firstLine="643" w:firstLineChars="20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（五）积极主动，使用一卡通系统发放资金</w:t>
      </w:r>
    </w:p>
    <w:p>
      <w:pPr>
        <w:pStyle w:val="16"/>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一卡通系统是确保惠民惠农政策落地见效、提升为民服务效能的具体举措，是纵深推进全面从严治党、整治群众身边腐败问题的现实需要。</w:t>
      </w:r>
      <w:r>
        <w:rPr>
          <w:rFonts w:hint="eastAsia" w:ascii="仿宋" w:hAnsi="仿宋" w:eastAsia="仿宋" w:cs="仿宋"/>
          <w:color w:val="000000" w:themeColor="text1"/>
          <w:sz w:val="32"/>
          <w:szCs w:val="32"/>
          <w:lang w:eastAsia="zh-CN"/>
          <w14:textFill>
            <w14:solidFill>
              <w14:schemeClr w14:val="tx1"/>
            </w14:solidFill>
          </w14:textFill>
        </w:rPr>
        <w:t>我们要求</w:t>
      </w:r>
      <w:r>
        <w:rPr>
          <w:rFonts w:hint="eastAsia" w:ascii="仿宋" w:hAnsi="仿宋" w:eastAsia="仿宋" w:cs="仿宋"/>
          <w:color w:val="000000" w:themeColor="text1"/>
          <w:sz w:val="32"/>
          <w:szCs w:val="32"/>
          <w14:textFill>
            <w14:solidFill>
              <w14:schemeClr w14:val="tx1"/>
            </w14:solidFill>
          </w14:textFill>
        </w:rPr>
        <w:t>各学校严格按照《河南省人民政府办公厅关于进一步加强惠民惠农财政补贴资金“一卡通”管理的实施意见》(豫政办〔2021〕24号)要求，认真收集、填报数据，确保数据精准，保证一卡通系统发放资金的顺利进行。坚决杜绝为快速导入一卡通系统使用学校教师或着校长社保卡替代学生或家长社保卡的现象。</w:t>
      </w:r>
    </w:p>
    <w:p>
      <w:pPr>
        <w:keepNext w:val="0"/>
        <w:keepLines w:val="0"/>
        <w:pageBreakBefore w:val="0"/>
        <w:widowControl/>
        <w:kinsoku/>
        <w:wordWrap/>
        <w:overflowPunct/>
        <w:topLinePunct w:val="0"/>
        <w:autoSpaceDN/>
        <w:bidi w:val="0"/>
        <w:adjustRightInd/>
        <w:snapToGrid/>
        <w:spacing w:line="560" w:lineRule="exact"/>
        <w:ind w:firstLine="643" w:firstLineChars="20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（六）双管齐下 扎实推进资助育人</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坚持把促进家庭经济困难学生成长</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成才作为学生资助工作的出发点和落脚点，作为“立德树人”的重要组成部分，</w:t>
      </w:r>
      <w:r>
        <w:rPr>
          <w:rFonts w:hint="eastAsia" w:ascii="仿宋" w:hAnsi="仿宋" w:eastAsia="仿宋" w:cs="仿宋"/>
          <w:bCs/>
          <w:color w:val="000000" w:themeColor="text1"/>
          <w:sz w:val="32"/>
          <w:szCs w:val="32"/>
          <w14:textFill>
            <w14:solidFill>
              <w14:schemeClr w14:val="tx1"/>
            </w14:solidFill>
          </w14:textFill>
        </w:rPr>
        <w:t>通过大力宣传学生资助政策、</w:t>
      </w:r>
      <w:r>
        <w:rPr>
          <w:rFonts w:hint="eastAsia" w:ascii="仿宋" w:hAnsi="仿宋" w:eastAsia="仿宋" w:cs="仿宋"/>
          <w:color w:val="000000" w:themeColor="text1"/>
          <w:sz w:val="32"/>
          <w:szCs w:val="32"/>
          <w14:textFill>
            <w14:solidFill>
              <w14:schemeClr w14:val="tx1"/>
            </w14:solidFill>
          </w14:textFill>
        </w:rPr>
        <w:t>把社会主义核心价值观融入资助工作全过程。构建学校全员参与、各教育教学环节统筹协调的资助育人机制，加强对受助学生的教育引导，强化资助育人工作中的人文关怀。深入开展爱国、励志、感恩、诚信和社会责任感教育，持续推进“诚信校园行”系列宣传活动，</w:t>
      </w:r>
      <w:r>
        <w:rPr>
          <w:rFonts w:hint="eastAsia" w:ascii="仿宋" w:hAnsi="仿宋" w:eastAsia="仿宋" w:cs="仿宋"/>
          <w:bCs/>
          <w:color w:val="000000" w:themeColor="text1"/>
          <w:sz w:val="32"/>
          <w:szCs w:val="32"/>
          <w14:textFill>
            <w14:solidFill>
              <w14:schemeClr w14:val="tx1"/>
            </w14:solidFill>
          </w14:textFill>
        </w:rPr>
        <w:t>培养广大受助学生诚实守信和感恩奉献的高尚品德、引导学生树立立志成才与报效祖国的远大理想，培养他们自尊、自立、自强的精神，增强他们的自信心，让他们以积极、健康的心态应对生活、学习的困难，顺利完成学业。展现我县受助学生的精神风貌和资助育人成效。</w:t>
      </w:r>
      <w:r>
        <w:rPr>
          <w:rFonts w:hint="eastAsia" w:ascii="仿宋" w:hAnsi="仿宋" w:eastAsia="仿宋" w:cs="仿宋"/>
          <w:color w:val="000000" w:themeColor="text1"/>
          <w:sz w:val="32"/>
          <w:szCs w:val="32"/>
          <w14:textFill>
            <w14:solidFill>
              <w14:schemeClr w14:val="tx1"/>
            </w14:solidFill>
          </w14:textFill>
        </w:rPr>
        <w:t>在巩固“保障型”资助的同时，推动学生资助向“发展型”拓展。</w:t>
      </w:r>
    </w:p>
    <w:p>
      <w:pPr>
        <w:keepNext w:val="0"/>
        <w:keepLines w:val="0"/>
        <w:pageBreakBefore w:val="0"/>
        <w:widowControl/>
        <w:kinsoku/>
        <w:wordWrap/>
        <w:overflowPunct/>
        <w:topLinePunct w:val="0"/>
        <w:autoSpaceDN/>
        <w:bidi w:val="0"/>
        <w:adjustRightInd/>
        <w:snapToGrid/>
        <w:spacing w:line="560" w:lineRule="exact"/>
        <w:ind w:firstLine="643" w:firstLineChars="20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（七）持续发力 强化国家助学贷款工作</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生源地贷款工作是国家的又一项惠民之举也是学生资助的一项重点工作，是实现贫困学生大学梦的方便之门。</w:t>
      </w:r>
      <w:r>
        <w:rPr>
          <w:rFonts w:hint="eastAsia" w:ascii="仿宋" w:hAnsi="仿宋" w:eastAsia="仿宋" w:cs="仿宋"/>
          <w:color w:val="000000" w:themeColor="text1"/>
          <w:sz w:val="32"/>
          <w:szCs w:val="32"/>
          <w14:textFill>
            <w14:solidFill>
              <w14:schemeClr w14:val="tx1"/>
            </w14:solidFill>
          </w14:textFill>
        </w:rPr>
        <w:t>坚持生源地信用助学贷款，确保政策全覆盖和“应贷尽贷”。规范贷款操作流程，继续逐步推动贷款受理业务向高中延伸。同时做好贷款自付本息回收工作，加大风险防控力度</w:t>
      </w:r>
      <w:r>
        <w:rPr>
          <w:rFonts w:hint="eastAsia" w:ascii="仿宋" w:hAnsi="仿宋" w:eastAsia="仿宋" w:cs="仿宋"/>
          <w:color w:val="000000" w:themeColor="text1"/>
          <w:sz w:val="32"/>
          <w:szCs w:val="32"/>
          <w:lang w:eastAsia="zh-CN"/>
          <w14:textFill>
            <w14:solidFill>
              <w14:schemeClr w14:val="tx1"/>
            </w14:solidFill>
          </w14:textFill>
        </w:rPr>
        <w:t>，我们要求</w:t>
      </w:r>
      <w:r>
        <w:rPr>
          <w:rFonts w:hint="eastAsia" w:ascii="仿宋" w:hAnsi="仿宋" w:eastAsia="仿宋" w:cs="仿宋"/>
          <w:bCs/>
          <w:color w:val="000000" w:themeColor="text1"/>
          <w:sz w:val="32"/>
          <w:szCs w:val="32"/>
          <w14:textFill>
            <w14:solidFill>
              <w14:schemeClr w14:val="tx1"/>
            </w14:solidFill>
          </w14:textFill>
        </w:rPr>
        <w:t>各中心校在贷款回收工作中要深入到村、到户，做好学生和家长的思想工作，务必保证每个学生都按时还款。</w:t>
      </w:r>
      <w:bookmarkEnd w:id="83"/>
    </w:p>
    <w:p>
      <w:pPr>
        <w:pStyle w:val="2"/>
        <w:keepNext w:val="0"/>
        <w:keepLines w:val="0"/>
        <w:pageBreakBefore w:val="0"/>
        <w:kinsoku/>
        <w:wordWrap/>
        <w:bidi w:val="0"/>
        <w:spacing w:line="560" w:lineRule="exact"/>
        <w:rPr>
          <w:rFonts w:hint="eastAsia" w:ascii="仿宋" w:hAnsi="仿宋" w:eastAsia="仿宋" w:cs="仿宋"/>
          <w:bCs/>
          <w:color w:val="000000" w:themeColor="text1"/>
          <w:sz w:val="32"/>
          <w:szCs w:val="32"/>
          <w14:textFill>
            <w14:solidFill>
              <w14:schemeClr w14:val="tx1"/>
            </w14:solidFill>
          </w14:textFill>
        </w:rPr>
      </w:pPr>
    </w:p>
    <w:p>
      <w:pPr>
        <w:pStyle w:val="15"/>
        <w:keepNext w:val="0"/>
        <w:keepLines w:val="0"/>
        <w:pageBreakBefore w:val="0"/>
        <w:kinsoku/>
        <w:wordWrap/>
        <w:bidi w:val="0"/>
        <w:spacing w:line="560" w:lineRule="exact"/>
        <w:rPr>
          <w:rFonts w:hint="eastAsia" w:ascii="仿宋" w:hAnsi="仿宋" w:eastAsia="仿宋" w:cs="仿宋"/>
          <w:bCs/>
          <w:color w:val="000000" w:themeColor="text1"/>
          <w:sz w:val="32"/>
          <w:szCs w:val="32"/>
          <w14:textFill>
            <w14:solidFill>
              <w14:schemeClr w14:val="tx1"/>
            </w14:solidFill>
          </w14:textFill>
        </w:rPr>
      </w:pPr>
    </w:p>
    <w:p>
      <w:pPr>
        <w:pStyle w:val="2"/>
        <w:keepNext w:val="0"/>
        <w:keepLines w:val="0"/>
        <w:pageBreakBefore w:val="0"/>
        <w:kinsoku/>
        <w:wordWrap/>
        <w:bidi w:val="0"/>
        <w:spacing w:line="560" w:lineRule="exact"/>
        <w:rPr>
          <w:rFonts w:hint="eastAsia" w:ascii="仿宋" w:hAnsi="仿宋" w:eastAsia="仿宋" w:cs="仿宋"/>
          <w:bCs/>
          <w:color w:val="000000" w:themeColor="text1"/>
          <w:sz w:val="32"/>
          <w:szCs w:val="32"/>
          <w14:textFill>
            <w14:solidFill>
              <w14:schemeClr w14:val="tx1"/>
            </w14:solidFill>
          </w14:textFill>
        </w:rPr>
      </w:pPr>
    </w:p>
    <w:p>
      <w:pPr>
        <w:pStyle w:val="15"/>
        <w:keepNext w:val="0"/>
        <w:keepLines w:val="0"/>
        <w:pageBreakBefore w:val="0"/>
        <w:kinsoku/>
        <w:wordWrap/>
        <w:bidi w:val="0"/>
        <w:spacing w:line="560" w:lineRule="exact"/>
        <w:rPr>
          <w:rFonts w:hint="eastAsia" w:ascii="仿宋" w:hAnsi="仿宋" w:eastAsia="仿宋" w:cs="仿宋"/>
          <w:bCs/>
          <w:color w:val="000000" w:themeColor="text1"/>
          <w:sz w:val="32"/>
          <w:szCs w:val="32"/>
          <w14:textFill>
            <w14:solidFill>
              <w14:schemeClr w14:val="tx1"/>
            </w14:solidFill>
          </w14:textFill>
        </w:rPr>
      </w:pPr>
    </w:p>
    <w:p>
      <w:pPr>
        <w:pStyle w:val="2"/>
        <w:keepNext w:val="0"/>
        <w:keepLines w:val="0"/>
        <w:pageBreakBefore w:val="0"/>
        <w:kinsoku/>
        <w:wordWrap/>
        <w:bidi w:val="0"/>
        <w:spacing w:line="560" w:lineRule="exact"/>
        <w:rPr>
          <w:rFonts w:hint="eastAsia" w:ascii="仿宋" w:hAnsi="仿宋" w:eastAsia="仿宋" w:cs="仿宋"/>
          <w:bCs/>
          <w:color w:val="000000" w:themeColor="text1"/>
          <w:sz w:val="32"/>
          <w:szCs w:val="32"/>
          <w14:textFill>
            <w14:solidFill>
              <w14:schemeClr w14:val="tx1"/>
            </w14:solidFill>
          </w14:textFill>
        </w:rPr>
      </w:pPr>
    </w:p>
    <w:p>
      <w:pPr>
        <w:pStyle w:val="15"/>
        <w:keepNext w:val="0"/>
        <w:keepLines w:val="0"/>
        <w:pageBreakBefore w:val="0"/>
        <w:kinsoku/>
        <w:wordWrap/>
        <w:bidi w:val="0"/>
        <w:spacing w:line="560" w:lineRule="exact"/>
        <w:rPr>
          <w:rFonts w:hint="eastAsia" w:ascii="仿宋" w:hAnsi="仿宋" w:eastAsia="仿宋" w:cs="仿宋"/>
          <w:bCs/>
          <w:color w:val="000000" w:themeColor="text1"/>
          <w:sz w:val="32"/>
          <w:szCs w:val="32"/>
          <w14:textFill>
            <w14:solidFill>
              <w14:schemeClr w14:val="tx1"/>
            </w14:solidFill>
          </w14:textFill>
        </w:rPr>
      </w:pPr>
    </w:p>
    <w:p>
      <w:pPr>
        <w:keepNext w:val="0"/>
        <w:keepLines w:val="0"/>
        <w:pageBreakBefore w:val="0"/>
        <w:widowControl/>
        <w:kinsoku/>
        <w:wordWrap/>
        <w:overflowPunct/>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bookmarkStart w:id="8" w:name="_Toc32021"/>
      <w:r>
        <w:rPr>
          <w:rFonts w:hint="eastAsia" w:ascii="方正小标宋简体" w:hAnsi="方正小标宋简体" w:eastAsia="方正小标宋简体" w:cs="方正小标宋简体"/>
          <w:color w:val="auto"/>
          <w:sz w:val="44"/>
          <w:szCs w:val="44"/>
          <w:highlight w:val="none"/>
        </w:rPr>
        <w:t>就业帮扶</w:t>
      </w:r>
      <w:bookmarkEnd w:id="8"/>
      <w:r>
        <w:rPr>
          <w:rFonts w:hint="eastAsia" w:ascii="方正小标宋简体" w:hAnsi="方正小标宋简体" w:eastAsia="方正小标宋简体" w:cs="方正小标宋简体"/>
          <w:color w:val="auto"/>
          <w:sz w:val="44"/>
          <w:szCs w:val="44"/>
          <w:highlight w:val="none"/>
          <w:lang w:eastAsia="zh-CN"/>
        </w:rPr>
        <w:t>政策解读</w:t>
      </w:r>
    </w:p>
    <w:p>
      <w:pPr>
        <w:pStyle w:val="2"/>
        <w:keepNext w:val="0"/>
        <w:keepLines w:val="0"/>
        <w:pageBreakBefore w:val="0"/>
        <w:kinsoku/>
        <w:wordWrap/>
        <w:overflowPunct/>
        <w:bidi w:val="0"/>
        <w:adjustRightInd/>
        <w:snapToGrid/>
        <w:spacing w:after="0" w:line="560" w:lineRule="exact"/>
        <w:jc w:val="both"/>
        <w:rPr>
          <w:rFonts w:hint="eastAsia"/>
          <w:sz w:val="30"/>
          <w:szCs w:val="30"/>
          <w:highlight w:val="none"/>
        </w:rPr>
      </w:pPr>
    </w:p>
    <w:p>
      <w:pPr>
        <w:keepNext w:val="0"/>
        <w:keepLines w:val="0"/>
        <w:pageBreakBefore w:val="0"/>
        <w:widowControl w:val="0"/>
        <w:numPr>
          <w:ilvl w:val="0"/>
          <w:numId w:val="0"/>
        </w:numPr>
        <w:shd w:val="clear" w:color="auto" w:fill="auto"/>
        <w:kinsoku/>
        <w:wordWrap/>
        <w:overflowPunct/>
        <w:topLinePunct/>
        <w:bidi w:val="0"/>
        <w:adjustRightInd/>
        <w:snapToGrid/>
        <w:spacing w:line="560" w:lineRule="exact"/>
        <w:ind w:left="0" w:leftChars="0" w:firstLine="640" w:firstLineChars="200"/>
        <w:jc w:val="both"/>
        <w:textAlignment w:val="top"/>
        <w:outlineLvl w:val="0"/>
        <w:rPr>
          <w:rFonts w:hint="eastAsia" w:ascii="黑体" w:hAnsi="黑体" w:eastAsia="黑体" w:cs="黑体"/>
          <w:b w:val="0"/>
          <w:bCs w:val="0"/>
          <w:color w:val="auto"/>
          <w:sz w:val="32"/>
          <w:szCs w:val="32"/>
          <w:highlight w:val="none"/>
          <w:lang w:eastAsia="zh-CN"/>
        </w:rPr>
      </w:pPr>
      <w:bookmarkStart w:id="9" w:name="_Toc25068"/>
      <w:r>
        <w:rPr>
          <w:rFonts w:hint="eastAsia" w:ascii="黑体" w:hAnsi="黑体" w:eastAsia="黑体" w:cs="黑体"/>
          <w:b w:val="0"/>
          <w:bCs w:val="0"/>
          <w:color w:val="auto"/>
          <w:sz w:val="32"/>
          <w:szCs w:val="32"/>
          <w:highlight w:val="none"/>
          <w:lang w:eastAsia="zh-CN"/>
        </w:rPr>
        <w:t>一、职业培训补贴</w:t>
      </w:r>
      <w:bookmarkEnd w:id="9"/>
    </w:p>
    <w:p>
      <w:pPr>
        <w:pStyle w:val="17"/>
        <w:keepNext w:val="0"/>
        <w:keepLines w:val="0"/>
        <w:pageBreakBefore w:val="0"/>
        <w:widowControl w:val="0"/>
        <w:kinsoku/>
        <w:wordWrap/>
        <w:overflowPunct/>
        <w:topLinePunct/>
        <w:bidi w:val="0"/>
        <w:adjustRightInd/>
        <w:snapToGrid/>
        <w:spacing w:after="0" w:line="560" w:lineRule="exact"/>
        <w:ind w:left="0" w:leftChars="0" w:firstLine="643" w:firstLineChars="200"/>
        <w:jc w:val="both"/>
        <w:textAlignment w:val="top"/>
        <w:rPr>
          <w:rFonts w:hint="eastAsia" w:ascii="仿宋_GB2312" w:hAnsi="仿宋_GB2312" w:eastAsia="仿宋_GB2312" w:cs="仿宋_GB2312"/>
          <w:color w:val="auto"/>
          <w:sz w:val="32"/>
          <w:szCs w:val="32"/>
          <w:lang w:val="en-US" w:eastAsia="zh-CN" w:bidi="ar-SA"/>
        </w:rPr>
      </w:pPr>
      <w:r>
        <w:rPr>
          <w:rFonts w:hint="eastAsia" w:ascii="楷体_GB2312" w:hAnsi="楷体_GB2312" w:eastAsia="楷体_GB2312" w:cs="楷体_GB2312"/>
          <w:b/>
          <w:bCs/>
          <w:i w:val="0"/>
          <w:color w:val="auto"/>
          <w:sz w:val="32"/>
          <w:szCs w:val="32"/>
          <w:highlight w:val="none"/>
          <w:shd w:val="clear" w:color="auto" w:fill="FFFFFF"/>
          <w:lang w:val="en-US" w:eastAsia="zh-CN"/>
        </w:rPr>
        <w:t>1.</w:t>
      </w:r>
      <w:r>
        <w:rPr>
          <w:rFonts w:hint="eastAsia" w:ascii="楷体_GB2312" w:hAnsi="楷体_GB2312" w:eastAsia="楷体_GB2312" w:cs="楷体_GB2312"/>
          <w:b/>
          <w:bCs/>
          <w:i w:val="0"/>
          <w:color w:val="auto"/>
          <w:sz w:val="32"/>
          <w:szCs w:val="32"/>
          <w:highlight w:val="none"/>
          <w:shd w:val="clear" w:color="auto" w:fill="FFFFFF"/>
        </w:rPr>
        <w:t>补贴对象</w:t>
      </w:r>
      <w:r>
        <w:rPr>
          <w:rFonts w:hint="eastAsia" w:ascii="楷体_GB2312" w:hAnsi="楷体_GB2312" w:eastAsia="楷体_GB2312" w:cs="楷体_GB2312"/>
          <w:b/>
          <w:bCs/>
          <w:i w:val="0"/>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lang w:val="en-US" w:eastAsia="zh-CN" w:bidi="ar-SA"/>
        </w:rPr>
        <w:t>困难家庭子女（建档立卡及享受低保家庭的适龄劳动者）、毕业学年高校毕业生、城乡未继续升学的应届初高中毕业生、农村转移就业劳动者（含建档立卡的适龄脱贫劳动力）、城镇登记失业人员，以及符合条件的企业职工，参加就业技能培训或创业培训，培训后取得职业资格证（或职业技能等级证、专项职业能力证、培训合格证）的，可给予职业培训补贴。</w:t>
      </w:r>
    </w:p>
    <w:p>
      <w:pPr>
        <w:pStyle w:val="17"/>
        <w:keepNext w:val="0"/>
        <w:keepLines w:val="0"/>
        <w:pageBreakBefore w:val="0"/>
        <w:widowControl w:val="0"/>
        <w:kinsoku/>
        <w:wordWrap/>
        <w:overflowPunct/>
        <w:topLinePunct/>
        <w:bidi w:val="0"/>
        <w:adjustRightInd/>
        <w:snapToGrid/>
        <w:spacing w:after="0" w:line="560" w:lineRule="exact"/>
        <w:ind w:left="0" w:leftChars="0" w:firstLine="643" w:firstLineChars="200"/>
        <w:jc w:val="both"/>
        <w:textAlignment w:val="top"/>
        <w:rPr>
          <w:rFonts w:hint="eastAsia" w:ascii="仿宋_GB2312" w:hAnsi="仿宋_GB2312" w:eastAsia="仿宋_GB2312" w:cs="仿宋_GB2312"/>
          <w:color w:val="auto"/>
          <w:sz w:val="32"/>
          <w:szCs w:val="32"/>
          <w:lang w:val="en-US" w:eastAsia="zh-CN" w:bidi="ar-SA"/>
        </w:rPr>
      </w:pPr>
      <w:r>
        <w:rPr>
          <w:rFonts w:hint="eastAsia" w:ascii="楷体_GB2312" w:hAnsi="楷体_GB2312" w:eastAsia="楷体_GB2312" w:cs="楷体_GB2312"/>
          <w:b/>
          <w:bCs/>
          <w:i w:val="0"/>
          <w:color w:val="auto"/>
          <w:sz w:val="32"/>
          <w:szCs w:val="32"/>
          <w:highlight w:val="none"/>
          <w:shd w:val="clear" w:color="auto" w:fill="FFFFFF"/>
          <w:lang w:val="en-US" w:eastAsia="zh-CN"/>
        </w:rPr>
        <w:t>2.补贴标准。</w:t>
      </w:r>
      <w:r>
        <w:rPr>
          <w:rFonts w:hint="eastAsia" w:ascii="仿宋_GB2312" w:hAnsi="仿宋_GB2312" w:eastAsia="仿宋_GB2312" w:cs="仿宋_GB2312"/>
          <w:color w:val="auto"/>
          <w:sz w:val="32"/>
          <w:szCs w:val="32"/>
          <w:lang w:val="en-US" w:eastAsia="zh-CN" w:bidi="ar-SA"/>
        </w:rPr>
        <w:t>职业培训补贴实行“先垫后补”和“信用支付”等办法，由培训人员缴纳培训费用的，培训补贴由个人申请；由培训机构垫付培训补贴的，培训补贴由培训机构申请并拨付培训机构。取得就业技能培训合格证的，每人补贴700元。取得创业培训合格证的，创业意识培训200元/人、创业实训300元/人、创办改善企业培训1000元/人、网络（电商）创业培训1500元/人（含网络教学平台服务费）。</w:t>
      </w:r>
    </w:p>
    <w:p>
      <w:pPr>
        <w:keepNext w:val="0"/>
        <w:keepLines w:val="0"/>
        <w:pageBreakBefore w:val="0"/>
        <w:widowControl w:val="0"/>
        <w:numPr>
          <w:ilvl w:val="0"/>
          <w:numId w:val="0"/>
        </w:numPr>
        <w:shd w:val="clear" w:color="auto" w:fill="auto"/>
        <w:kinsoku/>
        <w:wordWrap/>
        <w:overflowPunct/>
        <w:topLinePunct/>
        <w:bidi w:val="0"/>
        <w:adjustRightInd/>
        <w:snapToGrid/>
        <w:spacing w:line="560" w:lineRule="exact"/>
        <w:ind w:left="0" w:leftChars="0" w:firstLine="640" w:firstLineChars="200"/>
        <w:jc w:val="both"/>
        <w:textAlignment w:val="top"/>
        <w:outlineLvl w:val="0"/>
        <w:rPr>
          <w:rFonts w:hint="eastAsia" w:ascii="黑体" w:hAnsi="黑体" w:eastAsia="黑体" w:cs="黑体"/>
          <w:b w:val="0"/>
          <w:bCs w:val="0"/>
          <w:color w:val="auto"/>
          <w:sz w:val="32"/>
          <w:szCs w:val="32"/>
          <w:lang w:eastAsia="zh-CN"/>
        </w:rPr>
      </w:pPr>
      <w:bookmarkStart w:id="10" w:name="_Toc9493"/>
      <w:r>
        <w:rPr>
          <w:rFonts w:hint="eastAsia" w:ascii="黑体" w:hAnsi="黑体" w:eastAsia="黑体" w:cs="黑体"/>
          <w:b w:val="0"/>
          <w:bCs w:val="0"/>
          <w:color w:val="auto"/>
          <w:sz w:val="32"/>
          <w:szCs w:val="32"/>
          <w:lang w:eastAsia="zh-CN"/>
        </w:rPr>
        <w:t>二、求职创业补贴</w:t>
      </w:r>
      <w:bookmarkEnd w:id="10"/>
    </w:p>
    <w:p>
      <w:pPr>
        <w:pStyle w:val="17"/>
        <w:keepNext w:val="0"/>
        <w:keepLines w:val="0"/>
        <w:pageBreakBefore w:val="0"/>
        <w:widowControl w:val="0"/>
        <w:kinsoku/>
        <w:wordWrap/>
        <w:overflowPunct/>
        <w:topLinePunct/>
        <w:bidi w:val="0"/>
        <w:adjustRightInd/>
        <w:snapToGrid/>
        <w:spacing w:after="0" w:line="560" w:lineRule="exact"/>
        <w:ind w:left="0" w:leftChars="0" w:firstLine="643" w:firstLineChars="200"/>
        <w:jc w:val="both"/>
        <w:textAlignment w:val="top"/>
        <w:rPr>
          <w:rFonts w:hint="eastAsia" w:ascii="仿宋_GB2312" w:hAnsi="仿宋_GB2312" w:eastAsia="仿宋_GB2312" w:cs="仿宋_GB2312"/>
          <w:color w:val="auto"/>
          <w:sz w:val="32"/>
          <w:szCs w:val="32"/>
          <w:lang w:val="en-US" w:eastAsia="zh-CN" w:bidi="ar-SA"/>
        </w:rPr>
      </w:pPr>
      <w:r>
        <w:rPr>
          <w:rFonts w:hint="eastAsia" w:ascii="楷体_GB2312" w:hAnsi="楷体_GB2312" w:eastAsia="楷体_GB2312" w:cs="楷体_GB2312"/>
          <w:b/>
          <w:bCs/>
          <w:i w:val="0"/>
          <w:color w:val="auto"/>
          <w:sz w:val="32"/>
          <w:szCs w:val="32"/>
          <w:highlight w:val="none"/>
          <w:shd w:val="clear" w:color="auto" w:fill="FFFFFF"/>
          <w:lang w:val="en-US" w:eastAsia="zh-CN"/>
        </w:rPr>
        <w:t>1.补贴对象。</w:t>
      </w:r>
      <w:r>
        <w:rPr>
          <w:rFonts w:hint="eastAsia" w:ascii="仿宋_GB2312" w:hAnsi="仿宋_GB2312" w:eastAsia="仿宋_GB2312" w:cs="仿宋_GB2312"/>
          <w:color w:val="auto"/>
          <w:sz w:val="32"/>
          <w:szCs w:val="32"/>
          <w:lang w:val="en-US" w:eastAsia="zh-CN" w:bidi="ar-SA"/>
        </w:rPr>
        <w:t>毕业年度有就业创业意愿并积极求职创业的低保家庭、困难残疾人家庭、建档立卡脱贫家庭的高校毕业生和残疾、获得国家助学贷款、特困人员中的高校毕业生，以及按规定进行实名制登记的离校未就业应届高校毕业生，学校受理市级经办。</w:t>
      </w:r>
    </w:p>
    <w:p>
      <w:pPr>
        <w:pStyle w:val="17"/>
        <w:keepNext w:val="0"/>
        <w:keepLines w:val="0"/>
        <w:pageBreakBefore w:val="0"/>
        <w:widowControl w:val="0"/>
        <w:kinsoku/>
        <w:wordWrap/>
        <w:overflowPunct/>
        <w:topLinePunct/>
        <w:bidi w:val="0"/>
        <w:adjustRightInd/>
        <w:snapToGrid/>
        <w:spacing w:after="0" w:line="560" w:lineRule="exact"/>
        <w:ind w:left="0" w:leftChars="0" w:firstLine="643" w:firstLineChars="200"/>
        <w:jc w:val="both"/>
        <w:textAlignment w:val="top"/>
        <w:rPr>
          <w:rFonts w:hint="eastAsia" w:ascii="仿宋_GB2312" w:hAnsi="仿宋_GB2312" w:eastAsia="仿宋_GB2312" w:cs="仿宋_GB2312"/>
          <w:b w:val="0"/>
          <w:i w:val="0"/>
          <w:color w:val="auto"/>
          <w:sz w:val="32"/>
          <w:szCs w:val="32"/>
          <w:shd w:val="clear" w:color="auto" w:fill="FFFFFF"/>
        </w:rPr>
      </w:pPr>
      <w:r>
        <w:rPr>
          <w:rFonts w:hint="eastAsia" w:ascii="楷体_GB2312" w:hAnsi="楷体_GB2312" w:eastAsia="楷体_GB2312" w:cs="楷体_GB2312"/>
          <w:b/>
          <w:bCs/>
          <w:i w:val="0"/>
          <w:color w:val="auto"/>
          <w:sz w:val="32"/>
          <w:szCs w:val="32"/>
          <w:highlight w:val="none"/>
          <w:shd w:val="clear" w:color="auto" w:fill="FFFFFF"/>
          <w:lang w:val="en-US" w:eastAsia="zh-CN"/>
        </w:rPr>
        <w:t>2.补贴标准。</w:t>
      </w:r>
      <w:r>
        <w:rPr>
          <w:rFonts w:hint="eastAsia" w:ascii="仿宋_GB2312" w:hAnsi="仿宋_GB2312" w:eastAsia="仿宋_GB2312" w:cs="仿宋_GB2312"/>
          <w:color w:val="auto"/>
          <w:sz w:val="32"/>
          <w:szCs w:val="32"/>
          <w:lang w:val="en-US" w:eastAsia="zh-CN" w:bidi="ar-SA"/>
        </w:rPr>
        <w:t>以上对象可以申请求职创业补贴，一次性2000元/人。</w:t>
      </w:r>
    </w:p>
    <w:p>
      <w:pPr>
        <w:keepNext w:val="0"/>
        <w:keepLines w:val="0"/>
        <w:pageBreakBefore w:val="0"/>
        <w:widowControl w:val="0"/>
        <w:numPr>
          <w:ilvl w:val="0"/>
          <w:numId w:val="0"/>
        </w:numPr>
        <w:shd w:val="clear" w:color="auto" w:fill="auto"/>
        <w:kinsoku/>
        <w:wordWrap/>
        <w:overflowPunct/>
        <w:topLinePunct/>
        <w:bidi w:val="0"/>
        <w:adjustRightInd/>
        <w:snapToGrid/>
        <w:spacing w:line="560" w:lineRule="exact"/>
        <w:ind w:left="0" w:leftChars="0" w:firstLine="640" w:firstLineChars="200"/>
        <w:jc w:val="both"/>
        <w:textAlignment w:val="top"/>
        <w:outlineLvl w:val="0"/>
        <w:rPr>
          <w:rFonts w:hint="eastAsia" w:ascii="黑体" w:hAnsi="黑体" w:eastAsia="黑体" w:cs="黑体"/>
          <w:b w:val="0"/>
          <w:bCs w:val="0"/>
          <w:color w:val="auto"/>
          <w:sz w:val="32"/>
          <w:szCs w:val="32"/>
          <w:lang w:eastAsia="zh-CN"/>
        </w:rPr>
      </w:pPr>
      <w:bookmarkStart w:id="11" w:name="_Toc21375"/>
      <w:r>
        <w:rPr>
          <w:rFonts w:hint="eastAsia" w:ascii="黑体" w:hAnsi="黑体" w:eastAsia="黑体" w:cs="黑体"/>
          <w:b w:val="0"/>
          <w:bCs w:val="0"/>
          <w:color w:val="auto"/>
          <w:sz w:val="32"/>
          <w:szCs w:val="32"/>
          <w:lang w:eastAsia="zh-CN"/>
        </w:rPr>
        <w:t>三、创业开业补贴</w:t>
      </w:r>
      <w:bookmarkEnd w:id="11"/>
    </w:p>
    <w:p>
      <w:pPr>
        <w:pStyle w:val="17"/>
        <w:keepNext w:val="0"/>
        <w:keepLines w:val="0"/>
        <w:pageBreakBefore w:val="0"/>
        <w:widowControl w:val="0"/>
        <w:kinsoku/>
        <w:wordWrap/>
        <w:overflowPunct/>
        <w:topLinePunct/>
        <w:bidi w:val="0"/>
        <w:adjustRightInd/>
        <w:snapToGrid/>
        <w:spacing w:after="0" w:line="560" w:lineRule="exact"/>
        <w:ind w:left="0" w:leftChars="0" w:firstLine="643" w:firstLineChars="200"/>
        <w:jc w:val="both"/>
        <w:textAlignment w:val="top"/>
        <w:rPr>
          <w:rFonts w:hint="eastAsia" w:ascii="宋体" w:hAnsi="宋体" w:eastAsia="宋体" w:cs="宋体"/>
          <w:color w:val="auto"/>
          <w:sz w:val="32"/>
          <w:szCs w:val="32"/>
          <w:lang w:val="en-US" w:eastAsia="zh-CN" w:bidi="ar-SA"/>
        </w:rPr>
      </w:pPr>
      <w:r>
        <w:rPr>
          <w:rFonts w:hint="eastAsia" w:ascii="楷体_GB2312" w:hAnsi="楷体_GB2312" w:eastAsia="楷体_GB2312" w:cs="楷体_GB2312"/>
          <w:b/>
          <w:bCs/>
          <w:i w:val="0"/>
          <w:color w:val="auto"/>
          <w:sz w:val="32"/>
          <w:szCs w:val="32"/>
          <w:highlight w:val="none"/>
          <w:shd w:val="clear" w:color="auto" w:fill="FFFFFF"/>
          <w:lang w:val="en-US" w:eastAsia="zh-CN"/>
        </w:rPr>
        <w:t>1.补贴对象。</w:t>
      </w:r>
      <w:r>
        <w:rPr>
          <w:rFonts w:hint="eastAsia" w:ascii="仿宋_GB2312" w:hAnsi="仿宋_GB2312" w:eastAsia="仿宋_GB2312" w:cs="仿宋_GB2312"/>
          <w:color w:val="auto"/>
          <w:sz w:val="32"/>
          <w:szCs w:val="32"/>
          <w:lang w:val="en-US" w:eastAsia="zh-CN" w:bidi="ar-SA"/>
        </w:rPr>
        <w:t>脱贫人口、农村低收入人口。</w:t>
      </w:r>
    </w:p>
    <w:p>
      <w:pPr>
        <w:pStyle w:val="17"/>
        <w:keepNext w:val="0"/>
        <w:keepLines w:val="0"/>
        <w:pageBreakBefore w:val="0"/>
        <w:widowControl w:val="0"/>
        <w:kinsoku/>
        <w:wordWrap/>
        <w:overflowPunct/>
        <w:topLinePunct/>
        <w:bidi w:val="0"/>
        <w:adjustRightInd/>
        <w:snapToGrid/>
        <w:spacing w:after="0" w:line="560" w:lineRule="exact"/>
        <w:ind w:left="0" w:leftChars="0" w:firstLine="643" w:firstLineChars="200"/>
        <w:jc w:val="both"/>
        <w:textAlignment w:val="top"/>
        <w:rPr>
          <w:rFonts w:hint="eastAsia" w:ascii="宋体" w:hAnsi="宋体" w:eastAsia="宋体" w:cs="宋体"/>
          <w:color w:val="auto"/>
          <w:sz w:val="32"/>
          <w:szCs w:val="32"/>
          <w:lang w:val="en-US" w:eastAsia="zh-CN" w:bidi="ar-SA"/>
        </w:rPr>
      </w:pPr>
      <w:r>
        <w:rPr>
          <w:rFonts w:hint="eastAsia" w:ascii="楷体_GB2312" w:hAnsi="楷体_GB2312" w:eastAsia="楷体_GB2312" w:cs="楷体_GB2312"/>
          <w:b/>
          <w:bCs/>
          <w:i w:val="0"/>
          <w:color w:val="auto"/>
          <w:sz w:val="32"/>
          <w:szCs w:val="32"/>
          <w:highlight w:val="none"/>
          <w:shd w:val="clear" w:color="auto" w:fill="FFFFFF"/>
          <w:lang w:val="en-US" w:eastAsia="zh-CN"/>
        </w:rPr>
        <w:t>2.补贴标准。</w:t>
      </w:r>
      <w:r>
        <w:rPr>
          <w:rFonts w:hint="eastAsia" w:ascii="仿宋_GB2312" w:hAnsi="仿宋_GB2312" w:eastAsia="仿宋_GB2312" w:cs="仿宋_GB2312"/>
          <w:color w:val="auto"/>
          <w:sz w:val="32"/>
          <w:szCs w:val="32"/>
          <w:lang w:val="en-US" w:eastAsia="zh-CN" w:bidi="ar-SA"/>
        </w:rPr>
        <w:t>首次自主创业、取得营业执照并正常经营6个月以上的脱贫人口、农村低收入人口,可向当地人力资源社会保障部门申请创业开业补贴。补贴标准为5000元。</w:t>
      </w:r>
    </w:p>
    <w:p>
      <w:pPr>
        <w:keepNext w:val="0"/>
        <w:keepLines w:val="0"/>
        <w:pageBreakBefore w:val="0"/>
        <w:widowControl w:val="0"/>
        <w:numPr>
          <w:ilvl w:val="0"/>
          <w:numId w:val="0"/>
        </w:numPr>
        <w:shd w:val="clear" w:color="auto" w:fill="auto"/>
        <w:kinsoku/>
        <w:wordWrap/>
        <w:overflowPunct/>
        <w:topLinePunct/>
        <w:bidi w:val="0"/>
        <w:adjustRightInd/>
        <w:snapToGrid/>
        <w:spacing w:line="560" w:lineRule="exact"/>
        <w:ind w:left="0" w:leftChars="0" w:firstLine="640" w:firstLineChars="200"/>
        <w:jc w:val="both"/>
        <w:textAlignment w:val="top"/>
        <w:outlineLvl w:val="0"/>
        <w:rPr>
          <w:rFonts w:hint="eastAsia" w:ascii="黑体" w:hAnsi="黑体" w:eastAsia="黑体" w:cs="黑体"/>
          <w:b w:val="0"/>
          <w:bCs w:val="0"/>
          <w:color w:val="auto"/>
          <w:sz w:val="32"/>
          <w:szCs w:val="32"/>
          <w:lang w:eastAsia="zh-CN"/>
        </w:rPr>
      </w:pPr>
      <w:bookmarkStart w:id="12" w:name="_Toc14786"/>
      <w:r>
        <w:rPr>
          <w:rFonts w:hint="eastAsia" w:ascii="黑体" w:hAnsi="黑体" w:eastAsia="黑体" w:cs="黑体"/>
          <w:b w:val="0"/>
          <w:bCs w:val="0"/>
          <w:color w:val="auto"/>
          <w:sz w:val="32"/>
          <w:szCs w:val="32"/>
          <w:lang w:eastAsia="zh-CN"/>
        </w:rPr>
        <w:t>四、“凤归中原”工程</w:t>
      </w:r>
      <w:bookmarkEnd w:id="12"/>
    </w:p>
    <w:p>
      <w:pPr>
        <w:pStyle w:val="17"/>
        <w:keepNext w:val="0"/>
        <w:keepLines w:val="0"/>
        <w:pageBreakBefore w:val="0"/>
        <w:widowControl w:val="0"/>
        <w:kinsoku/>
        <w:wordWrap/>
        <w:overflowPunct/>
        <w:topLinePunct/>
        <w:bidi w:val="0"/>
        <w:adjustRightInd/>
        <w:snapToGrid/>
        <w:spacing w:after="0" w:line="560" w:lineRule="exact"/>
        <w:ind w:left="0" w:leftChars="0" w:firstLine="640" w:firstLineChars="200"/>
        <w:jc w:val="both"/>
        <w:textAlignment w:val="top"/>
        <w:rPr>
          <w:rFonts w:hint="eastAsia" w:ascii="宋体" w:hAnsi="宋体" w:eastAsia="宋体" w:cs="宋体"/>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鼓励农民工等人员返乡入乡创办领办企业、农民专业合作社等各类市场经营主体带动脱贫人口、农村低收入人口就业。对脱贫人口自主创业的,按照有关规定落实税费减免、运营补贴、融资补贴、农业保险补贴等政策。符合条件的脱贫人口、小微企业分别最高可申请不超过20万元、不超过300万元的创业担保贷款,对银行按规定发放的个人和小微企业创业担保贷款,财政部门按规定标准予以贴息支持。</w:t>
      </w:r>
    </w:p>
    <w:p>
      <w:pPr>
        <w:keepNext w:val="0"/>
        <w:keepLines w:val="0"/>
        <w:pageBreakBefore w:val="0"/>
        <w:widowControl w:val="0"/>
        <w:numPr>
          <w:ilvl w:val="0"/>
          <w:numId w:val="0"/>
        </w:numPr>
        <w:shd w:val="clear" w:color="auto" w:fill="auto"/>
        <w:kinsoku/>
        <w:wordWrap/>
        <w:overflowPunct/>
        <w:topLinePunct/>
        <w:bidi w:val="0"/>
        <w:adjustRightInd/>
        <w:snapToGrid/>
        <w:spacing w:line="560" w:lineRule="exact"/>
        <w:ind w:left="0" w:leftChars="0" w:firstLine="640" w:firstLineChars="200"/>
        <w:jc w:val="both"/>
        <w:textAlignment w:val="top"/>
        <w:outlineLvl w:val="0"/>
        <w:rPr>
          <w:rFonts w:hint="eastAsia" w:ascii="黑体" w:hAnsi="黑体" w:eastAsia="黑体" w:cs="黑体"/>
          <w:b w:val="0"/>
          <w:bCs w:val="0"/>
          <w:color w:val="auto"/>
          <w:sz w:val="32"/>
          <w:szCs w:val="32"/>
          <w:lang w:eastAsia="zh-CN"/>
        </w:rPr>
      </w:pPr>
      <w:bookmarkStart w:id="13" w:name="_Toc26338"/>
      <w:r>
        <w:rPr>
          <w:rFonts w:hint="eastAsia" w:ascii="黑体" w:hAnsi="黑体" w:eastAsia="黑体" w:cs="黑体"/>
          <w:b w:val="0"/>
          <w:bCs w:val="0"/>
          <w:color w:val="auto"/>
          <w:sz w:val="32"/>
          <w:szCs w:val="32"/>
          <w:lang w:eastAsia="zh-CN"/>
        </w:rPr>
        <w:t>五、生活费补贴</w:t>
      </w:r>
      <w:bookmarkEnd w:id="13"/>
    </w:p>
    <w:p>
      <w:pPr>
        <w:pStyle w:val="17"/>
        <w:keepNext w:val="0"/>
        <w:keepLines w:val="0"/>
        <w:pageBreakBefore w:val="0"/>
        <w:widowControl w:val="0"/>
        <w:kinsoku/>
        <w:wordWrap/>
        <w:overflowPunct/>
        <w:topLinePunct/>
        <w:bidi w:val="0"/>
        <w:adjustRightInd/>
        <w:snapToGrid/>
        <w:spacing w:after="0" w:line="560" w:lineRule="exact"/>
        <w:ind w:left="0" w:leftChars="0" w:firstLine="640" w:firstLineChars="200"/>
        <w:jc w:val="both"/>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脱贫人口、农村低收入人口参加定点培训机构集中培训(包括实习)的,可向户籍地或常驻地人力资源社会保障部门申请生活费补贴。补贴标准为培训期间每人每天30元，随培训补贴一并申请发放。</w:t>
      </w:r>
    </w:p>
    <w:p>
      <w:pPr>
        <w:keepNext w:val="0"/>
        <w:keepLines w:val="0"/>
        <w:pageBreakBefore w:val="0"/>
        <w:widowControl w:val="0"/>
        <w:numPr>
          <w:ilvl w:val="0"/>
          <w:numId w:val="0"/>
        </w:numPr>
        <w:shd w:val="clear" w:color="auto" w:fill="auto"/>
        <w:kinsoku/>
        <w:wordWrap/>
        <w:overflowPunct/>
        <w:topLinePunct/>
        <w:bidi w:val="0"/>
        <w:adjustRightInd/>
        <w:snapToGrid/>
        <w:spacing w:line="560" w:lineRule="exact"/>
        <w:ind w:left="0" w:leftChars="0" w:firstLine="640" w:firstLineChars="200"/>
        <w:jc w:val="both"/>
        <w:textAlignment w:val="top"/>
        <w:outlineLvl w:val="0"/>
        <w:rPr>
          <w:rFonts w:hint="eastAsia" w:ascii="黑体" w:hAnsi="黑体" w:eastAsia="黑体" w:cs="黑体"/>
          <w:b w:val="0"/>
          <w:bCs w:val="0"/>
          <w:color w:val="auto"/>
          <w:sz w:val="32"/>
          <w:szCs w:val="32"/>
          <w:lang w:eastAsia="zh-CN"/>
        </w:rPr>
      </w:pPr>
      <w:bookmarkStart w:id="14" w:name="_Toc25209"/>
      <w:r>
        <w:rPr>
          <w:rFonts w:hint="eastAsia" w:ascii="黑体" w:hAnsi="黑体" w:eastAsia="黑体" w:cs="黑体"/>
          <w:b w:val="0"/>
          <w:bCs w:val="0"/>
          <w:color w:val="auto"/>
          <w:sz w:val="32"/>
          <w:szCs w:val="32"/>
          <w:lang w:eastAsia="zh-CN"/>
        </w:rPr>
        <w:t>六、一次性交通费和住宿费补贴</w:t>
      </w:r>
      <w:bookmarkEnd w:id="14"/>
    </w:p>
    <w:p>
      <w:pPr>
        <w:pStyle w:val="17"/>
        <w:keepNext w:val="0"/>
        <w:keepLines w:val="0"/>
        <w:pageBreakBefore w:val="0"/>
        <w:widowControl w:val="0"/>
        <w:kinsoku/>
        <w:wordWrap/>
        <w:overflowPunct/>
        <w:topLinePunct/>
        <w:bidi w:val="0"/>
        <w:adjustRightInd/>
        <w:snapToGrid/>
        <w:spacing w:after="0" w:line="560" w:lineRule="exact"/>
        <w:ind w:left="0" w:leftChars="0" w:firstLine="640" w:firstLineChars="200"/>
        <w:jc w:val="both"/>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脱贫人口、农村低收入人口到县市外省内定点培训机构参加培训的,可向户籍地或常驻地人力资源社会保障部门申请一次性交通费和住宿费补贴。补贴标准按照交通费和住宿费发票据实补贴，每人最高不超过300元。</w:t>
      </w:r>
    </w:p>
    <w:p>
      <w:pPr>
        <w:keepNext w:val="0"/>
        <w:keepLines w:val="0"/>
        <w:pageBreakBefore w:val="0"/>
        <w:widowControl w:val="0"/>
        <w:numPr>
          <w:ilvl w:val="0"/>
          <w:numId w:val="0"/>
        </w:numPr>
        <w:shd w:val="clear" w:color="auto" w:fill="auto"/>
        <w:kinsoku/>
        <w:wordWrap/>
        <w:overflowPunct/>
        <w:topLinePunct/>
        <w:bidi w:val="0"/>
        <w:adjustRightInd/>
        <w:snapToGrid/>
        <w:spacing w:line="560" w:lineRule="exact"/>
        <w:ind w:left="0" w:leftChars="0" w:firstLine="640" w:firstLineChars="200"/>
        <w:jc w:val="both"/>
        <w:textAlignment w:val="top"/>
        <w:outlineLvl w:val="0"/>
        <w:rPr>
          <w:rFonts w:hint="eastAsia" w:ascii="黑体" w:hAnsi="黑体" w:eastAsia="黑体" w:cs="黑体"/>
          <w:b w:val="0"/>
          <w:bCs w:val="0"/>
          <w:color w:val="auto"/>
          <w:sz w:val="32"/>
          <w:szCs w:val="32"/>
          <w:lang w:val="en-US" w:eastAsia="zh-CN"/>
        </w:rPr>
      </w:pPr>
      <w:bookmarkStart w:id="15" w:name="_Toc16068"/>
      <w:r>
        <w:rPr>
          <w:rFonts w:hint="eastAsia" w:ascii="黑体" w:hAnsi="黑体" w:eastAsia="黑体" w:cs="黑体"/>
          <w:b w:val="0"/>
          <w:bCs w:val="0"/>
          <w:color w:val="auto"/>
          <w:sz w:val="32"/>
          <w:szCs w:val="32"/>
          <w:lang w:val="en-US" w:eastAsia="zh-CN"/>
        </w:rPr>
        <w:t>七、跨省一次性务工交通补助</w:t>
      </w:r>
    </w:p>
    <w:p>
      <w:pPr>
        <w:pStyle w:val="20"/>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宋体" w:eastAsia="宋体" w:cs="宋体"/>
          <w:b w:val="0"/>
          <w:bCs/>
          <w:sz w:val="32"/>
          <w:szCs w:val="32"/>
          <w:lang w:val="en-US" w:eastAsia="zh-CN"/>
        </w:rPr>
      </w:pPr>
      <w:r>
        <w:rPr>
          <w:rFonts w:hint="eastAsia" w:ascii="仿宋_GB2312" w:hAnsi="仿宋_GB2312" w:eastAsia="仿宋_GB2312" w:cs="仿宋_GB2312"/>
          <w:color w:val="auto"/>
          <w:kern w:val="2"/>
          <w:sz w:val="32"/>
          <w:szCs w:val="32"/>
          <w:lang w:val="en-US" w:eastAsia="zh-CN" w:bidi="ar-SA"/>
        </w:rPr>
        <w:t>自2022年10月1日起，对年度内跨省就业的脱贫人口（含监测对象）发放一次性交通补助。一次性交通补助根据申请人所在乡镇与跨省就业地距离远近发放，每人每年只能申领一次，由衔接推进乡村振兴补助资金列支。具体补助标准如下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49" w:type="dxa"/>
            <w:noWrap w:val="0"/>
            <w:vAlign w:val="center"/>
          </w:tcPr>
          <w:p>
            <w:pPr>
              <w:pStyle w:val="20"/>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申请人所在乡镇（街道）政府与跨省就业地距离（千米）</w:t>
            </w:r>
          </w:p>
        </w:tc>
        <w:tc>
          <w:tcPr>
            <w:tcW w:w="3555" w:type="dxa"/>
            <w:noWrap w:val="0"/>
            <w:vAlign w:val="center"/>
          </w:tcPr>
          <w:p>
            <w:pPr>
              <w:pStyle w:val="20"/>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center"/>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补助标准（元）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noWrap w:val="0"/>
            <w:vAlign w:val="center"/>
          </w:tcPr>
          <w:p>
            <w:pPr>
              <w:pStyle w:val="20"/>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300以内</w:t>
            </w:r>
          </w:p>
        </w:tc>
        <w:tc>
          <w:tcPr>
            <w:tcW w:w="3555" w:type="dxa"/>
            <w:noWrap w:val="0"/>
            <w:vAlign w:val="center"/>
          </w:tcPr>
          <w:p>
            <w:pPr>
              <w:pStyle w:val="20"/>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noWrap w:val="0"/>
            <w:vAlign w:val="center"/>
          </w:tcPr>
          <w:p>
            <w:pPr>
              <w:pStyle w:val="20"/>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300-500</w:t>
            </w:r>
          </w:p>
        </w:tc>
        <w:tc>
          <w:tcPr>
            <w:tcW w:w="3555" w:type="dxa"/>
            <w:noWrap w:val="0"/>
            <w:vAlign w:val="center"/>
          </w:tcPr>
          <w:p>
            <w:pPr>
              <w:pStyle w:val="20"/>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noWrap w:val="0"/>
            <w:vAlign w:val="center"/>
          </w:tcPr>
          <w:p>
            <w:pPr>
              <w:pStyle w:val="20"/>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500-800</w:t>
            </w:r>
          </w:p>
        </w:tc>
        <w:tc>
          <w:tcPr>
            <w:tcW w:w="3555" w:type="dxa"/>
            <w:noWrap w:val="0"/>
            <w:vAlign w:val="center"/>
          </w:tcPr>
          <w:p>
            <w:pPr>
              <w:pStyle w:val="20"/>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noWrap w:val="0"/>
            <w:vAlign w:val="center"/>
          </w:tcPr>
          <w:p>
            <w:pPr>
              <w:pStyle w:val="20"/>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800-1000</w:t>
            </w:r>
          </w:p>
        </w:tc>
        <w:tc>
          <w:tcPr>
            <w:tcW w:w="3555" w:type="dxa"/>
            <w:noWrap w:val="0"/>
            <w:vAlign w:val="center"/>
          </w:tcPr>
          <w:p>
            <w:pPr>
              <w:pStyle w:val="20"/>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noWrap w:val="0"/>
            <w:vAlign w:val="center"/>
          </w:tcPr>
          <w:p>
            <w:pPr>
              <w:pStyle w:val="20"/>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1000以上</w:t>
            </w:r>
          </w:p>
        </w:tc>
        <w:tc>
          <w:tcPr>
            <w:tcW w:w="3555" w:type="dxa"/>
            <w:noWrap w:val="0"/>
            <w:vAlign w:val="center"/>
          </w:tcPr>
          <w:p>
            <w:pPr>
              <w:pStyle w:val="20"/>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1000</w:t>
            </w:r>
          </w:p>
        </w:tc>
      </w:tr>
    </w:tbl>
    <w:p>
      <w:pPr>
        <w:keepNext w:val="0"/>
        <w:keepLines w:val="0"/>
        <w:pageBreakBefore w:val="0"/>
        <w:widowControl w:val="0"/>
        <w:numPr>
          <w:ilvl w:val="0"/>
          <w:numId w:val="0"/>
        </w:numPr>
        <w:shd w:val="clear" w:color="auto" w:fill="auto"/>
        <w:kinsoku/>
        <w:wordWrap/>
        <w:overflowPunct/>
        <w:topLinePunct/>
        <w:bidi w:val="0"/>
        <w:adjustRightInd/>
        <w:snapToGrid/>
        <w:spacing w:line="560" w:lineRule="exact"/>
        <w:ind w:left="0" w:leftChars="0" w:firstLine="640" w:firstLineChars="200"/>
        <w:jc w:val="both"/>
        <w:textAlignment w:val="top"/>
        <w:outlineLvl w:val="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八、</w:t>
      </w:r>
      <w:r>
        <w:rPr>
          <w:rFonts w:hint="eastAsia" w:ascii="黑体" w:hAnsi="黑体" w:eastAsia="黑体" w:cs="黑体"/>
          <w:b w:val="0"/>
          <w:bCs w:val="0"/>
          <w:color w:val="auto"/>
          <w:sz w:val="32"/>
          <w:szCs w:val="32"/>
          <w:lang w:val="en-US" w:eastAsia="zh-CN"/>
        </w:rPr>
        <w:t>岗前培训补贴</w:t>
      </w:r>
      <w:bookmarkEnd w:id="15"/>
    </w:p>
    <w:p>
      <w:pPr>
        <w:pStyle w:val="17"/>
        <w:keepNext w:val="0"/>
        <w:keepLines w:val="0"/>
        <w:pageBreakBefore w:val="0"/>
        <w:widowControl w:val="0"/>
        <w:kinsoku/>
        <w:wordWrap/>
        <w:overflowPunct/>
        <w:topLinePunct/>
        <w:bidi w:val="0"/>
        <w:adjustRightInd/>
        <w:snapToGrid/>
        <w:spacing w:after="0" w:line="560" w:lineRule="exact"/>
        <w:ind w:left="0" w:leftChars="0" w:firstLine="640" w:firstLineChars="200"/>
        <w:jc w:val="both"/>
        <w:textAlignment w:val="top"/>
        <w:rPr>
          <w:rFonts w:hint="eastAsia" w:ascii="仿宋_GB2312" w:hAnsi="仿宋_GB2312" w:eastAsia="仿宋_GB2312" w:cs="仿宋_GB2312"/>
          <w:b w:val="0"/>
          <w:i w:val="0"/>
          <w:color w:val="auto"/>
          <w:spacing w:val="-6"/>
          <w:sz w:val="32"/>
          <w:szCs w:val="32"/>
          <w:shd w:val="clear" w:color="auto" w:fill="FFFFFF"/>
        </w:rPr>
      </w:pPr>
      <w:r>
        <w:rPr>
          <w:rFonts w:hint="eastAsia" w:ascii="仿宋_GB2312" w:hAnsi="仿宋_GB2312" w:eastAsia="仿宋_GB2312" w:cs="仿宋_GB2312"/>
          <w:color w:val="auto"/>
          <w:sz w:val="32"/>
          <w:szCs w:val="32"/>
          <w:lang w:val="en-US" w:eastAsia="zh-CN" w:bidi="ar-SA"/>
        </w:rPr>
        <w:t>企业新招用脱贫人口、农村低收入人口并与其签订6个月以上劳动合同,自劳动合同签订之日起6个月内开展岗前培训的，可向当地人力资源社会保障部门申请岗前培训补贴。补贴标准参照《河南省就业补助资金管理办法》有关职业培训补贴相应标准的80%执行。</w:t>
      </w:r>
    </w:p>
    <w:p>
      <w:pPr>
        <w:keepNext w:val="0"/>
        <w:keepLines w:val="0"/>
        <w:pageBreakBefore w:val="0"/>
        <w:widowControl w:val="0"/>
        <w:numPr>
          <w:ilvl w:val="0"/>
          <w:numId w:val="0"/>
        </w:numPr>
        <w:shd w:val="clear" w:color="auto" w:fill="auto"/>
        <w:kinsoku/>
        <w:wordWrap/>
        <w:overflowPunct/>
        <w:topLinePunct/>
        <w:bidi w:val="0"/>
        <w:adjustRightInd/>
        <w:snapToGrid/>
        <w:spacing w:line="560" w:lineRule="exact"/>
        <w:ind w:left="0" w:leftChars="0" w:firstLine="640" w:firstLineChars="200"/>
        <w:jc w:val="both"/>
        <w:textAlignment w:val="top"/>
        <w:outlineLvl w:val="0"/>
        <w:rPr>
          <w:rFonts w:hint="eastAsia" w:ascii="黑体" w:hAnsi="黑体" w:eastAsia="黑体" w:cs="黑体"/>
          <w:b w:val="0"/>
          <w:bCs w:val="0"/>
          <w:color w:val="auto"/>
          <w:sz w:val="32"/>
          <w:szCs w:val="32"/>
          <w:lang w:eastAsia="zh-CN"/>
        </w:rPr>
      </w:pPr>
      <w:bookmarkStart w:id="16" w:name="_Toc29922"/>
      <w:r>
        <w:rPr>
          <w:rFonts w:hint="eastAsia" w:ascii="黑体" w:hAnsi="黑体" w:eastAsia="黑体" w:cs="黑体"/>
          <w:b w:val="0"/>
          <w:bCs w:val="0"/>
          <w:color w:val="auto"/>
          <w:sz w:val="32"/>
          <w:szCs w:val="32"/>
          <w:lang w:val="en-US" w:eastAsia="zh-CN"/>
        </w:rPr>
        <w:t>九</w:t>
      </w:r>
      <w:r>
        <w:rPr>
          <w:rFonts w:hint="eastAsia" w:ascii="黑体" w:hAnsi="黑体" w:eastAsia="黑体" w:cs="黑体"/>
          <w:b w:val="0"/>
          <w:bCs w:val="0"/>
          <w:color w:val="auto"/>
          <w:sz w:val="32"/>
          <w:szCs w:val="32"/>
          <w:lang w:eastAsia="zh-CN"/>
        </w:rPr>
        <w:t>、就业创业服务补助</w:t>
      </w:r>
      <w:bookmarkEnd w:id="16"/>
    </w:p>
    <w:p>
      <w:pPr>
        <w:pStyle w:val="17"/>
        <w:keepNext w:val="0"/>
        <w:keepLines w:val="0"/>
        <w:pageBreakBefore w:val="0"/>
        <w:widowControl w:val="0"/>
        <w:kinsoku/>
        <w:wordWrap/>
        <w:overflowPunct/>
        <w:topLinePunct/>
        <w:bidi w:val="0"/>
        <w:adjustRightInd/>
        <w:snapToGrid/>
        <w:spacing w:after="0" w:line="560" w:lineRule="exact"/>
        <w:ind w:left="0" w:leftChars="0" w:firstLine="640" w:firstLineChars="200"/>
        <w:jc w:val="both"/>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对经营性人力资源服务机构免费为脱贫人口、农村低收入人口开展职业介绍服务后实现就业3个月以上或按规定缴纳社会保险费的，按每人300元标准给予一次性就业创业服务补助(职业介绍补贴)。</w:t>
      </w:r>
    </w:p>
    <w:p>
      <w:pPr>
        <w:keepNext w:val="0"/>
        <w:keepLines w:val="0"/>
        <w:pageBreakBefore w:val="0"/>
        <w:widowControl w:val="0"/>
        <w:numPr>
          <w:ilvl w:val="0"/>
          <w:numId w:val="0"/>
        </w:numPr>
        <w:shd w:val="clear" w:color="auto" w:fill="auto"/>
        <w:kinsoku/>
        <w:wordWrap/>
        <w:overflowPunct/>
        <w:topLinePunct/>
        <w:bidi w:val="0"/>
        <w:adjustRightInd/>
        <w:snapToGrid/>
        <w:spacing w:line="560" w:lineRule="exact"/>
        <w:ind w:left="0" w:leftChars="0" w:firstLine="640" w:firstLineChars="200"/>
        <w:jc w:val="both"/>
        <w:textAlignment w:val="top"/>
        <w:outlineLvl w:val="0"/>
        <w:rPr>
          <w:rFonts w:hint="eastAsia" w:ascii="黑体" w:hAnsi="黑体" w:eastAsia="黑体" w:cs="黑体"/>
          <w:b w:val="0"/>
          <w:bCs w:val="0"/>
          <w:color w:val="auto"/>
          <w:sz w:val="32"/>
          <w:szCs w:val="32"/>
          <w:lang w:eastAsia="zh-CN"/>
        </w:rPr>
      </w:pPr>
      <w:bookmarkStart w:id="17" w:name="_Toc2299"/>
      <w:r>
        <w:rPr>
          <w:rFonts w:hint="eastAsia" w:ascii="黑体" w:hAnsi="黑体" w:eastAsia="黑体" w:cs="黑体"/>
          <w:b w:val="0"/>
          <w:bCs w:val="0"/>
          <w:color w:val="auto"/>
          <w:sz w:val="32"/>
          <w:szCs w:val="32"/>
          <w:lang w:val="en-US" w:eastAsia="zh-CN"/>
        </w:rPr>
        <w:t>十</w:t>
      </w:r>
      <w:r>
        <w:rPr>
          <w:rFonts w:hint="eastAsia" w:ascii="黑体" w:hAnsi="黑体" w:eastAsia="黑体" w:cs="黑体"/>
          <w:b w:val="0"/>
          <w:bCs w:val="0"/>
          <w:color w:val="auto"/>
          <w:sz w:val="32"/>
          <w:szCs w:val="32"/>
          <w:lang w:eastAsia="zh-CN"/>
        </w:rPr>
        <w:t>、农村劳动力实名制就业信息采集补助</w:t>
      </w:r>
      <w:bookmarkEnd w:id="17"/>
    </w:p>
    <w:p>
      <w:pPr>
        <w:pStyle w:val="17"/>
        <w:keepNext w:val="0"/>
        <w:keepLines w:val="0"/>
        <w:pageBreakBefore w:val="0"/>
        <w:widowControl w:val="0"/>
        <w:kinsoku/>
        <w:wordWrap/>
        <w:overflowPunct/>
        <w:topLinePunct/>
        <w:bidi w:val="0"/>
        <w:adjustRightInd/>
        <w:snapToGrid/>
        <w:spacing w:after="0" w:line="560" w:lineRule="exact"/>
        <w:ind w:left="0" w:leftChars="0" w:firstLine="640" w:firstLineChars="200"/>
        <w:jc w:val="both"/>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对从事农村劳动力实名制就业信息摸排、更新且真实、准确、有效的，按照1元/条标准支付信息采集补助。所需资金从当地就业补助资金中列支。</w:t>
      </w:r>
    </w:p>
    <w:p>
      <w:pPr>
        <w:keepNext w:val="0"/>
        <w:keepLines w:val="0"/>
        <w:pageBreakBefore w:val="0"/>
        <w:widowControl w:val="0"/>
        <w:numPr>
          <w:ilvl w:val="0"/>
          <w:numId w:val="0"/>
        </w:numPr>
        <w:shd w:val="clear" w:color="auto" w:fill="auto"/>
        <w:kinsoku/>
        <w:wordWrap/>
        <w:overflowPunct/>
        <w:topLinePunct/>
        <w:bidi w:val="0"/>
        <w:adjustRightInd/>
        <w:snapToGrid/>
        <w:spacing w:line="560" w:lineRule="exact"/>
        <w:ind w:left="0" w:leftChars="0" w:firstLine="640" w:firstLineChars="200"/>
        <w:jc w:val="both"/>
        <w:textAlignment w:val="top"/>
        <w:outlineLvl w:val="0"/>
        <w:rPr>
          <w:rFonts w:hint="eastAsia" w:ascii="黑体" w:hAnsi="黑体" w:eastAsia="黑体" w:cs="黑体"/>
          <w:b w:val="0"/>
          <w:bCs w:val="0"/>
          <w:color w:val="auto"/>
          <w:sz w:val="32"/>
          <w:szCs w:val="32"/>
          <w:lang w:eastAsia="zh-CN"/>
        </w:rPr>
      </w:pPr>
      <w:bookmarkStart w:id="18" w:name="_Toc8967"/>
      <w:r>
        <w:rPr>
          <w:rFonts w:hint="eastAsia" w:ascii="黑体" w:hAnsi="黑体" w:eastAsia="黑体" w:cs="黑体"/>
          <w:b w:val="0"/>
          <w:bCs w:val="0"/>
          <w:color w:val="auto"/>
          <w:sz w:val="32"/>
          <w:szCs w:val="32"/>
          <w:lang w:eastAsia="zh-CN"/>
        </w:rPr>
        <w:t>十</w:t>
      </w:r>
      <w:r>
        <w:rPr>
          <w:rFonts w:hint="eastAsia" w:ascii="黑体" w:hAnsi="黑体" w:eastAsia="黑体" w:cs="黑体"/>
          <w:b w:val="0"/>
          <w:bCs w:val="0"/>
          <w:color w:val="auto"/>
          <w:sz w:val="32"/>
          <w:szCs w:val="32"/>
          <w:lang w:val="en-US" w:eastAsia="zh-CN"/>
        </w:rPr>
        <w:t>一</w:t>
      </w:r>
      <w:r>
        <w:rPr>
          <w:rFonts w:hint="eastAsia" w:ascii="黑体" w:hAnsi="黑体" w:eastAsia="黑体" w:cs="黑体"/>
          <w:b w:val="0"/>
          <w:bCs w:val="0"/>
          <w:color w:val="auto"/>
          <w:sz w:val="32"/>
          <w:szCs w:val="32"/>
          <w:lang w:eastAsia="zh-CN"/>
        </w:rPr>
        <w:t>、政府代缴城乡居民基本养老保险保费</w:t>
      </w:r>
      <w:bookmarkEnd w:id="18"/>
    </w:p>
    <w:p>
      <w:pPr>
        <w:pStyle w:val="17"/>
        <w:keepNext w:val="0"/>
        <w:keepLines w:val="0"/>
        <w:pageBreakBefore w:val="0"/>
        <w:widowControl w:val="0"/>
        <w:kinsoku/>
        <w:wordWrap/>
        <w:overflowPunct/>
        <w:topLinePunct/>
        <w:bidi w:val="0"/>
        <w:adjustRightInd/>
        <w:snapToGrid/>
        <w:spacing w:after="0" w:line="560" w:lineRule="exact"/>
        <w:ind w:left="0" w:leftChars="0" w:firstLine="640" w:firstLineChars="200"/>
        <w:jc w:val="both"/>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对参加城乡居民基本养老保险的低保对象、特困人员、返贫致贫人口、重度残疾人等缴费困难群体，县级人民政府为其代缴部分或全部最低缴费档次的养老保险费。对上述困难群体和已脱贫人口仍保留脱贫攻坚期间执行的每年100元的最低缴费档次。</w:t>
      </w:r>
    </w:p>
    <w:p>
      <w:pPr>
        <w:pStyle w:val="17"/>
        <w:keepNext w:val="0"/>
        <w:keepLines w:val="0"/>
        <w:pageBreakBefore w:val="0"/>
        <w:widowControl w:val="0"/>
        <w:kinsoku/>
        <w:wordWrap/>
        <w:overflowPunct/>
        <w:topLinePunct/>
        <w:bidi w:val="0"/>
        <w:adjustRightInd/>
        <w:snapToGrid/>
        <w:spacing w:after="0" w:line="560" w:lineRule="exact"/>
        <w:ind w:left="0" w:leftChars="0" w:firstLine="640" w:firstLineChars="200"/>
        <w:jc w:val="both"/>
        <w:textAlignment w:val="top"/>
        <w:rPr>
          <w:rFonts w:hint="eastAsia" w:ascii="仿宋_GB2312" w:hAnsi="仿宋_GB2312" w:eastAsia="仿宋_GB2312" w:cs="仿宋_GB2312"/>
          <w:b w:val="0"/>
          <w:i w:val="0"/>
          <w:color w:val="auto"/>
          <w:sz w:val="32"/>
          <w:szCs w:val="32"/>
          <w:shd w:val="clear" w:color="auto" w:fill="FFFFFF"/>
        </w:rPr>
      </w:pPr>
    </w:p>
    <w:p>
      <w:pPr>
        <w:pStyle w:val="17"/>
        <w:keepNext w:val="0"/>
        <w:keepLines w:val="0"/>
        <w:pageBreakBefore w:val="0"/>
        <w:widowControl w:val="0"/>
        <w:kinsoku/>
        <w:wordWrap/>
        <w:overflowPunct/>
        <w:topLinePunct/>
        <w:bidi w:val="0"/>
        <w:adjustRightInd/>
        <w:snapToGrid/>
        <w:spacing w:after="0" w:line="560" w:lineRule="exact"/>
        <w:ind w:left="0" w:leftChars="0" w:firstLine="643" w:firstLineChars="200"/>
        <w:jc w:val="both"/>
        <w:textAlignment w:val="top"/>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方城县人社局政策解读咨询电话：</w:t>
      </w:r>
      <w:r>
        <w:rPr>
          <w:rFonts w:hint="eastAsia" w:ascii="仿宋_GB2312" w:hAnsi="仿宋_GB2312" w:eastAsia="仿宋_GB2312" w:cs="仿宋_GB2312"/>
          <w:b/>
          <w:bCs/>
          <w:color w:val="auto"/>
          <w:sz w:val="32"/>
          <w:szCs w:val="32"/>
        </w:rPr>
        <w:t>0377-</w:t>
      </w:r>
      <w:r>
        <w:rPr>
          <w:rFonts w:hint="eastAsia" w:ascii="仿宋_GB2312" w:hAnsi="仿宋_GB2312" w:eastAsia="仿宋_GB2312" w:cs="仿宋_GB2312"/>
          <w:b/>
          <w:bCs/>
          <w:color w:val="auto"/>
          <w:sz w:val="32"/>
          <w:szCs w:val="32"/>
          <w:lang w:val="en-US" w:eastAsia="zh-CN"/>
        </w:rPr>
        <w:t>65076789</w:t>
      </w:r>
    </w:p>
    <w:p>
      <w:pPr>
        <w:pStyle w:val="17"/>
        <w:keepNext w:val="0"/>
        <w:keepLines w:val="0"/>
        <w:pageBreakBefore w:val="0"/>
        <w:widowControl w:val="0"/>
        <w:kinsoku/>
        <w:wordWrap/>
        <w:overflowPunct/>
        <w:topLinePunct/>
        <w:bidi w:val="0"/>
        <w:adjustRightInd/>
        <w:snapToGrid/>
        <w:spacing w:after="0" w:line="560" w:lineRule="exact"/>
        <w:ind w:left="0" w:leftChars="0" w:firstLine="643" w:firstLineChars="200"/>
        <w:jc w:val="both"/>
        <w:textAlignment w:val="top"/>
        <w:rPr>
          <w:rFonts w:hint="eastAsia" w:ascii="仿宋_GB2312" w:hAnsi="仿宋_GB2312" w:eastAsia="仿宋_GB2312" w:cs="仿宋_GB2312"/>
          <w:b/>
          <w:bCs/>
          <w:color w:val="auto"/>
          <w:sz w:val="32"/>
          <w:szCs w:val="32"/>
          <w:lang w:val="en-US" w:eastAsia="zh-CN"/>
        </w:rPr>
      </w:pPr>
    </w:p>
    <w:p>
      <w:pPr>
        <w:pStyle w:val="17"/>
        <w:keepNext w:val="0"/>
        <w:keepLines w:val="0"/>
        <w:pageBreakBefore w:val="0"/>
        <w:widowControl w:val="0"/>
        <w:kinsoku/>
        <w:wordWrap/>
        <w:overflowPunct/>
        <w:topLinePunct/>
        <w:bidi w:val="0"/>
        <w:adjustRightInd/>
        <w:snapToGrid/>
        <w:spacing w:after="0" w:line="560" w:lineRule="exact"/>
        <w:ind w:left="0" w:leftChars="0" w:firstLine="643" w:firstLineChars="200"/>
        <w:jc w:val="both"/>
        <w:textAlignment w:val="top"/>
        <w:rPr>
          <w:rFonts w:hint="eastAsia" w:ascii="仿宋_GB2312" w:hAnsi="仿宋_GB2312" w:eastAsia="仿宋_GB2312" w:cs="仿宋_GB2312"/>
          <w:b/>
          <w:bCs/>
          <w:color w:val="auto"/>
          <w:sz w:val="32"/>
          <w:szCs w:val="32"/>
          <w:lang w:val="en-US" w:eastAsia="zh-CN"/>
        </w:rPr>
      </w:pPr>
    </w:p>
    <w:p>
      <w:pPr>
        <w:pStyle w:val="17"/>
        <w:keepNext w:val="0"/>
        <w:keepLines w:val="0"/>
        <w:pageBreakBefore w:val="0"/>
        <w:widowControl w:val="0"/>
        <w:kinsoku/>
        <w:wordWrap/>
        <w:overflowPunct/>
        <w:topLinePunct/>
        <w:bidi w:val="0"/>
        <w:adjustRightInd/>
        <w:snapToGrid/>
        <w:spacing w:after="0" w:line="560" w:lineRule="exact"/>
        <w:ind w:left="0" w:leftChars="0" w:firstLine="643" w:firstLineChars="200"/>
        <w:jc w:val="both"/>
        <w:textAlignment w:val="top"/>
        <w:rPr>
          <w:rFonts w:hint="eastAsia" w:ascii="仿宋_GB2312" w:hAnsi="仿宋_GB2312" w:eastAsia="仿宋_GB2312" w:cs="仿宋_GB2312"/>
          <w:b/>
          <w:bCs/>
          <w:color w:val="auto"/>
          <w:sz w:val="32"/>
          <w:szCs w:val="32"/>
          <w:lang w:val="en-US" w:eastAsia="zh-CN"/>
        </w:rPr>
      </w:pPr>
    </w:p>
    <w:p>
      <w:pPr>
        <w:pStyle w:val="17"/>
        <w:keepNext w:val="0"/>
        <w:keepLines w:val="0"/>
        <w:pageBreakBefore w:val="0"/>
        <w:widowControl w:val="0"/>
        <w:kinsoku/>
        <w:wordWrap/>
        <w:overflowPunct/>
        <w:topLinePunct/>
        <w:bidi w:val="0"/>
        <w:adjustRightInd/>
        <w:snapToGrid/>
        <w:spacing w:after="0" w:line="560" w:lineRule="exact"/>
        <w:ind w:left="0" w:leftChars="0" w:firstLine="643" w:firstLineChars="200"/>
        <w:jc w:val="both"/>
        <w:textAlignment w:val="top"/>
        <w:rPr>
          <w:rFonts w:hint="eastAsia" w:ascii="仿宋_GB2312" w:hAnsi="仿宋_GB2312" w:eastAsia="仿宋_GB2312" w:cs="仿宋_GB2312"/>
          <w:b/>
          <w:bCs/>
          <w:color w:val="auto"/>
          <w:sz w:val="32"/>
          <w:szCs w:val="32"/>
          <w:lang w:val="en-US" w:eastAsia="zh-CN"/>
        </w:rPr>
      </w:pPr>
    </w:p>
    <w:p>
      <w:pPr>
        <w:pStyle w:val="17"/>
        <w:keepNext w:val="0"/>
        <w:keepLines w:val="0"/>
        <w:pageBreakBefore w:val="0"/>
        <w:widowControl w:val="0"/>
        <w:kinsoku/>
        <w:wordWrap/>
        <w:overflowPunct/>
        <w:topLinePunct/>
        <w:bidi w:val="0"/>
        <w:adjustRightInd/>
        <w:snapToGrid/>
        <w:spacing w:after="0" w:line="560" w:lineRule="exact"/>
        <w:ind w:left="0" w:leftChars="0" w:firstLine="643" w:firstLineChars="200"/>
        <w:jc w:val="both"/>
        <w:textAlignment w:val="top"/>
        <w:rPr>
          <w:rFonts w:hint="eastAsia" w:ascii="仿宋_GB2312" w:hAnsi="仿宋_GB2312" w:eastAsia="仿宋_GB2312" w:cs="仿宋_GB2312"/>
          <w:b/>
          <w:bCs/>
          <w:color w:val="auto"/>
          <w:sz w:val="32"/>
          <w:szCs w:val="32"/>
          <w:lang w:val="en-US" w:eastAsia="zh-CN"/>
        </w:rPr>
      </w:pPr>
    </w:p>
    <w:p>
      <w:pPr>
        <w:pStyle w:val="17"/>
        <w:keepNext w:val="0"/>
        <w:keepLines w:val="0"/>
        <w:pageBreakBefore w:val="0"/>
        <w:widowControl w:val="0"/>
        <w:kinsoku/>
        <w:wordWrap/>
        <w:overflowPunct/>
        <w:topLinePunct/>
        <w:bidi w:val="0"/>
        <w:adjustRightInd/>
        <w:snapToGrid/>
        <w:spacing w:after="0" w:line="560" w:lineRule="exact"/>
        <w:ind w:left="0" w:leftChars="0" w:firstLine="643" w:firstLineChars="200"/>
        <w:jc w:val="both"/>
        <w:textAlignment w:val="top"/>
        <w:rPr>
          <w:rFonts w:hint="eastAsia" w:ascii="仿宋_GB2312" w:hAnsi="仿宋_GB2312" w:eastAsia="仿宋_GB2312" w:cs="仿宋_GB2312"/>
          <w:b/>
          <w:bCs/>
          <w:color w:val="auto"/>
          <w:sz w:val="32"/>
          <w:szCs w:val="32"/>
          <w:lang w:val="en-US" w:eastAsia="zh-CN"/>
        </w:rPr>
      </w:pPr>
    </w:p>
    <w:p>
      <w:pPr>
        <w:pStyle w:val="17"/>
        <w:keepNext w:val="0"/>
        <w:keepLines w:val="0"/>
        <w:pageBreakBefore w:val="0"/>
        <w:widowControl w:val="0"/>
        <w:kinsoku/>
        <w:wordWrap/>
        <w:overflowPunct/>
        <w:topLinePunct/>
        <w:bidi w:val="0"/>
        <w:adjustRightInd/>
        <w:snapToGrid/>
        <w:spacing w:after="0" w:line="560" w:lineRule="exact"/>
        <w:ind w:left="0" w:leftChars="0" w:firstLine="643" w:firstLineChars="200"/>
        <w:jc w:val="both"/>
        <w:textAlignment w:val="top"/>
        <w:rPr>
          <w:rFonts w:hint="eastAsia" w:ascii="仿宋_GB2312" w:hAnsi="仿宋_GB2312" w:eastAsia="仿宋_GB2312" w:cs="仿宋_GB2312"/>
          <w:b/>
          <w:bCs/>
          <w:color w:val="auto"/>
          <w:sz w:val="32"/>
          <w:szCs w:val="32"/>
          <w:lang w:val="en-US" w:eastAsia="zh-CN"/>
        </w:rPr>
      </w:pPr>
    </w:p>
    <w:p>
      <w:pPr>
        <w:pStyle w:val="17"/>
        <w:keepNext w:val="0"/>
        <w:keepLines w:val="0"/>
        <w:pageBreakBefore w:val="0"/>
        <w:widowControl w:val="0"/>
        <w:kinsoku/>
        <w:wordWrap/>
        <w:overflowPunct/>
        <w:topLinePunct/>
        <w:bidi w:val="0"/>
        <w:adjustRightInd/>
        <w:snapToGrid/>
        <w:spacing w:after="0" w:line="560" w:lineRule="exact"/>
        <w:ind w:left="0" w:leftChars="0" w:firstLine="643" w:firstLineChars="200"/>
        <w:jc w:val="both"/>
        <w:textAlignment w:val="top"/>
        <w:rPr>
          <w:rFonts w:hint="eastAsia" w:ascii="仿宋_GB2312" w:hAnsi="仿宋_GB2312" w:eastAsia="仿宋_GB2312" w:cs="仿宋_GB2312"/>
          <w:b/>
          <w:bCs/>
          <w:color w:val="auto"/>
          <w:sz w:val="32"/>
          <w:szCs w:val="32"/>
          <w:lang w:val="en-US" w:eastAsia="zh-CN"/>
        </w:rPr>
      </w:pPr>
    </w:p>
    <w:p>
      <w:pPr>
        <w:pStyle w:val="17"/>
        <w:keepNext w:val="0"/>
        <w:keepLines w:val="0"/>
        <w:pageBreakBefore w:val="0"/>
        <w:widowControl w:val="0"/>
        <w:kinsoku/>
        <w:wordWrap/>
        <w:overflowPunct/>
        <w:topLinePunct/>
        <w:bidi w:val="0"/>
        <w:adjustRightInd/>
        <w:snapToGrid/>
        <w:spacing w:after="0" w:line="560" w:lineRule="exact"/>
        <w:ind w:left="0" w:leftChars="0" w:firstLine="643" w:firstLineChars="200"/>
        <w:jc w:val="both"/>
        <w:textAlignment w:val="top"/>
        <w:rPr>
          <w:rFonts w:hint="eastAsia" w:ascii="仿宋_GB2312" w:hAnsi="仿宋_GB2312" w:eastAsia="仿宋_GB2312" w:cs="仿宋_GB2312"/>
          <w:b/>
          <w:bCs/>
          <w:color w:val="auto"/>
          <w:sz w:val="32"/>
          <w:szCs w:val="32"/>
          <w:lang w:val="en-US" w:eastAsia="zh-CN"/>
        </w:rPr>
      </w:pPr>
    </w:p>
    <w:p>
      <w:pPr>
        <w:pStyle w:val="17"/>
        <w:keepNext w:val="0"/>
        <w:keepLines w:val="0"/>
        <w:pageBreakBefore w:val="0"/>
        <w:widowControl w:val="0"/>
        <w:kinsoku/>
        <w:wordWrap/>
        <w:overflowPunct/>
        <w:topLinePunct/>
        <w:bidi w:val="0"/>
        <w:adjustRightInd/>
        <w:snapToGrid/>
        <w:spacing w:after="0" w:line="560" w:lineRule="exact"/>
        <w:ind w:left="0" w:leftChars="0" w:firstLine="643" w:firstLineChars="200"/>
        <w:jc w:val="both"/>
        <w:textAlignment w:val="top"/>
        <w:rPr>
          <w:rFonts w:hint="eastAsia" w:ascii="仿宋_GB2312" w:hAnsi="仿宋_GB2312" w:eastAsia="仿宋_GB2312" w:cs="仿宋_GB2312"/>
          <w:b/>
          <w:bCs/>
          <w:color w:val="auto"/>
          <w:sz w:val="32"/>
          <w:szCs w:val="32"/>
          <w:lang w:val="en-US" w:eastAsia="zh-CN"/>
        </w:rPr>
      </w:pPr>
    </w:p>
    <w:p>
      <w:pPr>
        <w:pStyle w:val="17"/>
        <w:keepNext w:val="0"/>
        <w:keepLines w:val="0"/>
        <w:pageBreakBefore w:val="0"/>
        <w:widowControl w:val="0"/>
        <w:kinsoku/>
        <w:wordWrap/>
        <w:overflowPunct/>
        <w:topLinePunct/>
        <w:bidi w:val="0"/>
        <w:adjustRightInd/>
        <w:snapToGrid/>
        <w:spacing w:after="0" w:line="560" w:lineRule="exact"/>
        <w:ind w:left="0" w:leftChars="0" w:firstLine="643" w:firstLineChars="200"/>
        <w:jc w:val="both"/>
        <w:textAlignment w:val="top"/>
        <w:rPr>
          <w:rFonts w:hint="eastAsia" w:ascii="仿宋_GB2312" w:hAnsi="仿宋_GB2312" w:eastAsia="仿宋_GB2312" w:cs="仿宋_GB2312"/>
          <w:b/>
          <w:bCs/>
          <w:color w:val="auto"/>
          <w:sz w:val="32"/>
          <w:szCs w:val="32"/>
          <w:lang w:val="en-US" w:eastAsia="zh-CN"/>
        </w:rPr>
      </w:pPr>
    </w:p>
    <w:p>
      <w:pPr>
        <w:pStyle w:val="17"/>
        <w:keepNext w:val="0"/>
        <w:keepLines w:val="0"/>
        <w:pageBreakBefore w:val="0"/>
        <w:widowControl w:val="0"/>
        <w:kinsoku/>
        <w:wordWrap/>
        <w:overflowPunct/>
        <w:topLinePunct/>
        <w:bidi w:val="0"/>
        <w:adjustRightInd/>
        <w:snapToGrid/>
        <w:spacing w:after="0" w:line="560" w:lineRule="exact"/>
        <w:ind w:left="0" w:leftChars="0" w:firstLine="643" w:firstLineChars="200"/>
        <w:jc w:val="both"/>
        <w:textAlignment w:val="top"/>
        <w:rPr>
          <w:rFonts w:hint="eastAsia" w:ascii="仿宋_GB2312" w:hAnsi="仿宋_GB2312" w:eastAsia="仿宋_GB2312" w:cs="仿宋_GB2312"/>
          <w:b/>
          <w:bCs/>
          <w:color w:val="auto"/>
          <w:sz w:val="32"/>
          <w:szCs w:val="32"/>
          <w:lang w:val="en-US" w:eastAsia="zh-CN"/>
        </w:rPr>
      </w:pPr>
    </w:p>
    <w:p>
      <w:pPr>
        <w:keepNext w:val="0"/>
        <w:keepLines w:val="0"/>
        <w:pageBreakBefore w:val="0"/>
        <w:kinsoku/>
        <w:wordWrap/>
        <w:bidi w:val="0"/>
        <w:spacing w:line="560" w:lineRule="exact"/>
        <w:jc w:val="center"/>
        <w:rPr>
          <w:rFonts w:cs="黑体" w:asciiTheme="minorEastAsia" w:hAnsiTheme="minorEastAsia"/>
          <w:b/>
          <w:color w:val="000000" w:themeColor="text1"/>
          <w:sz w:val="44"/>
          <w:szCs w:val="44"/>
          <w14:textFill>
            <w14:solidFill>
              <w14:schemeClr w14:val="tx1"/>
            </w14:solidFill>
          </w14:textFill>
        </w:rPr>
      </w:pPr>
      <w:r>
        <w:rPr>
          <w:rFonts w:hint="eastAsia" w:cs="黑体" w:asciiTheme="minorEastAsia" w:hAnsiTheme="minorEastAsia"/>
          <w:b/>
          <w:color w:val="000000" w:themeColor="text1"/>
          <w:sz w:val="44"/>
          <w:szCs w:val="44"/>
          <w14:textFill>
            <w14:solidFill>
              <w14:schemeClr w14:val="tx1"/>
            </w14:solidFill>
          </w14:textFill>
        </w:rPr>
        <w:t>健康帮扶政策解读</w:t>
      </w:r>
    </w:p>
    <w:p>
      <w:pPr>
        <w:keepNext w:val="0"/>
        <w:keepLines w:val="0"/>
        <w:pageBreakBefore w:val="0"/>
        <w:kinsoku/>
        <w:wordWrap/>
        <w:bidi w:val="0"/>
        <w:spacing w:line="560" w:lineRule="exact"/>
        <w:rPr>
          <w:b/>
          <w:color w:val="000000" w:themeColor="text1"/>
          <w:sz w:val="48"/>
          <w:szCs w:val="44"/>
          <w14:textFill>
            <w14:solidFill>
              <w14:schemeClr w14:val="tx1"/>
            </w14:solidFill>
          </w14:textFill>
        </w:rPr>
      </w:pPr>
    </w:p>
    <w:p>
      <w:pPr>
        <w:keepNext w:val="0"/>
        <w:keepLines w:val="0"/>
        <w:pageBreakBefore w:val="0"/>
        <w:kinsoku/>
        <w:wordWrap/>
        <w:bidi w:val="0"/>
        <w:spacing w:line="560" w:lineRule="exact"/>
        <w:ind w:firstLine="640" w:firstLineChars="200"/>
        <w:rPr>
          <w:rFonts w:ascii="黑体" w:hAnsi="黑体" w:eastAsia="黑体" w:cs="方正小标宋简体"/>
          <w:bCs/>
          <w:color w:val="000000" w:themeColor="text1"/>
          <w:sz w:val="32"/>
          <w:szCs w:val="32"/>
          <w14:textFill>
            <w14:solidFill>
              <w14:schemeClr w14:val="tx1"/>
            </w14:solidFill>
          </w14:textFill>
        </w:rPr>
      </w:pPr>
      <w:r>
        <w:rPr>
          <w:rFonts w:hint="eastAsia" w:ascii="黑体" w:hAnsi="黑体" w:eastAsia="黑体" w:cs="方正小标宋简体"/>
          <w:bCs/>
          <w:color w:val="000000" w:themeColor="text1"/>
          <w:sz w:val="32"/>
          <w:szCs w:val="32"/>
          <w:lang w:val="zh-CN"/>
          <w14:textFill>
            <w14:solidFill>
              <w14:schemeClr w14:val="tx1"/>
            </w14:solidFill>
          </w14:textFill>
        </w:rPr>
        <w:t>一、提升卫生健康服务能力。</w:t>
      </w:r>
    </w:p>
    <w:p>
      <w:pPr>
        <w:keepNext w:val="0"/>
        <w:keepLines w:val="0"/>
        <w:pageBreakBefore w:val="0"/>
        <w:kinsoku/>
        <w:wordWrap/>
        <w:bidi w:val="0"/>
        <w:spacing w:line="560" w:lineRule="exact"/>
        <w:ind w:firstLine="640" w:firstLineChars="200"/>
        <w:rPr>
          <w:rFonts w:ascii="仿宋_GB2312" w:hAnsi="方正小标宋简体" w:eastAsia="仿宋_GB2312" w:cs="方正小标宋简体"/>
          <w:color w:val="000000" w:themeColor="text1"/>
          <w:sz w:val="32"/>
          <w:szCs w:val="32"/>
          <w:lang w:val="zh-CN"/>
          <w14:textFill>
            <w14:solidFill>
              <w14:schemeClr w14:val="tx1"/>
            </w14:solidFill>
          </w14:textFill>
        </w:rPr>
      </w:pPr>
      <w:r>
        <w:rPr>
          <w:rFonts w:hint="eastAsia" w:ascii="仿宋_GB2312" w:hAnsi="方正小标宋简体" w:eastAsia="仿宋_GB2312" w:cs="方正小标宋简体"/>
          <w:color w:val="000000" w:themeColor="text1"/>
          <w:sz w:val="32"/>
          <w:szCs w:val="32"/>
          <w:lang w:val="zh-CN"/>
          <w14:textFill>
            <w14:solidFill>
              <w14:schemeClr w14:val="tx1"/>
            </w14:solidFill>
          </w14:textFill>
        </w:rPr>
        <w:t>涉及</w:t>
      </w:r>
      <w:r>
        <w:rPr>
          <w:rFonts w:hint="eastAsia" w:ascii="仿宋_GB2312" w:hAnsi="方正小标宋简体" w:eastAsia="仿宋_GB2312" w:cs="方正小标宋简体"/>
          <w:color w:val="000000" w:themeColor="text1"/>
          <w:sz w:val="32"/>
          <w:szCs w:val="32"/>
          <w14:textFill>
            <w14:solidFill>
              <w14:schemeClr w14:val="tx1"/>
            </w14:solidFill>
          </w14:textFill>
        </w:rPr>
        <w:t>“</w:t>
      </w:r>
      <w:r>
        <w:rPr>
          <w:rFonts w:hint="eastAsia" w:ascii="仿宋_GB2312" w:hAnsi="方正小标宋简体" w:eastAsia="仿宋_GB2312" w:cs="方正小标宋简体"/>
          <w:color w:val="000000" w:themeColor="text1"/>
          <w:sz w:val="32"/>
          <w:szCs w:val="32"/>
          <w:lang w:val="zh-CN"/>
          <w14:textFill>
            <w14:solidFill>
              <w14:schemeClr w14:val="tx1"/>
            </w14:solidFill>
          </w14:textFill>
        </w:rPr>
        <w:t>先诊疗后付费、家庭医生签约服务</w:t>
      </w:r>
      <w:r>
        <w:rPr>
          <w:rFonts w:hint="eastAsia" w:ascii="仿宋_GB2312" w:hAnsi="方正小标宋简体" w:eastAsia="仿宋_GB2312" w:cs="方正小标宋简体"/>
          <w:color w:val="000000" w:themeColor="text1"/>
          <w:sz w:val="32"/>
          <w:szCs w:val="32"/>
          <w14:textFill>
            <w14:solidFill>
              <w14:schemeClr w14:val="tx1"/>
            </w14:solidFill>
          </w14:textFill>
        </w:rPr>
        <w:t>、</w:t>
      </w:r>
      <w:r>
        <w:rPr>
          <w:rFonts w:hint="eastAsia" w:ascii="仿宋_GB2312" w:hAnsi="方正小标宋简体" w:eastAsia="仿宋_GB2312" w:cs="方正小标宋简体"/>
          <w:color w:val="000000" w:themeColor="text1"/>
          <w:sz w:val="32"/>
          <w:szCs w:val="32"/>
          <w:lang w:val="zh-CN"/>
          <w14:textFill>
            <w14:solidFill>
              <w14:schemeClr w14:val="tx1"/>
            </w14:solidFill>
          </w14:textFill>
        </w:rPr>
        <w:t>大病救治、门诊慢性病鉴定”这</w:t>
      </w:r>
      <w:r>
        <w:rPr>
          <w:rFonts w:hint="eastAsia" w:ascii="仿宋_GB2312" w:hAnsi="方正小标宋简体" w:eastAsia="仿宋_GB2312" w:cs="方正小标宋简体"/>
          <w:color w:val="000000" w:themeColor="text1"/>
          <w:sz w:val="32"/>
          <w:szCs w:val="32"/>
          <w14:textFill>
            <w14:solidFill>
              <w14:schemeClr w14:val="tx1"/>
            </w14:solidFill>
          </w14:textFill>
        </w:rPr>
        <w:t>四</w:t>
      </w:r>
      <w:r>
        <w:rPr>
          <w:rFonts w:hint="eastAsia" w:ascii="仿宋_GB2312" w:hAnsi="方正小标宋简体" w:eastAsia="仿宋_GB2312" w:cs="方正小标宋简体"/>
          <w:color w:val="000000" w:themeColor="text1"/>
          <w:sz w:val="32"/>
          <w:szCs w:val="32"/>
          <w:lang w:val="zh-CN"/>
          <w14:textFill>
            <w14:solidFill>
              <w14:schemeClr w14:val="tx1"/>
            </w14:solidFill>
          </w14:textFill>
        </w:rPr>
        <w:t>项健康帮扶政策。</w:t>
      </w:r>
    </w:p>
    <w:p>
      <w:pPr>
        <w:keepNext w:val="0"/>
        <w:keepLines w:val="0"/>
        <w:pageBreakBefore w:val="0"/>
        <w:kinsoku/>
        <w:wordWrap/>
        <w:bidi w:val="0"/>
        <w:spacing w:line="560" w:lineRule="exact"/>
        <w:ind w:firstLine="643" w:firstLineChars="200"/>
        <w:rPr>
          <w:rFonts w:ascii="仿宋_GB2312" w:hAnsi="楷体_GB2312" w:eastAsia="仿宋_GB2312" w:cs="楷体_GB2312"/>
          <w:b/>
          <w:bCs/>
          <w:color w:val="000000" w:themeColor="text1"/>
          <w:sz w:val="32"/>
          <w:szCs w:val="32"/>
          <w14:textFill>
            <w14:solidFill>
              <w14:schemeClr w14:val="tx1"/>
            </w14:solidFill>
          </w14:textFill>
        </w:rPr>
      </w:pPr>
      <w:r>
        <w:rPr>
          <w:rFonts w:hint="eastAsia" w:ascii="仿宋_GB2312" w:hAnsi="楷体_GB2312" w:eastAsia="仿宋_GB2312" w:cs="楷体_GB2312"/>
          <w:b/>
          <w:bCs/>
          <w:color w:val="000000" w:themeColor="text1"/>
          <w:sz w:val="32"/>
          <w:szCs w:val="32"/>
          <w14:textFill>
            <w14:solidFill>
              <w14:schemeClr w14:val="tx1"/>
            </w14:solidFill>
          </w14:textFill>
        </w:rPr>
        <w:t>（一）先诊疗后付费</w:t>
      </w:r>
    </w:p>
    <w:p>
      <w:pPr>
        <w:keepNext w:val="0"/>
        <w:keepLines w:val="0"/>
        <w:pageBreakBefore w:val="0"/>
        <w:kinsoku/>
        <w:wordWrap/>
        <w:bidi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方正小标宋简体" w:eastAsia="仿宋_GB2312" w:cs="方正小标宋简体"/>
          <w:color w:val="000000" w:themeColor="text1"/>
          <w:sz w:val="32"/>
          <w:szCs w:val="32"/>
          <w:lang w:val="zh-CN"/>
          <w14:textFill>
            <w14:solidFill>
              <w14:schemeClr w14:val="tx1"/>
            </w14:solidFill>
          </w14:textFill>
        </w:rPr>
        <w:t>脱贫户和监测户在县域内定点医疗机构</w:t>
      </w:r>
      <w:r>
        <w:rPr>
          <w:rFonts w:hint="eastAsia" w:ascii="仿宋_GB2312" w:hAnsi="方正小标宋简体" w:eastAsia="仿宋_GB2312" w:cs="方正小标宋简体"/>
          <w:color w:val="000000" w:themeColor="text1"/>
          <w:sz w:val="32"/>
          <w:szCs w:val="32"/>
          <w14:textFill>
            <w14:solidFill>
              <w14:schemeClr w14:val="tx1"/>
            </w14:solidFill>
          </w14:textFill>
        </w:rPr>
        <w:t>住院</w:t>
      </w:r>
      <w:r>
        <w:rPr>
          <w:rFonts w:hint="eastAsia" w:ascii="仿宋_GB2312" w:hAnsi="方正小标宋简体" w:eastAsia="仿宋_GB2312" w:cs="方正小标宋简体"/>
          <w:color w:val="000000" w:themeColor="text1"/>
          <w:sz w:val="32"/>
          <w:szCs w:val="32"/>
          <w:lang w:val="zh-CN"/>
          <w14:textFill>
            <w14:solidFill>
              <w14:schemeClr w14:val="tx1"/>
            </w14:solidFill>
          </w14:textFill>
        </w:rPr>
        <w:t>,持本人社会保障卡(参保证)、有效身份证件等办理入院手续无需交纳住院押金，直接住院治疗。患者在出院时结清个人应承担的费用即可。</w:t>
      </w:r>
      <w:r>
        <w:rPr>
          <w:rFonts w:hint="eastAsia" w:ascii="仿宋_GB2312" w:hAnsi="方正小标宋简体" w:eastAsia="仿宋_GB2312" w:cs="方正小标宋简体"/>
          <w:color w:val="000000" w:themeColor="text1"/>
          <w:sz w:val="32"/>
          <w:szCs w:val="32"/>
          <w14:textFill>
            <w14:solidFill>
              <w14:schemeClr w14:val="tx1"/>
            </w14:solidFill>
          </w14:textFill>
        </w:rPr>
        <w:t>自2022年起，</w:t>
      </w:r>
      <w:r>
        <w:rPr>
          <w:rFonts w:hint="eastAsia" w:ascii="仿宋_GB2312" w:eastAsia="仿宋_GB2312"/>
          <w:color w:val="000000" w:themeColor="text1"/>
          <w:sz w:val="32"/>
          <w:szCs w:val="32"/>
          <w14:textFill>
            <w14:solidFill>
              <w14:schemeClr w14:val="tx1"/>
            </w14:solidFill>
          </w14:textFill>
        </w:rPr>
        <w:t>经基层首诊转诊的低保对象、特困人员、返贫致贫人口和风险未消除的监测对象在</w:t>
      </w:r>
      <w:r>
        <w:rPr>
          <w:rFonts w:hint="eastAsia" w:ascii="仿宋_GB2312" w:hAnsi="方正小标宋简体" w:eastAsia="仿宋_GB2312" w:cs="方正小标宋简体"/>
          <w:b/>
          <w:bCs/>
          <w:color w:val="000000" w:themeColor="text1"/>
          <w:sz w:val="32"/>
          <w:szCs w:val="32"/>
          <w14:textFill>
            <w14:solidFill>
              <w14:schemeClr w14:val="tx1"/>
            </w14:solidFill>
          </w14:textFill>
        </w:rPr>
        <w:t>南阳</w:t>
      </w:r>
      <w:r>
        <w:rPr>
          <w:rFonts w:hint="eastAsia" w:ascii="仿宋_GB2312" w:hAnsi="方正小标宋简体" w:eastAsia="仿宋_GB2312" w:cs="方正小标宋简体"/>
          <w:b/>
          <w:bCs/>
          <w:color w:val="000000" w:themeColor="text1"/>
          <w:sz w:val="32"/>
          <w:szCs w:val="32"/>
          <w:lang w:val="zh-CN"/>
          <w14:textFill>
            <w14:solidFill>
              <w14:schemeClr w14:val="tx1"/>
            </w14:solidFill>
          </w14:textFill>
        </w:rPr>
        <w:t>市域内</w:t>
      </w:r>
      <w:r>
        <w:rPr>
          <w:rFonts w:hint="eastAsia" w:ascii="仿宋_GB2312" w:hAnsi="方正小标宋简体" w:eastAsia="仿宋_GB2312" w:cs="方正小标宋简体"/>
          <w:color w:val="000000" w:themeColor="text1"/>
          <w:sz w:val="32"/>
          <w:szCs w:val="32"/>
          <w:lang w:val="zh-CN"/>
          <w14:textFill>
            <w14:solidFill>
              <w14:schemeClr w14:val="tx1"/>
            </w14:solidFill>
          </w14:textFill>
        </w:rPr>
        <w:t>定点医疗机构住院，均</w:t>
      </w:r>
      <w:r>
        <w:rPr>
          <w:rFonts w:hint="eastAsia" w:ascii="仿宋_GB2312" w:hAnsi="方正小标宋简体" w:eastAsia="仿宋_GB2312" w:cs="方正小标宋简体"/>
          <w:color w:val="000000" w:themeColor="text1"/>
          <w:sz w:val="32"/>
          <w:szCs w:val="32"/>
          <w14:textFill>
            <w14:solidFill>
              <w14:schemeClr w14:val="tx1"/>
            </w14:solidFill>
          </w14:textFill>
        </w:rPr>
        <w:t>享受</w:t>
      </w:r>
      <w:r>
        <w:rPr>
          <w:rFonts w:hint="eastAsia" w:ascii="仿宋_GB2312" w:hAnsi="方正小标宋简体" w:eastAsia="仿宋_GB2312" w:cs="方正小标宋简体"/>
          <w:color w:val="000000" w:themeColor="text1"/>
          <w:sz w:val="32"/>
          <w:szCs w:val="32"/>
          <w:lang w:val="zh-CN"/>
          <w14:textFill>
            <w14:solidFill>
              <w14:schemeClr w14:val="tx1"/>
            </w14:solidFill>
          </w14:textFill>
        </w:rPr>
        <w:t>“先诊疗后付费”政策。</w:t>
      </w:r>
    </w:p>
    <w:p>
      <w:pPr>
        <w:keepNext w:val="0"/>
        <w:keepLines w:val="0"/>
        <w:pageBreakBefore w:val="0"/>
        <w:kinsoku/>
        <w:wordWrap/>
        <w:bidi w:val="0"/>
        <w:spacing w:line="560" w:lineRule="exact"/>
        <w:ind w:firstLine="640" w:firstLineChars="200"/>
        <w:rPr>
          <w:rFonts w:ascii="仿宋_GB2312" w:hAnsi="楷体_GB2312" w:eastAsia="仿宋_GB2312" w:cs="楷体_GB2312"/>
          <w:b/>
          <w:bCs/>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为确保此项政策不折不扣落实到位，我们在强化对医务人员政策培训、每月及时做好信息更新的基础上，各医疗机构均在显著位置张贴“先诊疗后付费”政策解读和工作流程图，在结算窗口张贴提示语，通过LED电子屏、宣传栏、入户走访、家医签约等多种形式向群众宣传“先诊疗后付费”政策，做好政策宣传，提高群众对“先诊疗后付费”政策的知晓率，并配合医保部门做好医疗保障“一站式”结算工作。</w:t>
      </w:r>
      <w:r>
        <w:rPr>
          <w:rFonts w:hint="eastAsia" w:ascii="仿宋_GB2312" w:hAnsi="楷体_GB2312" w:eastAsia="仿宋_GB2312" w:cs="楷体_GB2312"/>
          <w:b/>
          <w:bCs/>
          <w:color w:val="000000" w:themeColor="text1"/>
          <w:sz w:val="32"/>
          <w:szCs w:val="32"/>
          <w14:textFill>
            <w14:solidFill>
              <w14:schemeClr w14:val="tx1"/>
            </w14:solidFill>
          </w14:textFill>
        </w:rPr>
        <w:t>这项政策的落实情况省、市高度关注并作为一项重要的考核内容。</w:t>
      </w:r>
    </w:p>
    <w:p>
      <w:pPr>
        <w:keepNext w:val="0"/>
        <w:keepLines w:val="0"/>
        <w:pageBreakBefore w:val="0"/>
        <w:kinsoku/>
        <w:wordWrap/>
        <w:bidi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另外，对“先诊疗后付费”政策落实中的“恶意拖欠医疗费用”行为，按照《关于南阳市困难群众市域内住院先诊疗后付费工作的通知》（宛卫2022〔99〕号）要求，定点医疗机构有权为其终止提供“先诊疗后付费”优惠政策（急危重伤病除外））。</w:t>
      </w:r>
    </w:p>
    <w:p>
      <w:pPr>
        <w:keepNext w:val="0"/>
        <w:keepLines w:val="0"/>
        <w:pageBreakBefore w:val="0"/>
        <w:kinsoku/>
        <w:wordWrap/>
        <w:bidi w:val="0"/>
        <w:spacing w:line="560" w:lineRule="exact"/>
        <w:ind w:firstLine="643" w:firstLineChars="200"/>
        <w:rPr>
          <w:rFonts w:ascii="仿宋_GB2312" w:hAnsi="楷体_GB2312" w:eastAsia="仿宋_GB2312" w:cs="楷体_GB2312"/>
          <w:b/>
          <w:bCs/>
          <w:color w:val="000000" w:themeColor="text1"/>
          <w:sz w:val="32"/>
          <w:szCs w:val="32"/>
          <w14:textFill>
            <w14:solidFill>
              <w14:schemeClr w14:val="tx1"/>
            </w14:solidFill>
          </w14:textFill>
        </w:rPr>
      </w:pPr>
      <w:r>
        <w:rPr>
          <w:rFonts w:hint="eastAsia" w:ascii="仿宋_GB2312" w:hAnsi="楷体_GB2312" w:eastAsia="仿宋_GB2312" w:cs="楷体_GB2312"/>
          <w:b/>
          <w:bCs/>
          <w:color w:val="000000" w:themeColor="text1"/>
          <w:sz w:val="32"/>
          <w:szCs w:val="32"/>
          <w14:textFill>
            <w14:solidFill>
              <w14:schemeClr w14:val="tx1"/>
            </w14:solidFill>
          </w14:textFill>
        </w:rPr>
        <w:t>（二）家庭医生签约服务</w:t>
      </w:r>
    </w:p>
    <w:p>
      <w:pPr>
        <w:keepNext w:val="0"/>
        <w:keepLines w:val="0"/>
        <w:pageBreakBefore w:val="0"/>
        <w:kinsoku/>
        <w:wordWrap/>
        <w:bidi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家庭医生签约服务工作覆盖所有</w:t>
      </w:r>
      <w:r>
        <w:rPr>
          <w:rFonts w:hint="eastAsia" w:ascii="仿宋_GB2312" w:hAnsi="方正小标宋简体" w:eastAsia="仿宋_GB2312" w:cs="方正小标宋简体"/>
          <w:color w:val="000000" w:themeColor="text1"/>
          <w:sz w:val="32"/>
          <w:szCs w:val="32"/>
          <w:lang w:val="zh-CN"/>
          <w14:textFill>
            <w14:solidFill>
              <w14:schemeClr w14:val="tx1"/>
            </w14:solidFill>
          </w14:textFill>
        </w:rPr>
        <w:t>脱贫户和监测户</w:t>
      </w:r>
      <w:r>
        <w:rPr>
          <w:rFonts w:ascii="Times New Roman" w:hAnsi="Times New Roman" w:eastAsia="仿宋_GB2312" w:cs="Times New Roman"/>
          <w:color w:val="000000" w:themeColor="text1"/>
          <w:sz w:val="32"/>
          <w:szCs w:val="32"/>
          <w14:textFill>
            <w14:solidFill>
              <w14:schemeClr w14:val="tx1"/>
            </w14:solidFill>
          </w14:textFill>
        </w:rPr>
        <w:t>，确保应签尽签</w:t>
      </w:r>
      <w:r>
        <w:rPr>
          <w:rFonts w:hint="eastAsia" w:ascii="Times New Roman" w:hAnsi="Times New Roman" w:eastAsia="仿宋_GB2312" w:cs="Times New Roman"/>
          <w:color w:val="000000" w:themeColor="text1"/>
          <w:sz w:val="32"/>
          <w:szCs w:val="32"/>
          <w14:textFill>
            <w14:solidFill>
              <w14:schemeClr w14:val="tx1"/>
            </w14:solidFill>
          </w14:textFill>
        </w:rPr>
        <w:t>，不落一人</w:t>
      </w:r>
      <w:r>
        <w:rPr>
          <w:rFonts w:ascii="Times New Roman" w:hAnsi="Times New Roman" w:eastAsia="仿宋_GB2312" w:cs="Times New Roman"/>
          <w:color w:val="000000" w:themeColor="text1"/>
          <w:sz w:val="32"/>
          <w:szCs w:val="32"/>
          <w14:textFill>
            <w14:solidFill>
              <w14:schemeClr w14:val="tx1"/>
            </w14:solidFill>
          </w14:textFill>
        </w:rPr>
        <w:t>。</w:t>
      </w:r>
      <w:r>
        <w:rPr>
          <w:rFonts w:ascii="仿宋_GB2312" w:hAnsi="仿宋" w:eastAsia="仿宋_GB2312" w:cs="仿宋"/>
          <w:color w:val="000000" w:themeColor="text1"/>
          <w:sz w:val="32"/>
          <w:szCs w:val="32"/>
          <w14:textFill>
            <w14:solidFill>
              <w14:schemeClr w14:val="tx1"/>
            </w14:solidFill>
          </w14:textFill>
        </w:rPr>
        <w:t>在</w:t>
      </w:r>
      <w:r>
        <w:rPr>
          <w:rFonts w:hint="eastAsia" w:ascii="仿宋_GB2312" w:hAnsi="仿宋" w:eastAsia="仿宋_GB2312" w:cs="仿宋"/>
          <w:color w:val="000000" w:themeColor="text1"/>
          <w:sz w:val="32"/>
          <w:szCs w:val="32"/>
          <w14:textFill>
            <w14:solidFill>
              <w14:schemeClr w14:val="tx1"/>
            </w14:solidFill>
          </w14:textFill>
        </w:rPr>
        <w:t>困难群众</w:t>
      </w:r>
      <w:r>
        <w:rPr>
          <w:rFonts w:ascii="仿宋_GB2312" w:hAnsi="仿宋" w:eastAsia="仿宋_GB2312" w:cs="仿宋"/>
          <w:color w:val="000000" w:themeColor="text1"/>
          <w:sz w:val="32"/>
          <w:szCs w:val="32"/>
          <w14:textFill>
            <w14:solidFill>
              <w14:schemeClr w14:val="tx1"/>
            </w14:solidFill>
          </w14:textFill>
        </w:rPr>
        <w:t>家中张贴</w:t>
      </w:r>
      <w:r>
        <w:rPr>
          <w:rFonts w:hint="eastAsia" w:ascii="仿宋_GB2312" w:hAnsi="仿宋" w:eastAsia="仿宋_GB2312" w:cs="仿宋"/>
          <w:color w:val="000000" w:themeColor="text1"/>
          <w:sz w:val="32"/>
          <w:szCs w:val="32"/>
          <w14:textFill>
            <w14:solidFill>
              <w14:schemeClr w14:val="tx1"/>
            </w14:solidFill>
          </w14:textFill>
        </w:rPr>
        <w:t>的</w:t>
      </w:r>
      <w:r>
        <w:rPr>
          <w:rFonts w:ascii="仿宋_GB2312" w:hAnsi="仿宋" w:eastAsia="仿宋_GB2312" w:cs="仿宋"/>
          <w:color w:val="000000" w:themeColor="text1"/>
          <w:sz w:val="32"/>
          <w:szCs w:val="32"/>
          <w14:textFill>
            <w14:solidFill>
              <w14:schemeClr w14:val="tx1"/>
            </w14:solidFill>
          </w14:textFill>
        </w:rPr>
        <w:t>“家庭医生签约服务联系牌”</w:t>
      </w:r>
      <w:r>
        <w:rPr>
          <w:rFonts w:hint="eastAsia" w:ascii="仿宋_GB2312" w:hAnsi="仿宋" w:eastAsia="仿宋_GB2312" w:cs="仿宋"/>
          <w:color w:val="000000" w:themeColor="text1"/>
          <w:sz w:val="32"/>
          <w:szCs w:val="32"/>
          <w14:textFill>
            <w14:solidFill>
              <w14:schemeClr w14:val="tx1"/>
            </w14:solidFill>
          </w14:textFill>
        </w:rPr>
        <w:t>上明确标有</w:t>
      </w:r>
      <w:r>
        <w:rPr>
          <w:rFonts w:ascii="Times New Roman" w:hAnsi="Times New Roman" w:eastAsia="仿宋_GB2312" w:cs="Times New Roman"/>
          <w:color w:val="000000" w:themeColor="text1"/>
          <w:sz w:val="32"/>
          <w:szCs w:val="32"/>
          <w14:textFill>
            <w14:solidFill>
              <w14:schemeClr w14:val="tx1"/>
            </w14:solidFill>
          </w14:textFill>
        </w:rPr>
        <w:t>签约服务团队</w:t>
      </w:r>
      <w:r>
        <w:rPr>
          <w:rFonts w:hint="eastAsia" w:ascii="Times New Roman" w:hAnsi="Times New Roman" w:eastAsia="仿宋_GB2312" w:cs="Times New Roman"/>
          <w:color w:val="000000" w:themeColor="text1"/>
          <w:sz w:val="32"/>
          <w:szCs w:val="32"/>
          <w14:textFill>
            <w14:solidFill>
              <w14:schemeClr w14:val="tx1"/>
            </w14:solidFill>
          </w14:textFill>
        </w:rPr>
        <w:t>中</w:t>
      </w:r>
      <w:r>
        <w:rPr>
          <w:rFonts w:ascii="Times New Roman" w:hAnsi="Times New Roman" w:eastAsia="仿宋_GB2312" w:cs="Times New Roman"/>
          <w:color w:val="000000" w:themeColor="text1"/>
          <w:sz w:val="32"/>
          <w:szCs w:val="32"/>
          <w14:textFill>
            <w14:solidFill>
              <w14:schemeClr w14:val="tx1"/>
            </w14:solidFill>
          </w14:textFill>
        </w:rPr>
        <w:t>医生、护士、公卫医师</w:t>
      </w:r>
      <w:r>
        <w:rPr>
          <w:rFonts w:hint="eastAsia" w:ascii="Times New Roman" w:hAnsi="Times New Roman" w:eastAsia="仿宋_GB2312" w:cs="Times New Roman"/>
          <w:color w:val="000000" w:themeColor="text1"/>
          <w:sz w:val="32"/>
          <w:szCs w:val="32"/>
          <w14:textFill>
            <w14:solidFill>
              <w14:schemeClr w14:val="tx1"/>
            </w14:solidFill>
          </w14:textFill>
        </w:rPr>
        <w:t>的姓名、</w:t>
      </w:r>
      <w:r>
        <w:rPr>
          <w:rFonts w:hint="eastAsia" w:ascii="仿宋_GB2312" w:hAnsi="仿宋_GB2312" w:eastAsia="仿宋_GB2312" w:cs="仿宋_GB2312"/>
          <w:color w:val="000000" w:themeColor="text1"/>
          <w:kern w:val="0"/>
          <w:sz w:val="32"/>
          <w:szCs w:val="32"/>
          <w14:textFill>
            <w14:solidFill>
              <w14:schemeClr w14:val="tx1"/>
            </w14:solidFill>
          </w14:textFill>
        </w:rPr>
        <w:t>照片、</w:t>
      </w:r>
      <w:r>
        <w:rPr>
          <w:rFonts w:hint="eastAsia" w:ascii="Times New Roman" w:hAnsi="Times New Roman" w:eastAsia="仿宋_GB2312" w:cs="Times New Roman"/>
          <w:color w:val="000000" w:themeColor="text1"/>
          <w:sz w:val="32"/>
          <w:szCs w:val="32"/>
          <w14:textFill>
            <w14:solidFill>
              <w14:schemeClr w14:val="tx1"/>
            </w14:solidFill>
          </w14:textFill>
        </w:rPr>
        <w:t>职称、职责和联系方式，并有监督电话。</w:t>
      </w:r>
      <w:r>
        <w:rPr>
          <w:rFonts w:ascii="仿宋_GB2312" w:hAnsi="仿宋" w:eastAsia="仿宋_GB2312" w:cs="仿宋"/>
          <w:color w:val="000000" w:themeColor="text1"/>
          <w:sz w:val="32"/>
          <w:szCs w:val="32"/>
          <w14:textFill>
            <w14:solidFill>
              <w14:schemeClr w14:val="tx1"/>
            </w14:solidFill>
          </w14:textFill>
        </w:rPr>
        <w:t>在为困难</w:t>
      </w:r>
      <w:r>
        <w:rPr>
          <w:rFonts w:hint="eastAsia" w:ascii="仿宋_GB2312" w:hAnsi="仿宋" w:eastAsia="仿宋_GB2312" w:cs="仿宋"/>
          <w:color w:val="000000" w:themeColor="text1"/>
          <w:sz w:val="32"/>
          <w:szCs w:val="32"/>
          <w14:textFill>
            <w14:solidFill>
              <w14:schemeClr w14:val="tx1"/>
            </w14:solidFill>
          </w14:textFill>
        </w:rPr>
        <w:t>群众</w:t>
      </w:r>
      <w:r>
        <w:rPr>
          <w:rFonts w:ascii="仿宋_GB2312" w:hAnsi="仿宋" w:eastAsia="仿宋_GB2312" w:cs="仿宋"/>
          <w:color w:val="000000" w:themeColor="text1"/>
          <w:sz w:val="32"/>
          <w:szCs w:val="32"/>
          <w14:textFill>
            <w14:solidFill>
              <w14:schemeClr w14:val="tx1"/>
            </w14:solidFill>
          </w14:textFill>
        </w:rPr>
        <w:t>提供基本医疗和基本公共卫生服务的基础上，根据困难患者</w:t>
      </w:r>
      <w:r>
        <w:rPr>
          <w:rFonts w:hint="eastAsia" w:ascii="仿宋_GB2312" w:hAnsi="仿宋" w:eastAsia="仿宋_GB2312" w:cs="仿宋"/>
          <w:color w:val="000000" w:themeColor="text1"/>
          <w:sz w:val="32"/>
          <w:szCs w:val="32"/>
          <w14:textFill>
            <w14:solidFill>
              <w14:schemeClr w14:val="tx1"/>
            </w14:solidFill>
          </w14:textFill>
        </w:rPr>
        <w:t>的</w:t>
      </w:r>
      <w:r>
        <w:rPr>
          <w:rFonts w:ascii="仿宋_GB2312" w:hAnsi="仿宋" w:eastAsia="仿宋_GB2312" w:cs="仿宋"/>
          <w:color w:val="000000" w:themeColor="text1"/>
          <w:sz w:val="32"/>
          <w:szCs w:val="32"/>
          <w14:textFill>
            <w14:solidFill>
              <w14:schemeClr w14:val="tx1"/>
            </w14:solidFill>
          </w14:textFill>
        </w:rPr>
        <w:t>健康状况实行分类管理：</w:t>
      </w:r>
    </w:p>
    <w:p>
      <w:pPr>
        <w:keepNext w:val="0"/>
        <w:keepLines w:val="0"/>
        <w:pageBreakBefore w:val="0"/>
        <w:kinsoku/>
        <w:wordWrap/>
        <w:bidi w:val="0"/>
        <w:spacing w:line="560" w:lineRule="exact"/>
        <w:ind w:firstLine="640" w:firstLineChars="200"/>
        <w:rPr>
          <w:rFonts w:ascii="仿宋_GB2312" w:hAnsi="方正小标宋简体" w:eastAsia="仿宋_GB2312" w:cs="方正小标宋简体"/>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1、</w:t>
      </w:r>
      <w:r>
        <w:rPr>
          <w:rFonts w:hint="eastAsia" w:ascii="仿宋_GB2312" w:hAnsi="方正小标宋简体" w:eastAsia="仿宋_GB2312" w:cs="方正小标宋简体"/>
          <w:color w:val="000000" w:themeColor="text1"/>
          <w:sz w:val="32"/>
          <w:szCs w:val="32"/>
          <w14:textFill>
            <w14:solidFill>
              <w14:schemeClr w14:val="tx1"/>
            </w14:solidFill>
          </w14:textFill>
        </w:rPr>
        <w:t>每年免费为所有脱贫群众和监测群众进行1次健康体检。</w:t>
      </w:r>
    </w:p>
    <w:p>
      <w:pPr>
        <w:keepNext w:val="0"/>
        <w:keepLines w:val="0"/>
        <w:pageBreakBefore w:val="0"/>
        <w:kinsoku/>
        <w:wordWrap/>
        <w:bidi w:val="0"/>
        <w:spacing w:line="560" w:lineRule="exact"/>
        <w:ind w:firstLine="640" w:firstLineChars="200"/>
        <w:rPr>
          <w:rFonts w:ascii="仿宋_GB2312" w:hAnsi="方正小标宋简体" w:eastAsia="仿宋_GB2312" w:cs="方正小标宋简体"/>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2、</w:t>
      </w:r>
      <w:r>
        <w:rPr>
          <w:rFonts w:ascii="仿宋_GB2312" w:hAnsi="仿宋" w:eastAsia="仿宋_GB2312" w:cs="仿宋"/>
          <w:color w:val="000000" w:themeColor="text1"/>
          <w:sz w:val="32"/>
          <w:szCs w:val="32"/>
          <w14:textFill>
            <w14:solidFill>
              <w14:schemeClr w14:val="tx1"/>
            </w14:solidFill>
          </w14:textFill>
        </w:rPr>
        <w:t>对于困难</w:t>
      </w:r>
      <w:r>
        <w:rPr>
          <w:rFonts w:hint="eastAsia" w:ascii="仿宋_GB2312" w:hAnsi="仿宋" w:eastAsia="仿宋_GB2312" w:cs="仿宋"/>
          <w:color w:val="000000" w:themeColor="text1"/>
          <w:sz w:val="32"/>
          <w:szCs w:val="32"/>
          <w14:textFill>
            <w14:solidFill>
              <w14:schemeClr w14:val="tx1"/>
            </w14:solidFill>
          </w14:textFill>
        </w:rPr>
        <w:t>群众家</w:t>
      </w:r>
      <w:r>
        <w:rPr>
          <w:rFonts w:ascii="仿宋_GB2312" w:hAnsi="仿宋" w:eastAsia="仿宋_GB2312" w:cs="仿宋"/>
          <w:color w:val="000000" w:themeColor="text1"/>
          <w:sz w:val="32"/>
          <w:szCs w:val="32"/>
          <w14:textFill>
            <w14:solidFill>
              <w14:schemeClr w14:val="tx1"/>
            </w14:solidFill>
          </w14:textFill>
        </w:rPr>
        <w:t>中的健康人群，每年至少开展一次随访，主要做好健康教育</w:t>
      </w:r>
      <w:r>
        <w:rPr>
          <w:rFonts w:hint="eastAsia" w:ascii="仿宋_GB2312" w:hAnsi="仿宋" w:eastAsia="仿宋_GB2312" w:cs="仿宋"/>
          <w:color w:val="000000" w:themeColor="text1"/>
          <w:sz w:val="32"/>
          <w:szCs w:val="32"/>
          <w14:textFill>
            <w14:solidFill>
              <w14:schemeClr w14:val="tx1"/>
            </w14:solidFill>
          </w14:textFill>
        </w:rPr>
        <w:t>，并</w:t>
      </w:r>
      <w:r>
        <w:rPr>
          <w:rFonts w:hint="eastAsia" w:ascii="仿宋_GB2312" w:hAnsi="方正小标宋简体" w:eastAsia="仿宋_GB2312" w:cs="方正小标宋简体"/>
          <w:color w:val="000000" w:themeColor="text1"/>
          <w:sz w:val="32"/>
          <w:szCs w:val="32"/>
          <w14:textFill>
            <w14:solidFill>
              <w14:schemeClr w14:val="tx1"/>
            </w14:solidFill>
          </w14:textFill>
        </w:rPr>
        <w:t>通过入户、电话、微信等形式建立健康咨询等长效互动机制。</w:t>
      </w:r>
    </w:p>
    <w:p>
      <w:pPr>
        <w:keepNext w:val="0"/>
        <w:keepLines w:val="0"/>
        <w:pageBreakBefore w:val="0"/>
        <w:kinsoku/>
        <w:wordWrap/>
        <w:bidi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hAnsi="方正小标宋简体" w:eastAsia="仿宋_GB2312" w:cs="方正小标宋简体"/>
          <w:color w:val="000000" w:themeColor="text1"/>
          <w:sz w:val="32"/>
          <w:szCs w:val="32"/>
          <w14:textFill>
            <w14:solidFill>
              <w14:schemeClr w14:val="tx1"/>
            </w14:solidFill>
          </w14:textFill>
        </w:rPr>
        <w:t>3</w:t>
      </w:r>
      <w:r>
        <w:rPr>
          <w:rFonts w:hint="eastAsia" w:ascii="仿宋_GB2312" w:hAnsi="仿宋" w:eastAsia="仿宋_GB2312" w:cs="仿宋"/>
          <w:color w:val="000000" w:themeColor="text1"/>
          <w:sz w:val="32"/>
          <w:szCs w:val="32"/>
          <w14:textFill>
            <w14:solidFill>
              <w14:schemeClr w14:val="tx1"/>
            </w14:solidFill>
          </w14:textFill>
        </w:rPr>
        <w:t>、</w:t>
      </w:r>
      <w:r>
        <w:rPr>
          <w:rFonts w:ascii="仿宋_GB2312" w:hAnsi="仿宋" w:eastAsia="仿宋_GB2312" w:cs="仿宋"/>
          <w:color w:val="000000" w:themeColor="text1"/>
          <w:sz w:val="32"/>
          <w:szCs w:val="32"/>
          <w14:textFill>
            <w14:solidFill>
              <w14:schemeClr w14:val="tx1"/>
            </w14:solidFill>
          </w14:textFill>
        </w:rPr>
        <w:t>对于患有</w:t>
      </w:r>
      <w:r>
        <w:rPr>
          <w:rFonts w:hint="eastAsia" w:ascii="仿宋_GB2312" w:hAnsi="仿宋" w:eastAsia="仿宋_GB2312" w:cs="仿宋"/>
          <w:color w:val="000000" w:themeColor="text1"/>
          <w:sz w:val="32"/>
          <w:szCs w:val="32"/>
          <w14:textFill>
            <w14:solidFill>
              <w14:schemeClr w14:val="tx1"/>
            </w14:solidFill>
          </w14:textFill>
        </w:rPr>
        <w:t>“</w:t>
      </w:r>
      <w:r>
        <w:rPr>
          <w:rFonts w:ascii="仿宋_GB2312" w:hAnsi="仿宋" w:eastAsia="仿宋_GB2312" w:cs="仿宋"/>
          <w:color w:val="000000" w:themeColor="text1"/>
          <w:sz w:val="32"/>
          <w:szCs w:val="32"/>
          <w14:textFill>
            <w14:solidFill>
              <w14:schemeClr w14:val="tx1"/>
            </w14:solidFill>
          </w14:textFill>
        </w:rPr>
        <w:t>原发性高血压、Ⅱ型糖尿病、肺结核、严重精神障碍</w:t>
      </w:r>
      <w:r>
        <w:rPr>
          <w:rFonts w:hint="eastAsia" w:ascii="仿宋_GB2312" w:hAnsi="仿宋" w:eastAsia="仿宋_GB2312" w:cs="仿宋"/>
          <w:color w:val="000000" w:themeColor="text1"/>
          <w:sz w:val="32"/>
          <w:szCs w:val="32"/>
          <w14:textFill>
            <w14:solidFill>
              <w14:schemeClr w14:val="tx1"/>
            </w14:solidFill>
          </w14:textFill>
        </w:rPr>
        <w:t>”</w:t>
      </w:r>
      <w:r>
        <w:rPr>
          <w:rFonts w:ascii="仿宋_GB2312" w:hAnsi="仿宋" w:eastAsia="仿宋_GB2312" w:cs="仿宋"/>
          <w:color w:val="000000" w:themeColor="text1"/>
          <w:sz w:val="32"/>
          <w:szCs w:val="32"/>
          <w14:textFill>
            <w14:solidFill>
              <w14:schemeClr w14:val="tx1"/>
            </w14:solidFill>
          </w14:textFill>
        </w:rPr>
        <w:t>四类疾病的人口进行重点管理，每季度</w:t>
      </w:r>
      <w:r>
        <w:rPr>
          <w:rFonts w:hint="eastAsia" w:ascii="仿宋_GB2312" w:hAnsi="仿宋" w:eastAsia="仿宋_GB2312" w:cs="仿宋"/>
          <w:color w:val="000000" w:themeColor="text1"/>
          <w:sz w:val="32"/>
          <w:szCs w:val="32"/>
          <w14:textFill>
            <w14:solidFill>
              <w14:schemeClr w14:val="tx1"/>
            </w14:solidFill>
          </w14:textFill>
        </w:rPr>
        <w:t>开展一次</w:t>
      </w:r>
      <w:r>
        <w:rPr>
          <w:rFonts w:ascii="仿宋_GB2312" w:hAnsi="仿宋" w:eastAsia="仿宋_GB2312" w:cs="仿宋"/>
          <w:color w:val="000000" w:themeColor="text1"/>
          <w:sz w:val="32"/>
          <w:szCs w:val="32"/>
          <w14:textFill>
            <w14:solidFill>
              <w14:schemeClr w14:val="tx1"/>
            </w14:solidFill>
          </w14:textFill>
        </w:rPr>
        <w:t>随访</w:t>
      </w:r>
      <w:r>
        <w:rPr>
          <w:rFonts w:hint="eastAsia" w:ascii="仿宋_GB2312" w:hAnsi="仿宋" w:eastAsia="仿宋_GB2312" w:cs="仿宋"/>
          <w:color w:val="000000" w:themeColor="text1"/>
          <w:sz w:val="32"/>
          <w:szCs w:val="32"/>
          <w14:textFill>
            <w14:solidFill>
              <w14:schemeClr w14:val="tx1"/>
            </w14:solidFill>
          </w14:textFill>
        </w:rPr>
        <w:t>（一年不少于4次）</w:t>
      </w:r>
      <w:r>
        <w:rPr>
          <w:rFonts w:ascii="仿宋_GB2312" w:hAnsi="仿宋" w:eastAsia="仿宋_GB2312" w:cs="仿宋"/>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提供公共卫生、慢病管理、健康咨询和中医干预等综合服务</w:t>
      </w:r>
      <w:r>
        <w:rPr>
          <w:rFonts w:hint="eastAsia"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kinsoku/>
        <w:wordWrap/>
        <w:bidi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4、</w:t>
      </w:r>
      <w:r>
        <w:rPr>
          <w:rFonts w:ascii="仿宋_GB2312" w:hAnsi="仿宋" w:eastAsia="仿宋_GB2312" w:cs="仿宋"/>
          <w:color w:val="000000" w:themeColor="text1"/>
          <w:sz w:val="32"/>
          <w:szCs w:val="32"/>
          <w14:textFill>
            <w14:solidFill>
              <w14:schemeClr w14:val="tx1"/>
            </w14:solidFill>
          </w14:textFill>
        </w:rPr>
        <w:t>对患有其他慢性病的</w:t>
      </w:r>
      <w:r>
        <w:rPr>
          <w:rFonts w:hint="eastAsia" w:ascii="仿宋_GB2312" w:hAnsi="仿宋" w:eastAsia="仿宋_GB2312" w:cs="仿宋"/>
          <w:color w:val="000000" w:themeColor="text1"/>
          <w:sz w:val="32"/>
          <w:szCs w:val="32"/>
          <w14:textFill>
            <w14:solidFill>
              <w14:schemeClr w14:val="tx1"/>
            </w14:solidFill>
          </w14:textFill>
        </w:rPr>
        <w:t>人员</w:t>
      </w:r>
      <w:r>
        <w:rPr>
          <w:rFonts w:ascii="仿宋_GB2312" w:hAnsi="仿宋" w:eastAsia="仿宋_GB2312" w:cs="仿宋"/>
          <w:color w:val="000000" w:themeColor="text1"/>
          <w:sz w:val="32"/>
          <w:szCs w:val="32"/>
          <w14:textFill>
            <w14:solidFill>
              <w14:schemeClr w14:val="tx1"/>
            </w14:solidFill>
          </w14:textFill>
        </w:rPr>
        <w:t>每年至少做一次面对面随访，提供相应的健康管理服务。</w:t>
      </w:r>
      <w:r>
        <w:rPr>
          <w:rFonts w:ascii="Times New Roman" w:hAnsi="Times New Roman" w:eastAsia="仿宋_GB2312" w:cs="Times New Roman"/>
          <w:color w:val="000000" w:themeColor="text1"/>
          <w:sz w:val="32"/>
          <w:szCs w:val="32"/>
          <w14:textFill>
            <w14:solidFill>
              <w14:schemeClr w14:val="tx1"/>
            </w14:solidFill>
          </w14:textFill>
        </w:rPr>
        <w:t>真正做到签约一人、履约一人、做实一人、满意一家。</w:t>
      </w:r>
    </w:p>
    <w:p>
      <w:pPr>
        <w:keepNext w:val="0"/>
        <w:keepLines w:val="0"/>
        <w:pageBreakBefore w:val="0"/>
        <w:kinsoku/>
        <w:wordWrap/>
        <w:bidi w:val="0"/>
        <w:spacing w:line="560" w:lineRule="exact"/>
        <w:ind w:firstLine="640" w:firstLineChars="200"/>
        <w:rPr>
          <w:rFonts w:ascii="仿宋_GB2312" w:hAnsi="方正小标宋简体" w:eastAsia="仿宋_GB2312" w:cs="方正小标宋简体"/>
          <w:color w:val="000000" w:themeColor="text1"/>
          <w:sz w:val="32"/>
          <w:szCs w:val="32"/>
          <w14:textFill>
            <w14:solidFill>
              <w14:schemeClr w14:val="tx1"/>
            </w14:solidFill>
          </w14:textFill>
        </w:rPr>
      </w:pPr>
      <w:r>
        <w:rPr>
          <w:rFonts w:ascii="仿宋_GB2312" w:hAnsi="仿宋" w:eastAsia="仿宋_GB2312" w:cs="仿宋"/>
          <w:color w:val="000000" w:themeColor="text1"/>
          <w:sz w:val="32"/>
          <w:szCs w:val="32"/>
          <w14:textFill>
            <w14:solidFill>
              <w14:schemeClr w14:val="tx1"/>
            </w14:solidFill>
          </w14:textFill>
        </w:rPr>
        <w:t>家庭医生被称为“居民健康的守门人”。</w:t>
      </w:r>
      <w:r>
        <w:rPr>
          <w:rFonts w:hint="eastAsia" w:ascii="仿宋_GB2312" w:hAnsi="仿宋" w:eastAsia="仿宋_GB2312" w:cs="仿宋"/>
          <w:color w:val="000000" w:themeColor="text1"/>
          <w:sz w:val="32"/>
          <w:szCs w:val="32"/>
          <w14:textFill>
            <w14:solidFill>
              <w14:schemeClr w14:val="tx1"/>
            </w14:solidFill>
          </w14:textFill>
        </w:rPr>
        <w:t>家</w:t>
      </w:r>
      <w:r>
        <w:rPr>
          <w:rFonts w:hint="eastAsia" w:ascii="仿宋_GB2312" w:hAnsi="方正小标宋简体" w:eastAsia="仿宋_GB2312" w:cs="方正小标宋简体"/>
          <w:color w:val="000000" w:themeColor="text1"/>
          <w:sz w:val="32"/>
          <w:szCs w:val="32"/>
          <w14:textFill>
            <w14:solidFill>
              <w14:schemeClr w14:val="tx1"/>
            </w14:solidFill>
          </w14:textFill>
        </w:rPr>
        <w:t>庭医生签约服务工作是每次上级检查的重点内容，尤其对“高血压二期、</w:t>
      </w:r>
      <w:r>
        <w:rPr>
          <w:rFonts w:ascii="仿宋_GB2312" w:hAnsi="方正小标宋简体" w:eastAsia="仿宋_GB2312" w:cs="方正小标宋简体"/>
          <w:color w:val="000000" w:themeColor="text1"/>
          <w:sz w:val="32"/>
          <w:szCs w:val="32"/>
          <w14:textFill>
            <w14:solidFill>
              <w14:schemeClr w14:val="tx1"/>
            </w14:solidFill>
          </w14:textFill>
        </w:rPr>
        <w:t>Ⅱ型</w:t>
      </w:r>
      <w:r>
        <w:rPr>
          <w:rFonts w:hint="eastAsia" w:ascii="仿宋_GB2312" w:hAnsi="方正小标宋简体" w:eastAsia="仿宋_GB2312" w:cs="方正小标宋简体"/>
          <w:color w:val="000000" w:themeColor="text1"/>
          <w:sz w:val="32"/>
          <w:szCs w:val="32"/>
          <w14:textFill>
            <w14:solidFill>
              <w14:schemeClr w14:val="tx1"/>
            </w14:solidFill>
          </w14:textFill>
        </w:rPr>
        <w:t>糖尿病、结核病、严重精神障碍”等四种主要慢病患者的规范管理率有硬性要求。每户的健康档案中都要有签约服务协议，每年一次的健康体检都要填写完整的体检表，并</w:t>
      </w:r>
      <w:r>
        <w:rPr>
          <w:rFonts w:hint="eastAsia" w:ascii="仿宋_GB2312" w:hAnsi="仿宋_GB2312" w:eastAsia="仿宋_GB2312" w:cs="仿宋_GB2312"/>
          <w:color w:val="000000" w:themeColor="text1"/>
          <w:kern w:val="0"/>
          <w:sz w:val="32"/>
          <w:szCs w:val="32"/>
          <w14:textFill>
            <w14:solidFill>
              <w14:schemeClr w14:val="tx1"/>
            </w14:solidFill>
          </w14:textFill>
        </w:rPr>
        <w:t>围绕慢病管理、康复护理、专项护理、安宁疗护等群众实际需求开展服务。</w:t>
      </w:r>
      <w:r>
        <w:rPr>
          <w:rFonts w:hint="eastAsia" w:ascii="仿宋_GB2312" w:hAnsi="方正小标宋简体" w:eastAsia="仿宋_GB2312" w:cs="方正小标宋简体"/>
          <w:color w:val="000000" w:themeColor="text1"/>
          <w:sz w:val="32"/>
          <w:szCs w:val="32"/>
          <w:lang w:val="zh-CN"/>
          <w14:textFill>
            <w14:solidFill>
              <w14:schemeClr w14:val="tx1"/>
            </w14:solidFill>
          </w14:textFill>
        </w:rPr>
        <w:t>对诊断明确、病情稳定的慢性病患者，提供</w:t>
      </w:r>
      <w:r>
        <w:rPr>
          <w:rFonts w:hint="eastAsia" w:ascii="仿宋_GB2312" w:hAnsi="仿宋_GB2312" w:eastAsia="仿宋_GB2312" w:cs="仿宋_GB2312"/>
          <w:color w:val="000000" w:themeColor="text1"/>
          <w:kern w:val="0"/>
          <w:sz w:val="32"/>
          <w:szCs w:val="32"/>
          <w14:textFill>
            <w14:solidFill>
              <w14:schemeClr w14:val="tx1"/>
            </w14:solidFill>
          </w14:textFill>
        </w:rPr>
        <w:t>4-12周</w:t>
      </w:r>
      <w:r>
        <w:rPr>
          <w:rFonts w:hint="eastAsia" w:ascii="仿宋_GB2312" w:hAnsi="方正小标宋简体" w:eastAsia="仿宋_GB2312" w:cs="方正小标宋简体"/>
          <w:color w:val="000000" w:themeColor="text1"/>
          <w:sz w:val="32"/>
          <w:szCs w:val="32"/>
          <w:lang w:val="zh-CN"/>
          <w14:textFill>
            <w14:solidFill>
              <w14:schemeClr w14:val="tx1"/>
            </w14:solidFill>
          </w14:textFill>
        </w:rPr>
        <w:t>长处方服务。</w:t>
      </w:r>
      <w:r>
        <w:rPr>
          <w:rFonts w:hint="eastAsia" w:ascii="仿宋_GB2312" w:hAnsi="仿宋_GB2312" w:eastAsia="仿宋_GB2312" w:cs="仿宋_GB2312"/>
          <w:color w:val="000000" w:themeColor="text1"/>
          <w:kern w:val="0"/>
          <w:sz w:val="32"/>
          <w:szCs w:val="32"/>
          <w14:textFill>
            <w14:solidFill>
              <w14:schemeClr w14:val="tx1"/>
            </w14:solidFill>
          </w14:textFill>
        </w:rPr>
        <w:t>在确保信息真实和用药安全的前提下，对高龄、卧床等行动不便的慢性病签约患者，经患者本人授权后可由家属代为开药。切实提高签约服务质量和群众满意度。</w:t>
      </w:r>
    </w:p>
    <w:p>
      <w:pPr>
        <w:keepNext w:val="0"/>
        <w:keepLines w:val="0"/>
        <w:pageBreakBefore w:val="0"/>
        <w:kinsoku/>
        <w:wordWrap/>
        <w:bidi w:val="0"/>
        <w:spacing w:line="560" w:lineRule="exact"/>
        <w:ind w:firstLine="643" w:firstLineChars="200"/>
        <w:rPr>
          <w:rFonts w:ascii="仿宋_GB2312" w:hAnsi="楷体_GB2312" w:eastAsia="仿宋_GB2312" w:cs="楷体_GB2312"/>
          <w:b/>
          <w:bCs/>
          <w:color w:val="000000" w:themeColor="text1"/>
          <w:sz w:val="32"/>
          <w:szCs w:val="32"/>
          <w14:textFill>
            <w14:solidFill>
              <w14:schemeClr w14:val="tx1"/>
            </w14:solidFill>
          </w14:textFill>
        </w:rPr>
      </w:pPr>
      <w:r>
        <w:rPr>
          <w:rFonts w:hint="eastAsia" w:ascii="仿宋_GB2312" w:hAnsi="楷体_GB2312" w:eastAsia="仿宋_GB2312" w:cs="楷体_GB2312"/>
          <w:b/>
          <w:bCs/>
          <w:color w:val="000000" w:themeColor="text1"/>
          <w:sz w:val="32"/>
          <w:szCs w:val="32"/>
          <w:lang w:val="zh-CN"/>
          <w14:textFill>
            <w14:solidFill>
              <w14:schemeClr w14:val="tx1"/>
            </w14:solidFill>
          </w14:textFill>
        </w:rPr>
        <w:t>（</w:t>
      </w:r>
      <w:r>
        <w:rPr>
          <w:rFonts w:hint="eastAsia" w:ascii="仿宋_GB2312" w:hAnsi="楷体_GB2312" w:eastAsia="仿宋_GB2312" w:cs="楷体_GB2312"/>
          <w:b/>
          <w:bCs/>
          <w:color w:val="000000" w:themeColor="text1"/>
          <w:sz w:val="32"/>
          <w:szCs w:val="32"/>
          <w14:textFill>
            <w14:solidFill>
              <w14:schemeClr w14:val="tx1"/>
            </w14:solidFill>
          </w14:textFill>
        </w:rPr>
        <w:t>三</w:t>
      </w:r>
      <w:r>
        <w:rPr>
          <w:rFonts w:hint="eastAsia" w:ascii="仿宋_GB2312" w:hAnsi="楷体_GB2312" w:eastAsia="仿宋_GB2312" w:cs="楷体_GB2312"/>
          <w:b/>
          <w:bCs/>
          <w:color w:val="000000" w:themeColor="text1"/>
          <w:sz w:val="32"/>
          <w:szCs w:val="32"/>
          <w:lang w:val="zh-CN"/>
          <w14:textFill>
            <w14:solidFill>
              <w14:schemeClr w14:val="tx1"/>
            </w14:solidFill>
          </w14:textFill>
        </w:rPr>
        <w:t>）大病集中救治</w:t>
      </w:r>
    </w:p>
    <w:p>
      <w:pPr>
        <w:pStyle w:val="7"/>
        <w:keepNext w:val="0"/>
        <w:keepLines w:val="0"/>
        <w:pageBreakBefore w:val="0"/>
        <w:widowControl/>
        <w:shd w:val="clear" w:color="auto" w:fill="FFFFFF"/>
        <w:kinsoku/>
        <w:wordWrap/>
        <w:bidi w:val="0"/>
        <w:spacing w:beforeAutospacing="0" w:afterAutospacing="0"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仿宋_GB2312" w:hAnsi="方正小标宋简体" w:eastAsia="仿宋_GB2312" w:cs="方正小标宋简体"/>
          <w:color w:val="000000" w:themeColor="text1"/>
          <w:sz w:val="32"/>
          <w:szCs w:val="32"/>
          <w14:textFill>
            <w14:solidFill>
              <w14:schemeClr w14:val="tx1"/>
            </w14:solidFill>
          </w14:textFill>
        </w:rPr>
        <w:t>已纳入大病专项救治范围的30个病种，</w:t>
      </w:r>
      <w:r>
        <w:rPr>
          <w:rFonts w:ascii="仿宋_GB2312" w:hAnsi="方正小标宋简体" w:eastAsia="仿宋_GB2312" w:cs="方正小标宋简体"/>
          <w:color w:val="000000" w:themeColor="text1"/>
          <w:sz w:val="32"/>
          <w:szCs w:val="32"/>
          <w14:textFill>
            <w14:solidFill>
              <w14:schemeClr w14:val="tx1"/>
            </w14:solidFill>
          </w14:textFill>
        </w:rPr>
        <w:t>定点医院</w:t>
      </w:r>
      <w:r>
        <w:rPr>
          <w:rFonts w:hint="eastAsia" w:ascii="仿宋_GB2312" w:hAnsi="方正小标宋简体" w:eastAsia="仿宋_GB2312" w:cs="方正小标宋简体"/>
          <w:color w:val="000000" w:themeColor="text1"/>
          <w:sz w:val="32"/>
          <w:szCs w:val="32"/>
          <w14:textFill>
            <w14:solidFill>
              <w14:schemeClr w14:val="tx1"/>
            </w14:solidFill>
          </w14:textFill>
        </w:rPr>
        <w:t>（县人民医院）</w:t>
      </w:r>
      <w:r>
        <w:rPr>
          <w:rFonts w:ascii="仿宋_GB2312" w:hAnsi="方正小标宋简体" w:eastAsia="仿宋_GB2312" w:cs="方正小标宋简体"/>
          <w:color w:val="000000" w:themeColor="text1"/>
          <w:sz w:val="32"/>
          <w:szCs w:val="32"/>
          <w14:textFill>
            <w14:solidFill>
              <w14:schemeClr w14:val="tx1"/>
            </w14:solidFill>
          </w14:textFill>
        </w:rPr>
        <w:t>、临床路径、诊疗方案和救治专家组保持不变</w:t>
      </w:r>
      <w:r>
        <w:rPr>
          <w:rFonts w:hint="eastAsia" w:ascii="仿宋_GB2312" w:hAnsi="方正小标宋简体" w:eastAsia="仿宋_GB2312" w:cs="方正小标宋简体"/>
          <w:color w:val="000000" w:themeColor="text1"/>
          <w:sz w:val="32"/>
          <w:szCs w:val="32"/>
          <w14:textFill>
            <w14:solidFill>
              <w14:schemeClr w14:val="tx1"/>
            </w14:solidFill>
          </w14:textFill>
        </w:rPr>
        <w:t>。按照“定定点医院、定诊疗方案、加强医疗质量安全管理”和群众自愿原则，将救治对象由原来的脱贫户扩大到</w:t>
      </w:r>
      <w:r>
        <w:rPr>
          <w:rFonts w:hint="eastAsia" w:ascii="仿宋_GB2312" w:hAnsi="方正小标宋简体" w:eastAsia="仿宋_GB2312" w:cs="方正小标宋简体"/>
          <w:b/>
          <w:bCs/>
          <w:color w:val="000000" w:themeColor="text1"/>
          <w:sz w:val="32"/>
          <w:szCs w:val="32"/>
          <w14:textFill>
            <w14:solidFill>
              <w14:schemeClr w14:val="tx1"/>
            </w14:solidFill>
          </w14:textFill>
        </w:rPr>
        <w:t>县域内所有30种大病患者。</w:t>
      </w:r>
      <w:r>
        <w:rPr>
          <w:rFonts w:hint="eastAsia" w:ascii="仿宋_GB2312" w:hAnsi="方正小标宋简体" w:eastAsia="仿宋_GB2312" w:cs="方正小标宋简体"/>
          <w:color w:val="000000" w:themeColor="text1"/>
          <w:sz w:val="32"/>
          <w:szCs w:val="32"/>
          <w14:textFill>
            <w14:solidFill>
              <w14:schemeClr w14:val="tx1"/>
            </w14:solidFill>
          </w14:textFill>
        </w:rPr>
        <w:t>在保障医疗质量安全的前提下，按照“保基本、兜底线”的原则，优先选择基本医保目录内安全有效、经济适宜的诊疗技术和药品、耗材等</w:t>
      </w:r>
      <w:r>
        <w:rPr>
          <w:rFonts w:hint="eastAsia" w:ascii="Times New Roman" w:hAnsi="Times New Roman" w:eastAsia="仿宋_GB2312"/>
          <w:color w:val="000000" w:themeColor="text1"/>
          <w:sz w:val="32"/>
          <w:szCs w:val="32"/>
          <w14:textFill>
            <w14:solidFill>
              <w14:schemeClr w14:val="tx1"/>
            </w14:solidFill>
          </w14:textFill>
        </w:rPr>
        <w:t>，合理控制医疗费用，减轻大病患者经济负担。</w:t>
      </w:r>
    </w:p>
    <w:p>
      <w:pPr>
        <w:keepNext w:val="0"/>
        <w:keepLines w:val="0"/>
        <w:pageBreakBefore w:val="0"/>
        <w:kinsoku/>
        <w:wordWrap/>
        <w:bidi w:val="0"/>
        <w:spacing w:line="560" w:lineRule="exact"/>
        <w:ind w:firstLine="643" w:firstLineChars="200"/>
        <w:rPr>
          <w:rFonts w:ascii="仿宋_GB2312" w:hAnsi="方正小标宋简体" w:eastAsia="仿宋_GB2312" w:cs="方正小标宋简体"/>
          <w:color w:val="000000" w:themeColor="text1"/>
          <w:sz w:val="32"/>
          <w:szCs w:val="32"/>
          <w14:textFill>
            <w14:solidFill>
              <w14:schemeClr w14:val="tx1"/>
            </w14:solidFill>
          </w14:textFill>
        </w:rPr>
      </w:pPr>
      <w:r>
        <w:rPr>
          <w:rFonts w:hint="eastAsia" w:ascii="仿宋_GB2312" w:hAnsi="方正小标宋简体" w:eastAsia="仿宋_GB2312" w:cs="方正小标宋简体"/>
          <w:b/>
          <w:color w:val="000000" w:themeColor="text1"/>
          <w:sz w:val="32"/>
          <w:szCs w:val="32"/>
          <w14:textFill>
            <w14:solidFill>
              <w14:schemeClr w14:val="tx1"/>
            </w14:solidFill>
          </w14:textFill>
        </w:rPr>
        <w:t>30种大病</w:t>
      </w:r>
      <w:r>
        <w:rPr>
          <w:rFonts w:hint="eastAsia" w:ascii="仿宋_GB2312" w:hAnsi="方正小标宋简体" w:eastAsia="仿宋_GB2312" w:cs="方正小标宋简体"/>
          <w:color w:val="000000" w:themeColor="text1"/>
          <w:sz w:val="32"/>
          <w:szCs w:val="32"/>
          <w:lang w:val="zh-CN"/>
          <w14:textFill>
            <w14:solidFill>
              <w14:schemeClr w14:val="tx1"/>
            </w14:solidFill>
          </w14:textFill>
        </w:rPr>
        <w:t>分别是：儿童先天性心脏病、儿童白血病、胃癌、食管癌、结肠癌、直肠癌、终末期肾病、肺癌、肝癌、乳腺癌、宫颈癌、急性心肌梗死、白内障、尘肺病、神经母细胞瘤、儿童淋巴瘤、骨肉瘤、血友病、地中海贫血、唇腭裂、尿道下裂、耐多药结核病、脑卒中、慢性阻塞性肺气肿、艾滋病机会性感染、膀胱癌、卵巢癌、肾癌、重性精神疾病、风湿性心脏病。</w:t>
      </w:r>
    </w:p>
    <w:p>
      <w:pPr>
        <w:keepNext w:val="0"/>
        <w:keepLines w:val="0"/>
        <w:pageBreakBefore w:val="0"/>
        <w:kinsoku/>
        <w:wordWrap/>
        <w:bidi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方正小标宋简体" w:eastAsia="仿宋_GB2312" w:cs="方正小标宋简体"/>
          <w:color w:val="000000" w:themeColor="text1"/>
          <w:sz w:val="32"/>
          <w:szCs w:val="32"/>
          <w14:textFill>
            <w14:solidFill>
              <w14:schemeClr w14:val="tx1"/>
            </w14:solidFill>
          </w14:textFill>
        </w:rPr>
        <w:t>大病专项救治</w:t>
      </w:r>
      <w:r>
        <w:rPr>
          <w:rFonts w:hint="eastAsia" w:ascii="仿宋_GB2312" w:hAnsi="方正小标宋简体" w:eastAsia="仿宋_GB2312" w:cs="方正小标宋简体"/>
          <w:color w:val="000000" w:themeColor="text1"/>
          <w:sz w:val="32"/>
          <w:szCs w:val="32"/>
          <w:lang w:val="zh-CN"/>
          <w14:textFill>
            <w14:solidFill>
              <w14:schemeClr w14:val="tx1"/>
            </w14:solidFill>
          </w14:textFill>
        </w:rPr>
        <w:t>是巩固拓展健康帮扶成果与乡村振兴战略有效衔接的重要举措，也是提升县域居民健康水平的重要具体措施。</w:t>
      </w:r>
      <w:r>
        <w:rPr>
          <w:rFonts w:hint="eastAsia" w:ascii="仿宋_GB2312" w:hAnsi="仿宋" w:eastAsia="仿宋_GB2312" w:cs="仿宋"/>
          <w:color w:val="000000" w:themeColor="text1"/>
          <w:sz w:val="32"/>
          <w:szCs w:val="32"/>
          <w14:textFill>
            <w14:solidFill>
              <w14:schemeClr w14:val="tx1"/>
            </w14:solidFill>
          </w14:textFill>
        </w:rPr>
        <w:t>对患有大病但本人不愿接受住院治疗的,由签约家庭医生团队提供上门随访服务和用药指导。</w:t>
      </w:r>
    </w:p>
    <w:p>
      <w:pPr>
        <w:keepNext w:val="0"/>
        <w:keepLines w:val="0"/>
        <w:pageBreakBefore w:val="0"/>
        <w:kinsoku/>
        <w:wordWrap/>
        <w:bidi w:val="0"/>
        <w:spacing w:line="560" w:lineRule="exact"/>
        <w:ind w:firstLine="643" w:firstLineChars="200"/>
        <w:rPr>
          <w:rFonts w:ascii="仿宋_GB2312" w:hAnsi="楷体_GB2312" w:eastAsia="仿宋_GB2312" w:cs="楷体_GB2312"/>
          <w:b/>
          <w:bCs/>
          <w:color w:val="000000" w:themeColor="text1"/>
          <w:sz w:val="32"/>
          <w:szCs w:val="32"/>
          <w:lang w:val="zh-CN"/>
          <w14:textFill>
            <w14:solidFill>
              <w14:schemeClr w14:val="tx1"/>
            </w14:solidFill>
          </w14:textFill>
        </w:rPr>
      </w:pPr>
      <w:r>
        <w:rPr>
          <w:rFonts w:hint="eastAsia" w:ascii="仿宋_GB2312" w:hAnsi="楷体_GB2312" w:eastAsia="仿宋_GB2312" w:cs="楷体_GB2312"/>
          <w:b/>
          <w:bCs/>
          <w:color w:val="000000" w:themeColor="text1"/>
          <w:sz w:val="32"/>
          <w:szCs w:val="32"/>
          <w:lang w:val="zh-CN"/>
          <w14:textFill>
            <w14:solidFill>
              <w14:schemeClr w14:val="tx1"/>
            </w14:solidFill>
          </w14:textFill>
        </w:rPr>
        <w:t>（</w:t>
      </w:r>
      <w:r>
        <w:rPr>
          <w:rFonts w:hint="eastAsia" w:ascii="仿宋_GB2312" w:hAnsi="楷体_GB2312" w:eastAsia="仿宋_GB2312" w:cs="楷体_GB2312"/>
          <w:b/>
          <w:bCs/>
          <w:color w:val="000000" w:themeColor="text1"/>
          <w:sz w:val="32"/>
          <w:szCs w:val="32"/>
          <w14:textFill>
            <w14:solidFill>
              <w14:schemeClr w14:val="tx1"/>
            </w14:solidFill>
          </w14:textFill>
        </w:rPr>
        <w:t>四</w:t>
      </w:r>
      <w:r>
        <w:rPr>
          <w:rFonts w:hint="eastAsia" w:ascii="仿宋_GB2312" w:hAnsi="楷体_GB2312" w:eastAsia="仿宋_GB2312" w:cs="楷体_GB2312"/>
          <w:b/>
          <w:bCs/>
          <w:color w:val="000000" w:themeColor="text1"/>
          <w:sz w:val="32"/>
          <w:szCs w:val="32"/>
          <w:lang w:val="zh-CN"/>
          <w14:textFill>
            <w14:solidFill>
              <w14:schemeClr w14:val="tx1"/>
            </w14:solidFill>
          </w14:textFill>
        </w:rPr>
        <w:t>）门诊慢性病鉴定</w:t>
      </w:r>
    </w:p>
    <w:p>
      <w:pPr>
        <w:keepNext w:val="0"/>
        <w:keepLines w:val="0"/>
        <w:pageBreakBefore w:val="0"/>
        <w:kinsoku/>
        <w:wordWrap/>
        <w:bidi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积极配合医保部门做好慢性病鉴定工作，做到门诊慢性病鉴定随时申请，随时受理，随时鉴定。确保应鉴尽鉴，应纳尽纳。</w:t>
      </w:r>
    </w:p>
    <w:p>
      <w:pPr>
        <w:keepNext w:val="0"/>
        <w:keepLines w:val="0"/>
        <w:pageBreakBefore w:val="0"/>
        <w:kinsoku/>
        <w:wordWrap/>
        <w:bidi w:val="0"/>
        <w:spacing w:line="560" w:lineRule="exact"/>
        <w:ind w:firstLine="640" w:firstLineChars="200"/>
        <w:rPr>
          <w:rFonts w:hint="eastAsia" w:ascii="仿宋_GB2312" w:hAnsi="仿宋" w:eastAsia="仿宋_GB2312" w:cs="仿宋"/>
          <w:bCs/>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加强19种慢性病病种、鉴定标准、鉴定程序的宣传力度，不断提高政策知晓率。及时关注困难人员的健康状况，对于新发生的门诊慢性病，协助困难人员搜集整理申报材料，及时就近到定点医疗机构提出慢性病鉴定申请。门诊慢性病专家小组依据鉴定标准对所提供的慢病材料进行初步审核和复审，并作出最终鉴定意见，鉴定结果要真实准确，与病人实际病情相符。</w:t>
      </w:r>
      <w:r>
        <w:rPr>
          <w:rFonts w:hint="eastAsia" w:ascii="仿宋_GB2312" w:hAnsi="仿宋" w:eastAsia="仿宋_GB2312" w:cs="仿宋"/>
          <w:bCs/>
          <w:color w:val="000000" w:themeColor="text1"/>
          <w:sz w:val="32"/>
          <w:szCs w:val="32"/>
          <w14:textFill>
            <w14:solidFill>
              <w14:schemeClr w14:val="tx1"/>
            </w14:solidFill>
          </w14:textFill>
        </w:rPr>
        <w:t>对符合鉴定标准者上报医保部门纳入门诊慢性病管理，发放门诊慢性病卡。符合几种纳入几种，发放几种慢性病卡</w:t>
      </w:r>
      <w:r>
        <w:rPr>
          <w:rFonts w:hint="eastAsia" w:ascii="仿宋_GB2312" w:hAnsi="仿宋" w:eastAsia="仿宋_GB2312" w:cs="仿宋"/>
          <w:color w:val="000000" w:themeColor="text1"/>
          <w:sz w:val="32"/>
          <w:szCs w:val="32"/>
          <w14:textFill>
            <w14:solidFill>
              <w14:schemeClr w14:val="tx1"/>
            </w14:solidFill>
          </w14:textFill>
        </w:rPr>
        <w:t>，家庭签约医生要督促其及时用药。</w:t>
      </w:r>
      <w:r>
        <w:rPr>
          <w:rFonts w:hint="eastAsia" w:ascii="仿宋_GB2312" w:hAnsi="仿宋" w:eastAsia="仿宋_GB2312" w:cs="仿宋"/>
          <w:bCs/>
          <w:color w:val="000000" w:themeColor="text1"/>
          <w:sz w:val="32"/>
          <w:szCs w:val="32"/>
          <w14:textFill>
            <w14:solidFill>
              <w14:schemeClr w14:val="tx1"/>
            </w14:solidFill>
          </w14:textFill>
        </w:rPr>
        <w:t>对不符合鉴定标准者，由鉴定机构向其发放告知书，明确标注不符合的原因及病种，并保存于村档、户档及村卫生室个人健康档案中。</w:t>
      </w:r>
    </w:p>
    <w:p>
      <w:pPr>
        <w:keepNext w:val="0"/>
        <w:keepLines w:val="0"/>
        <w:pageBreakBefore w:val="0"/>
        <w:kinsoku/>
        <w:wordWrap/>
        <w:bidi w:val="0"/>
        <w:spacing w:line="560" w:lineRule="exact"/>
        <w:ind w:firstLine="640" w:firstLineChars="200"/>
        <w:rPr>
          <w:rFonts w:ascii="仿宋_GB2312" w:eastAsia="仿宋_GB2312"/>
          <w:sz w:val="32"/>
          <w:szCs w:val="32"/>
        </w:rPr>
      </w:pPr>
      <w:r>
        <w:rPr>
          <w:rFonts w:ascii="黑体" w:hAnsi="黑体" w:eastAsia="黑体"/>
          <w:sz w:val="32"/>
          <w:szCs w:val="32"/>
        </w:rPr>
        <w:t>19</w:t>
      </w:r>
      <w:r>
        <w:rPr>
          <w:rFonts w:hint="eastAsia" w:ascii="黑体" w:hAnsi="黑体" w:eastAsia="黑体"/>
          <w:sz w:val="32"/>
          <w:szCs w:val="32"/>
        </w:rPr>
        <w:t>种慢性病包括：</w:t>
      </w:r>
      <w:r>
        <w:rPr>
          <w:rFonts w:hint="eastAsia" w:ascii="仿宋_GB2312" w:eastAsia="仿宋_GB2312"/>
          <w:sz w:val="32"/>
          <w:szCs w:val="32"/>
        </w:rPr>
        <w:t>（1）</w:t>
      </w:r>
      <w:r>
        <w:rPr>
          <w:rFonts w:hint="eastAsia" w:ascii="仿宋_GB2312" w:hAnsi="Arial" w:eastAsia="仿宋_GB2312" w:cs="Arial"/>
          <w:color w:val="000000" w:themeColor="text1"/>
          <w:kern w:val="0"/>
          <w:sz w:val="32"/>
          <w:szCs w:val="32"/>
          <w14:textFill>
            <w14:solidFill>
              <w14:schemeClr w14:val="tx1"/>
            </w14:solidFill>
          </w14:textFill>
        </w:rPr>
        <w:t>二期及以上高血压病。</w:t>
      </w:r>
      <w:r>
        <w:rPr>
          <w:rFonts w:hint="eastAsia" w:ascii="仿宋_GB2312" w:eastAsia="仿宋_GB2312"/>
          <w:sz w:val="32"/>
          <w:szCs w:val="32"/>
        </w:rPr>
        <w:t>（2）</w:t>
      </w:r>
      <w:r>
        <w:rPr>
          <w:rFonts w:hint="eastAsia" w:ascii="仿宋_GB2312" w:hAnsi="Arial" w:eastAsia="仿宋_GB2312" w:cs="Arial"/>
          <w:color w:val="000000" w:themeColor="text1"/>
          <w:kern w:val="0"/>
          <w:sz w:val="32"/>
          <w:szCs w:val="32"/>
          <w14:textFill>
            <w14:solidFill>
              <w14:schemeClr w14:val="tx1"/>
            </w14:solidFill>
          </w14:textFill>
        </w:rPr>
        <w:t>肺结核。（3）类风湿性关节炎。（4）冠心病（非隐匿型）。（5）恶性肿瘤。（6）系统性红斑狼疮。（7）2型糖尿病伴多并发症。（8）异体器官移植。（9）丙肝。（10）帕金森氏病或帕金森氏综合症（合并有脑血管病）。（11）肝硬化。（12）肾病综合症。（13）急性脑血管病后遗症。（14）肺心病。（15）强直性脊柱炎。（16）慢性阻塞性肺疾病。（17）癫痫。（18）精神病。（19）艾滋病抗机会性感染。</w:t>
      </w:r>
    </w:p>
    <w:p>
      <w:pPr>
        <w:keepNext w:val="0"/>
        <w:keepLines w:val="0"/>
        <w:pageBreakBefore w:val="0"/>
        <w:kinsoku/>
        <w:wordWrap/>
        <w:bidi w:val="0"/>
        <w:spacing w:line="560" w:lineRule="exact"/>
        <w:ind w:firstLine="640" w:firstLineChars="200"/>
        <w:rPr>
          <w:rFonts w:ascii="黑体" w:hAnsi="黑体" w:eastAsia="黑体" w:cs="方正小标宋简体"/>
          <w:bCs/>
          <w:color w:val="000000" w:themeColor="text1"/>
          <w:sz w:val="32"/>
          <w:szCs w:val="32"/>
          <w14:textFill>
            <w14:solidFill>
              <w14:schemeClr w14:val="tx1"/>
            </w14:solidFill>
          </w14:textFill>
        </w:rPr>
      </w:pPr>
      <w:r>
        <w:rPr>
          <w:rFonts w:hint="eastAsia" w:ascii="黑体" w:hAnsi="黑体" w:eastAsia="黑体" w:cs="方正小标宋简体"/>
          <w:bCs/>
          <w:color w:val="000000" w:themeColor="text1"/>
          <w:sz w:val="32"/>
          <w:szCs w:val="32"/>
          <w:lang w:val="zh-CN"/>
          <w14:textFill>
            <w14:solidFill>
              <w14:schemeClr w14:val="tx1"/>
            </w14:solidFill>
          </w14:textFill>
        </w:rPr>
        <w:t>二、提升群众健康水平</w:t>
      </w:r>
    </w:p>
    <w:p>
      <w:pPr>
        <w:keepNext w:val="0"/>
        <w:keepLines w:val="0"/>
        <w:pageBreakBefore w:val="0"/>
        <w:kinsoku/>
        <w:wordWrap/>
        <w:bidi w:val="0"/>
        <w:spacing w:line="560" w:lineRule="exact"/>
        <w:ind w:firstLine="640" w:firstLineChars="200"/>
        <w:rPr>
          <w:rFonts w:ascii="仿宋_GB2312" w:hAnsi="方正小标宋简体" w:eastAsia="仿宋_GB2312" w:cs="方正小标宋简体"/>
          <w:color w:val="000000" w:themeColor="text1"/>
          <w:sz w:val="32"/>
          <w:szCs w:val="32"/>
          <w:lang w:val="zh-CN"/>
          <w14:textFill>
            <w14:solidFill>
              <w14:schemeClr w14:val="tx1"/>
            </w14:solidFill>
          </w14:textFill>
        </w:rPr>
      </w:pPr>
      <w:r>
        <w:rPr>
          <w:rFonts w:hint="eastAsia" w:ascii="仿宋_GB2312" w:hAnsi="方正小标宋简体" w:eastAsia="仿宋_GB2312" w:cs="方正小标宋简体"/>
          <w:color w:val="000000" w:themeColor="text1"/>
          <w:sz w:val="32"/>
          <w:szCs w:val="32"/>
          <w:lang w:val="zh-CN"/>
          <w14:textFill>
            <w14:solidFill>
              <w14:schemeClr w14:val="tx1"/>
            </w14:solidFill>
          </w14:textFill>
        </w:rPr>
        <w:t>涉及</w:t>
      </w:r>
      <w:r>
        <w:rPr>
          <w:rFonts w:hint="eastAsia" w:ascii="仿宋_GB2312" w:hAnsi="方正小标宋简体" w:eastAsia="仿宋_GB2312" w:cs="方正小标宋简体"/>
          <w:color w:val="000000" w:themeColor="text1"/>
          <w:sz w:val="32"/>
          <w:szCs w:val="32"/>
          <w14:textFill>
            <w14:solidFill>
              <w14:schemeClr w14:val="tx1"/>
            </w14:solidFill>
          </w14:textFill>
        </w:rPr>
        <w:t>“</w:t>
      </w:r>
      <w:r>
        <w:rPr>
          <w:rFonts w:hint="eastAsia" w:ascii="仿宋_GB2312" w:hAnsi="方正小标宋简体" w:eastAsia="仿宋_GB2312" w:cs="方正小标宋简体"/>
          <w:color w:val="000000" w:themeColor="text1"/>
          <w:sz w:val="32"/>
          <w:szCs w:val="32"/>
          <w:lang w:val="zh-CN"/>
          <w14:textFill>
            <w14:solidFill>
              <w14:schemeClr w14:val="tx1"/>
            </w14:solidFill>
          </w14:textFill>
        </w:rPr>
        <w:t>妇女两癌筛查、新生儿两病筛查</w:t>
      </w:r>
      <w:r>
        <w:rPr>
          <w:rFonts w:hint="eastAsia" w:ascii="仿宋_GB2312" w:hAnsi="方正小标宋简体" w:eastAsia="仿宋_GB2312" w:cs="方正小标宋简体"/>
          <w:color w:val="000000" w:themeColor="text1"/>
          <w:sz w:val="32"/>
          <w:szCs w:val="32"/>
          <w14:textFill>
            <w14:solidFill>
              <w14:schemeClr w14:val="tx1"/>
            </w14:solidFill>
          </w14:textFill>
        </w:rPr>
        <w:t>、</w:t>
      </w:r>
      <w:r>
        <w:rPr>
          <w:rFonts w:hint="eastAsia" w:ascii="仿宋_GB2312" w:hAnsi="方正小标宋简体" w:eastAsia="仿宋_GB2312" w:cs="方正小标宋简体"/>
          <w:color w:val="000000" w:themeColor="text1"/>
          <w:sz w:val="32"/>
          <w:szCs w:val="32"/>
          <w:lang w:val="zh-CN"/>
          <w14:textFill>
            <w14:solidFill>
              <w14:schemeClr w14:val="tx1"/>
            </w14:solidFill>
          </w14:textFill>
        </w:rPr>
        <w:t>免费办理接种卡（证）、发放叶酸</w:t>
      </w:r>
      <w:r>
        <w:rPr>
          <w:rFonts w:hint="eastAsia" w:ascii="仿宋_GB2312" w:hAnsi="方正小标宋简体" w:eastAsia="仿宋_GB2312" w:cs="方正小标宋简体"/>
          <w:color w:val="000000" w:themeColor="text1"/>
          <w:sz w:val="32"/>
          <w:szCs w:val="32"/>
          <w14:textFill>
            <w14:solidFill>
              <w14:schemeClr w14:val="tx1"/>
            </w14:solidFill>
          </w14:textFill>
        </w:rPr>
        <w:t>”这四项</w:t>
      </w:r>
      <w:r>
        <w:rPr>
          <w:rFonts w:hint="eastAsia" w:ascii="仿宋_GB2312" w:hAnsi="方正小标宋简体" w:eastAsia="仿宋_GB2312" w:cs="方正小标宋简体"/>
          <w:color w:val="000000" w:themeColor="text1"/>
          <w:sz w:val="32"/>
          <w:szCs w:val="32"/>
          <w:lang w:val="zh-CN"/>
          <w14:textFill>
            <w14:solidFill>
              <w14:schemeClr w14:val="tx1"/>
            </w14:solidFill>
          </w14:textFill>
        </w:rPr>
        <w:t>健康帮扶政策。</w:t>
      </w:r>
    </w:p>
    <w:p>
      <w:pPr>
        <w:keepNext w:val="0"/>
        <w:keepLines w:val="0"/>
        <w:pageBreakBefore w:val="0"/>
        <w:kinsoku/>
        <w:wordWrap/>
        <w:bidi w:val="0"/>
        <w:spacing w:line="560" w:lineRule="exact"/>
        <w:ind w:firstLine="643" w:firstLineChars="200"/>
        <w:rPr>
          <w:rFonts w:ascii="仿宋_GB2312" w:hAnsi="方正小标宋简体" w:eastAsia="仿宋_GB2312" w:cs="方正小标宋简体"/>
          <w:color w:val="000000" w:themeColor="text1"/>
          <w:sz w:val="32"/>
          <w:szCs w:val="32"/>
          <w:lang w:val="zh-CN"/>
          <w14:textFill>
            <w14:solidFill>
              <w14:schemeClr w14:val="tx1"/>
            </w14:solidFill>
          </w14:textFill>
        </w:rPr>
      </w:pPr>
      <w:r>
        <w:rPr>
          <w:rFonts w:hint="eastAsia" w:ascii="仿宋_GB2312" w:hAnsi="楷体_GB2312" w:eastAsia="仿宋_GB2312" w:cs="楷体_GB2312"/>
          <w:b/>
          <w:bCs/>
          <w:color w:val="000000" w:themeColor="text1"/>
          <w:sz w:val="32"/>
          <w:szCs w:val="32"/>
          <w14:textFill>
            <w14:solidFill>
              <w14:schemeClr w14:val="tx1"/>
            </w14:solidFill>
          </w14:textFill>
        </w:rPr>
        <w:t>（一）妇女“两癌”筛查。</w:t>
      </w:r>
      <w:r>
        <w:rPr>
          <w:rFonts w:hint="eastAsia" w:ascii="仿宋_GB2312" w:hAnsi="方正小标宋简体" w:eastAsia="仿宋_GB2312" w:cs="方正小标宋简体"/>
          <w:color w:val="000000" w:themeColor="text1"/>
          <w:sz w:val="32"/>
          <w:szCs w:val="32"/>
          <w:lang w:val="zh-CN"/>
          <w14:textFill>
            <w14:solidFill>
              <w14:schemeClr w14:val="tx1"/>
            </w14:solidFill>
          </w14:textFill>
        </w:rPr>
        <w:t>乳腺癌和宫颈癌是女性最常见的两种</w:t>
      </w:r>
      <w:r>
        <w:fldChar w:fldCharType="begin"/>
      </w:r>
      <w:r>
        <w:instrText xml:space="preserve"> HYPERLINK "https://baike.baidu.com/item/%E6%81%B6%E6%80%A7%E8%82%BF%E7%98%A4" \t "_blank" </w:instrText>
      </w:r>
      <w:r>
        <w:fldChar w:fldCharType="separate"/>
      </w:r>
      <w:r>
        <w:rPr>
          <w:rFonts w:hint="eastAsia" w:ascii="仿宋_GB2312" w:hAnsi="方正小标宋简体" w:eastAsia="仿宋_GB2312" w:cs="方正小标宋简体"/>
          <w:color w:val="000000" w:themeColor="text1"/>
          <w:sz w:val="32"/>
          <w:szCs w:val="32"/>
          <w:lang w:val="zh-CN"/>
          <w14:textFill>
            <w14:solidFill>
              <w14:schemeClr w14:val="tx1"/>
            </w14:solidFill>
          </w14:textFill>
        </w:rPr>
        <w:t>恶性肿瘤</w:t>
      </w:r>
      <w:r>
        <w:rPr>
          <w:rFonts w:hint="eastAsia" w:ascii="仿宋_GB2312" w:hAnsi="方正小标宋简体" w:eastAsia="仿宋_GB2312" w:cs="方正小标宋简体"/>
          <w:color w:val="000000" w:themeColor="text1"/>
          <w:sz w:val="32"/>
          <w:szCs w:val="32"/>
          <w:lang w:val="zh-CN"/>
          <w14:textFill>
            <w14:solidFill>
              <w14:schemeClr w14:val="tx1"/>
            </w14:solidFill>
          </w14:textFill>
        </w:rPr>
        <w:fldChar w:fldCharType="end"/>
      </w:r>
      <w:r>
        <w:rPr>
          <w:rFonts w:hint="eastAsia" w:ascii="仿宋_GB2312" w:hAnsi="方正小标宋简体" w:eastAsia="仿宋_GB2312" w:cs="方正小标宋简体"/>
          <w:color w:val="000000" w:themeColor="text1"/>
          <w:sz w:val="32"/>
          <w:szCs w:val="32"/>
          <w:lang w:val="zh-CN"/>
          <w14:textFill>
            <w14:solidFill>
              <w14:schemeClr w14:val="tx1"/>
            </w14:solidFill>
          </w14:textFill>
        </w:rPr>
        <w:t>，对女性危害极大，前期不易被发现，一旦出现相关症状就难以治疗。脱贫户和监测户中35-64岁妇女优先免费享受一次“</w:t>
      </w:r>
      <w:r>
        <w:rPr>
          <w:rFonts w:hint="eastAsia" w:ascii="仿宋_GB2312" w:hAnsi="方正小标宋简体" w:eastAsia="仿宋_GB2312" w:cs="方正小标宋简体"/>
          <w:color w:val="000000" w:themeColor="text1"/>
          <w:sz w:val="32"/>
          <w:szCs w:val="32"/>
          <w14:textFill>
            <w14:solidFill>
              <w14:schemeClr w14:val="tx1"/>
            </w14:solidFill>
          </w14:textFill>
        </w:rPr>
        <w:t>两</w:t>
      </w:r>
      <w:r>
        <w:rPr>
          <w:rFonts w:hint="eastAsia" w:ascii="仿宋_GB2312" w:hAnsi="方正小标宋简体" w:eastAsia="仿宋_GB2312" w:cs="方正小标宋简体"/>
          <w:color w:val="000000" w:themeColor="text1"/>
          <w:sz w:val="32"/>
          <w:szCs w:val="32"/>
          <w:lang w:val="zh-CN"/>
          <w14:textFill>
            <w14:solidFill>
              <w14:schemeClr w14:val="tx1"/>
            </w14:solidFill>
          </w14:textFill>
        </w:rPr>
        <w:t>癌”筛查，做到早诊断、早发现、早预防、早治疗。</w:t>
      </w:r>
    </w:p>
    <w:p>
      <w:pPr>
        <w:keepNext w:val="0"/>
        <w:keepLines w:val="0"/>
        <w:pageBreakBefore w:val="0"/>
        <w:kinsoku/>
        <w:wordWrap/>
        <w:bidi w:val="0"/>
        <w:spacing w:line="560" w:lineRule="exact"/>
        <w:ind w:firstLine="643" w:firstLineChars="200"/>
        <w:rPr>
          <w:rFonts w:ascii="仿宋_GB2312" w:hAnsi="方正小标宋简体" w:eastAsia="仿宋_GB2312" w:cs="方正小标宋简体"/>
          <w:color w:val="000000" w:themeColor="text1"/>
          <w:sz w:val="32"/>
          <w:szCs w:val="32"/>
          <w:shd w:val="clear" w:color="auto" w:fill="FFFFFF"/>
          <w14:textFill>
            <w14:solidFill>
              <w14:schemeClr w14:val="tx1"/>
            </w14:solidFill>
          </w14:textFill>
        </w:rPr>
      </w:pPr>
      <w:r>
        <w:rPr>
          <w:rFonts w:hint="eastAsia" w:ascii="仿宋_GB2312" w:hAnsi="楷体_GB2312" w:eastAsia="仿宋_GB2312" w:cs="楷体_GB2312"/>
          <w:b/>
          <w:bCs/>
          <w:color w:val="000000" w:themeColor="text1"/>
          <w:sz w:val="32"/>
          <w:szCs w:val="32"/>
          <w14:textFill>
            <w14:solidFill>
              <w14:schemeClr w14:val="tx1"/>
            </w14:solidFill>
          </w14:textFill>
        </w:rPr>
        <w:t>（二）新生儿“两病”筛查。</w:t>
      </w:r>
      <w:r>
        <w:rPr>
          <w:rFonts w:hint="eastAsia" w:ascii="仿宋_GB2312" w:hAnsi="方正小标宋简体" w:eastAsia="仿宋_GB2312" w:cs="方正小标宋简体"/>
          <w:color w:val="000000" w:themeColor="text1"/>
          <w:sz w:val="32"/>
          <w:szCs w:val="32"/>
          <w:shd w:val="clear" w:color="auto" w:fill="FFFFFF"/>
          <w14:textFill>
            <w14:solidFill>
              <w14:schemeClr w14:val="tx1"/>
            </w14:solidFill>
          </w14:textFill>
        </w:rPr>
        <w:t>对出生72小时（哺乳至少6～8次）的活产新生儿进行采血筛查，</w:t>
      </w:r>
      <w:r>
        <w:rPr>
          <w:rFonts w:hint="eastAsia" w:ascii="仿宋_GB2312" w:hAnsi="方正小标宋简体" w:eastAsia="仿宋_GB2312" w:cs="方正小标宋简体"/>
          <w:color w:val="000000" w:themeColor="text1"/>
          <w:spacing w:val="-2"/>
          <w:sz w:val="32"/>
          <w:szCs w:val="32"/>
          <w:shd w:val="clear" w:color="auto" w:fill="FFFFFF"/>
          <w14:textFill>
            <w14:solidFill>
              <w14:schemeClr w14:val="tx1"/>
            </w14:solidFill>
          </w14:textFill>
        </w:rPr>
        <w:t>主要检查“先天性甲状腺功能低下”和“苯丙酮尿症”。</w:t>
      </w:r>
      <w:r>
        <w:rPr>
          <w:rFonts w:hint="eastAsia" w:ascii="仿宋_GB2312" w:hAnsi="方正小标宋简体" w:eastAsia="仿宋_GB2312" w:cs="方正小标宋简体"/>
          <w:b/>
          <w:color w:val="000000" w:themeColor="text1"/>
          <w:spacing w:val="-2"/>
          <w:sz w:val="32"/>
          <w:szCs w:val="32"/>
          <w:shd w:val="clear" w:color="auto" w:fill="FFFFFF"/>
          <w14:textFill>
            <w14:solidFill>
              <w14:schemeClr w14:val="tx1"/>
            </w14:solidFill>
          </w14:textFill>
        </w:rPr>
        <w:t>先天性甲状腺功能低下</w:t>
      </w:r>
      <w:r>
        <w:rPr>
          <w:rFonts w:hint="eastAsia" w:ascii="仿宋_GB2312" w:hAnsi="方正小标宋简体" w:eastAsia="仿宋_GB2312" w:cs="方正小标宋简体"/>
          <w:color w:val="000000" w:themeColor="text1"/>
          <w:sz w:val="32"/>
          <w:szCs w:val="32"/>
          <w:shd w:val="clear" w:color="auto" w:fill="FFFFFF"/>
          <w14:textFill>
            <w14:solidFill>
              <w14:schemeClr w14:val="tx1"/>
            </w14:solidFill>
          </w14:textFill>
        </w:rPr>
        <w:t>是儿童时期常见的</w:t>
      </w:r>
      <w:r>
        <w:fldChar w:fldCharType="begin"/>
      </w:r>
      <w:r>
        <w:instrText xml:space="preserve"> HYPERLINK "https://baike.baidu.com/item/%E6%99%BA%E6%AE%8B" \t "_blank" </w:instrText>
      </w:r>
      <w:r>
        <w:fldChar w:fldCharType="separate"/>
      </w:r>
      <w:r>
        <w:rPr>
          <w:rStyle w:val="14"/>
          <w:rFonts w:hint="eastAsia" w:ascii="仿宋_GB2312" w:hAnsi="方正小标宋简体" w:eastAsia="仿宋_GB2312" w:cs="方正小标宋简体"/>
          <w:color w:val="000000" w:themeColor="text1"/>
          <w:sz w:val="32"/>
          <w:szCs w:val="32"/>
          <w:u w:val="none"/>
          <w:shd w:val="clear" w:color="auto" w:fill="FFFFFF"/>
          <w14:textFill>
            <w14:solidFill>
              <w14:schemeClr w14:val="tx1"/>
            </w14:solidFill>
          </w14:textFill>
        </w:rPr>
        <w:t>智残</w:t>
      </w:r>
      <w:r>
        <w:rPr>
          <w:rStyle w:val="14"/>
          <w:rFonts w:hint="eastAsia" w:ascii="仿宋_GB2312" w:hAnsi="方正小标宋简体" w:eastAsia="仿宋_GB2312" w:cs="方正小标宋简体"/>
          <w:color w:val="000000" w:themeColor="text1"/>
          <w:sz w:val="32"/>
          <w:szCs w:val="32"/>
          <w:u w:val="none"/>
          <w:shd w:val="clear" w:color="auto" w:fill="FFFFFF"/>
          <w14:textFill>
            <w14:solidFill>
              <w14:schemeClr w14:val="tx1"/>
            </w14:solidFill>
          </w14:textFill>
        </w:rPr>
        <w:fldChar w:fldCharType="end"/>
      </w:r>
      <w:r>
        <w:rPr>
          <w:rFonts w:hint="eastAsia" w:ascii="仿宋_GB2312" w:hAnsi="方正小标宋简体" w:eastAsia="仿宋_GB2312" w:cs="方正小标宋简体"/>
          <w:color w:val="000000" w:themeColor="text1"/>
          <w:sz w:val="32"/>
          <w:szCs w:val="32"/>
          <w:shd w:val="clear" w:color="auto" w:fill="FFFFFF"/>
          <w14:textFill>
            <w14:solidFill>
              <w14:schemeClr w14:val="tx1"/>
            </w14:solidFill>
          </w14:textFill>
        </w:rPr>
        <w:t>性疾病，早期无明显表现，一旦出现症状将不可逆，又称</w:t>
      </w:r>
      <w:r>
        <w:fldChar w:fldCharType="begin"/>
      </w:r>
      <w:r>
        <w:instrText xml:space="preserve"> HYPERLINK "https://baike.baidu.com/item/%E5%91%86%E5%B0%8F%E7%97%85/2122670" \t "_blank" </w:instrText>
      </w:r>
      <w:r>
        <w:fldChar w:fldCharType="separate"/>
      </w:r>
      <w:r>
        <w:rPr>
          <w:rStyle w:val="14"/>
          <w:rFonts w:hint="eastAsia" w:ascii="仿宋_GB2312" w:hAnsi="方正小标宋简体" w:eastAsia="仿宋_GB2312" w:cs="方正小标宋简体"/>
          <w:color w:val="000000" w:themeColor="text1"/>
          <w:sz w:val="32"/>
          <w:szCs w:val="32"/>
          <w:u w:val="none"/>
          <w:shd w:val="clear" w:color="auto" w:fill="FFFFFF"/>
          <w14:textFill>
            <w14:solidFill>
              <w14:schemeClr w14:val="tx1"/>
            </w14:solidFill>
          </w14:textFill>
        </w:rPr>
        <w:t>呆小病</w:t>
      </w:r>
      <w:r>
        <w:rPr>
          <w:rStyle w:val="14"/>
          <w:rFonts w:hint="eastAsia" w:ascii="仿宋_GB2312" w:hAnsi="方正小标宋简体" w:eastAsia="仿宋_GB2312" w:cs="方正小标宋简体"/>
          <w:color w:val="000000" w:themeColor="text1"/>
          <w:sz w:val="32"/>
          <w:szCs w:val="32"/>
          <w:u w:val="none"/>
          <w:shd w:val="clear" w:color="auto" w:fill="FFFFFF"/>
          <w14:textFill>
            <w14:solidFill>
              <w14:schemeClr w14:val="tx1"/>
            </w14:solidFill>
          </w14:textFill>
        </w:rPr>
        <w:fldChar w:fldCharType="end"/>
      </w:r>
      <w:r>
        <w:rPr>
          <w:rFonts w:hint="eastAsia" w:ascii="仿宋_GB2312" w:hAnsi="方正小标宋简体" w:eastAsia="仿宋_GB2312" w:cs="方正小标宋简体"/>
          <w:color w:val="000000" w:themeColor="text1"/>
          <w:sz w:val="32"/>
          <w:szCs w:val="32"/>
          <w:shd w:val="clear" w:color="auto" w:fill="FFFFFF"/>
          <w14:textFill>
            <w14:solidFill>
              <w14:schemeClr w14:val="tx1"/>
            </w14:solidFill>
          </w14:textFill>
        </w:rPr>
        <w:t>，发病率大约是五千分之一。临床表现为智力迟钝、生长发育迟缓及基础代谢低下。医学上一般认为如果在2个月内发现，及时治疗，终身服药，智力基本正常。大于10个月发现、治疗的，智商只能达到正常的80%，大于2岁发现的，智力落后不可逆。</w:t>
      </w:r>
      <w:r>
        <w:rPr>
          <w:rFonts w:hint="eastAsia" w:ascii="仿宋_GB2312" w:hAnsi="方正小标宋简体" w:eastAsia="仿宋_GB2312" w:cs="方正小标宋简体"/>
          <w:b/>
          <w:bCs/>
          <w:color w:val="000000" w:themeColor="text1"/>
          <w:sz w:val="32"/>
          <w:szCs w:val="32"/>
          <w:shd w:val="clear" w:color="auto" w:fill="FFFFFF"/>
          <w14:textFill>
            <w14:solidFill>
              <w14:schemeClr w14:val="tx1"/>
            </w14:solidFill>
          </w14:textFill>
        </w:rPr>
        <w:t>苯丙酮尿症</w:t>
      </w:r>
      <w:r>
        <w:rPr>
          <w:rFonts w:hint="eastAsia" w:ascii="仿宋_GB2312" w:hAnsi="方正小标宋简体" w:eastAsia="仿宋_GB2312" w:cs="方正小标宋简体"/>
          <w:color w:val="000000" w:themeColor="text1"/>
          <w:sz w:val="32"/>
          <w:szCs w:val="32"/>
          <w:shd w:val="clear" w:color="auto" w:fill="FFFFFF"/>
          <w14:textFill>
            <w14:solidFill>
              <w14:schemeClr w14:val="tx1"/>
            </w14:solidFill>
          </w14:textFill>
        </w:rPr>
        <w:t>是一种常染色体隐性遗传病。近亲结婚发病率较高。苯丙酮尿症的患儿可能会出现生长发育的迟缓，智力低下，并且有反复的抽搐以及湿疹，可能会出现小脑的畸形，这种患者的社会适应能力低下，给家庭和社会带来了严重的经济负担，也不利于孩子的生长发育，可以通过产前咨询以及产前诊断，避免苯丙酮尿症患儿的出生。如果能得到早期诊断和早期治疗，则前述临床表现可不发生，智力正常，脑电图异常也可得到恢复。</w:t>
      </w:r>
    </w:p>
    <w:p>
      <w:pPr>
        <w:keepNext w:val="0"/>
        <w:keepLines w:val="0"/>
        <w:pageBreakBefore w:val="0"/>
        <w:kinsoku/>
        <w:wordWrap/>
        <w:bidi w:val="0"/>
        <w:spacing w:line="560" w:lineRule="exact"/>
        <w:ind w:firstLine="643" w:firstLineChars="200"/>
        <w:rPr>
          <w:rFonts w:ascii="仿宋_GB2312" w:hAnsi="方正小标宋简体" w:eastAsia="仿宋_GB2312" w:cs="方正小标宋简体"/>
          <w:color w:val="000000" w:themeColor="text1"/>
          <w:sz w:val="32"/>
          <w:szCs w:val="32"/>
          <w:lang w:val="zh-CN"/>
          <w14:textFill>
            <w14:solidFill>
              <w14:schemeClr w14:val="tx1"/>
            </w14:solidFill>
          </w14:textFill>
        </w:rPr>
      </w:pPr>
      <w:r>
        <w:rPr>
          <w:rFonts w:hint="eastAsia" w:ascii="仿宋_GB2312" w:hAnsi="楷体_GB2312" w:eastAsia="仿宋_GB2312" w:cs="楷体_GB2312"/>
          <w:b/>
          <w:bCs/>
          <w:color w:val="000000" w:themeColor="text1"/>
          <w:sz w:val="32"/>
          <w:szCs w:val="32"/>
          <w14:textFill>
            <w14:solidFill>
              <w14:schemeClr w14:val="tx1"/>
            </w14:solidFill>
          </w14:textFill>
        </w:rPr>
        <w:t>（三）免费办理接种卡（证）。</w:t>
      </w:r>
      <w:r>
        <w:rPr>
          <w:rFonts w:hint="eastAsia" w:ascii="仿宋_GB2312" w:hAnsi="方正小标宋简体" w:eastAsia="仿宋_GB2312" w:cs="方正小标宋简体"/>
          <w:color w:val="000000" w:themeColor="text1"/>
          <w:sz w:val="32"/>
          <w:szCs w:val="32"/>
          <w14:textFill>
            <w14:solidFill>
              <w14:schemeClr w14:val="tx1"/>
            </w14:solidFill>
          </w14:textFill>
        </w:rPr>
        <w:t>脱贫户和监测户家中0—6岁儿童可以享受免费接种11种免疫规划疫苗</w:t>
      </w:r>
      <w:r>
        <w:rPr>
          <w:rFonts w:hint="eastAsia" w:ascii="仿宋_GB2312" w:hAnsi="方正小标宋简体" w:eastAsia="仿宋_GB2312" w:cs="方正小标宋简体"/>
          <w:color w:val="000000" w:themeColor="text1"/>
          <w:sz w:val="32"/>
          <w:szCs w:val="32"/>
          <w:lang w:val="zh-CN"/>
          <w14:textFill>
            <w14:solidFill>
              <w14:schemeClr w14:val="tx1"/>
            </w14:solidFill>
          </w14:textFill>
        </w:rPr>
        <w:t>，可预防12种传染病。分别为乙肝疫苗、卡介苗、脊灰灭活疫苗</w:t>
      </w:r>
      <w:r>
        <w:rPr>
          <w:rFonts w:hint="eastAsia" w:ascii="仿宋_GB2312" w:hAnsi="方正小标宋简体" w:eastAsia="仿宋_GB2312" w:cs="方正小标宋简体"/>
          <w:color w:val="000000" w:themeColor="text1"/>
          <w:sz w:val="32"/>
          <w:szCs w:val="32"/>
          <w14:textFill>
            <w14:solidFill>
              <w14:schemeClr w14:val="tx1"/>
            </w14:solidFill>
          </w14:textFill>
        </w:rPr>
        <w:t>（IPV）</w:t>
      </w:r>
      <w:r>
        <w:rPr>
          <w:rFonts w:hint="eastAsia" w:ascii="仿宋_GB2312" w:hAnsi="方正小标宋简体" w:eastAsia="仿宋_GB2312" w:cs="方正小标宋简体"/>
          <w:color w:val="000000" w:themeColor="text1"/>
          <w:sz w:val="32"/>
          <w:szCs w:val="32"/>
          <w:lang w:val="zh-CN"/>
          <w14:textFill>
            <w14:solidFill>
              <w14:schemeClr w14:val="tx1"/>
            </w14:solidFill>
          </w14:textFill>
        </w:rPr>
        <w:t>、脊灰减毒活疫苗</w:t>
      </w:r>
      <w:r>
        <w:rPr>
          <w:rFonts w:hint="eastAsia" w:ascii="仿宋_GB2312" w:hAnsi="方正小标宋简体" w:eastAsia="仿宋_GB2312" w:cs="方正小标宋简体"/>
          <w:color w:val="000000" w:themeColor="text1"/>
          <w:sz w:val="32"/>
          <w:szCs w:val="32"/>
          <w14:textFill>
            <w14:solidFill>
              <w14:schemeClr w14:val="tx1"/>
            </w14:solidFill>
          </w14:textFill>
        </w:rPr>
        <w:t>（BOPV）</w:t>
      </w:r>
      <w:r>
        <w:rPr>
          <w:rFonts w:hint="eastAsia" w:ascii="仿宋_GB2312" w:hAnsi="方正小标宋简体" w:eastAsia="仿宋_GB2312" w:cs="方正小标宋简体"/>
          <w:color w:val="000000" w:themeColor="text1"/>
          <w:sz w:val="32"/>
          <w:szCs w:val="32"/>
          <w:lang w:val="zh-CN"/>
          <w14:textFill>
            <w14:solidFill>
              <w14:schemeClr w14:val="tx1"/>
            </w14:solidFill>
          </w14:textFill>
        </w:rPr>
        <w:t>、百白破疫苗、白破疫苗、麻腮风疫苗、乙脑减毒活疫苗、A群流脑多糖疫苗、A群C群流脑多糖疫苗、甲肝减毒活疫苗。</w:t>
      </w:r>
    </w:p>
    <w:p>
      <w:pPr>
        <w:keepNext w:val="0"/>
        <w:keepLines w:val="0"/>
        <w:pageBreakBefore w:val="0"/>
        <w:kinsoku/>
        <w:wordWrap/>
        <w:bidi w:val="0"/>
        <w:spacing w:line="560" w:lineRule="exact"/>
        <w:ind w:firstLine="643" w:firstLineChars="200"/>
        <w:rPr>
          <w:rFonts w:ascii="仿宋_GB2312" w:hAnsi="方正小标宋简体" w:eastAsia="仿宋_GB2312" w:cs="方正小标宋简体"/>
          <w:color w:val="000000" w:themeColor="text1"/>
          <w:sz w:val="32"/>
          <w:szCs w:val="32"/>
          <w:shd w:val="clear" w:color="auto" w:fill="FFFFFF"/>
          <w14:textFill>
            <w14:solidFill>
              <w14:schemeClr w14:val="tx1"/>
            </w14:solidFill>
          </w14:textFill>
        </w:rPr>
      </w:pPr>
      <w:r>
        <w:rPr>
          <w:rFonts w:hint="eastAsia" w:ascii="仿宋_GB2312" w:hAnsi="楷体_GB2312" w:eastAsia="仿宋_GB2312" w:cs="楷体_GB2312"/>
          <w:b/>
          <w:bCs/>
          <w:color w:val="000000" w:themeColor="text1"/>
          <w:sz w:val="32"/>
          <w:szCs w:val="32"/>
          <w14:textFill>
            <w14:solidFill>
              <w14:schemeClr w14:val="tx1"/>
            </w14:solidFill>
          </w14:textFill>
        </w:rPr>
        <w:t>（四）发放叶酸。</w:t>
      </w:r>
      <w:r>
        <w:rPr>
          <w:rFonts w:hint="eastAsia" w:ascii="仿宋_GB2312" w:hAnsi="方正小标宋简体" w:eastAsia="仿宋_GB2312" w:cs="方正小标宋简体"/>
          <w:color w:val="000000" w:themeColor="text1"/>
          <w:sz w:val="32"/>
          <w:szCs w:val="32"/>
          <w14:textFill>
            <w14:solidFill>
              <w14:schemeClr w14:val="tx1"/>
            </w14:solidFill>
          </w14:textFill>
        </w:rPr>
        <w:t>对于准备怀孕及怀孕后3个月内妇女，为其免费发放叶酸，怀孕妇女在合适的时间段内服用叶酸，可以有效预防胎儿神经管缺陷，也就是</w:t>
      </w:r>
      <w:r>
        <w:fldChar w:fldCharType="begin"/>
      </w:r>
      <w:r>
        <w:instrText xml:space="preserve"> HYPERLINK "http://www.so.com/s?q=%E6%96%B0%E7%94%9F%E5%84%BF&amp;ie=utf-8&amp;src=internal_wenda_recommend_textn" \t "_blank" </w:instrText>
      </w:r>
      <w:r>
        <w:fldChar w:fldCharType="separate"/>
      </w:r>
      <w:r>
        <w:rPr>
          <w:rStyle w:val="14"/>
          <w:rFonts w:hint="eastAsia" w:ascii="仿宋_GB2312" w:hAnsi="方正小标宋简体" w:eastAsia="仿宋_GB2312" w:cs="方正小标宋简体"/>
          <w:color w:val="000000" w:themeColor="text1"/>
          <w:sz w:val="32"/>
          <w:szCs w:val="32"/>
          <w:u w:val="none"/>
          <w:shd w:val="clear" w:color="auto" w:fill="FFFFFF"/>
          <w14:textFill>
            <w14:solidFill>
              <w14:schemeClr w14:val="tx1"/>
            </w14:solidFill>
          </w14:textFill>
        </w:rPr>
        <w:t>新生儿</w:t>
      </w:r>
      <w:r>
        <w:rPr>
          <w:rStyle w:val="14"/>
          <w:rFonts w:hint="eastAsia" w:ascii="仿宋_GB2312" w:hAnsi="方正小标宋简体" w:eastAsia="仿宋_GB2312" w:cs="方正小标宋简体"/>
          <w:color w:val="000000" w:themeColor="text1"/>
          <w:sz w:val="32"/>
          <w:szCs w:val="32"/>
          <w:u w:val="none"/>
          <w:shd w:val="clear" w:color="auto" w:fill="FFFFFF"/>
          <w14:textFill>
            <w14:solidFill>
              <w14:schemeClr w14:val="tx1"/>
            </w14:solidFill>
          </w14:textFill>
        </w:rPr>
        <w:fldChar w:fldCharType="end"/>
      </w:r>
      <w:r>
        <w:rPr>
          <w:rFonts w:hint="eastAsia" w:ascii="仿宋_GB2312" w:hAnsi="方正小标宋简体" w:eastAsia="仿宋_GB2312" w:cs="方正小标宋简体"/>
          <w:color w:val="000000" w:themeColor="text1"/>
          <w:sz w:val="32"/>
          <w:szCs w:val="32"/>
          <w:shd w:val="clear" w:color="auto" w:fill="FFFFFF"/>
          <w14:textFill>
            <w14:solidFill>
              <w14:schemeClr w14:val="tx1"/>
            </w14:solidFill>
          </w14:textFill>
        </w:rPr>
        <w:t>先天畸形。</w:t>
      </w:r>
    </w:p>
    <w:p>
      <w:pPr>
        <w:keepNext w:val="0"/>
        <w:keepLines w:val="0"/>
        <w:pageBreakBefore w:val="0"/>
        <w:kinsoku/>
        <w:wordWrap/>
        <w:bidi w:val="0"/>
        <w:spacing w:line="560" w:lineRule="exact"/>
        <w:ind w:firstLine="643" w:firstLineChars="200"/>
        <w:rPr>
          <w:rFonts w:ascii="黑体" w:hAnsi="黑体" w:eastAsia="黑体" w:cs="方正小标宋简体"/>
          <w:b/>
          <w:bCs/>
          <w:color w:val="000000" w:themeColor="text1"/>
          <w:sz w:val="32"/>
          <w:szCs w:val="32"/>
          <w:lang w:val="zh-CN"/>
          <w14:textFill>
            <w14:solidFill>
              <w14:schemeClr w14:val="tx1"/>
            </w14:solidFill>
          </w14:textFill>
        </w:rPr>
      </w:pPr>
      <w:r>
        <w:rPr>
          <w:rFonts w:hint="eastAsia" w:ascii="黑体" w:hAnsi="黑体" w:eastAsia="黑体" w:cs="方正小标宋简体"/>
          <w:b/>
          <w:bCs/>
          <w:color w:val="000000" w:themeColor="text1"/>
          <w:sz w:val="32"/>
          <w:szCs w:val="32"/>
          <w:lang w:val="zh-CN"/>
          <w14:textFill>
            <w14:solidFill>
              <w14:schemeClr w14:val="tx1"/>
            </w14:solidFill>
          </w14:textFill>
        </w:rPr>
        <w:t>三、提高农村计生家庭待遇</w:t>
      </w:r>
    </w:p>
    <w:p>
      <w:pPr>
        <w:keepNext w:val="0"/>
        <w:keepLines w:val="0"/>
        <w:pageBreakBefore w:val="0"/>
        <w:kinsoku/>
        <w:wordWrap/>
        <w:bidi w:val="0"/>
        <w:spacing w:line="560" w:lineRule="exact"/>
        <w:ind w:firstLine="640" w:firstLineChars="200"/>
        <w:rPr>
          <w:rFonts w:ascii="仿宋_GB2312" w:hAnsi="方正小标宋简体" w:eastAsia="仿宋_GB2312" w:cs="方正小标宋简体"/>
          <w:color w:val="000000" w:themeColor="text1"/>
          <w:sz w:val="32"/>
          <w:szCs w:val="32"/>
          <w:lang w:val="zh-CN"/>
          <w14:textFill>
            <w14:solidFill>
              <w14:schemeClr w14:val="tx1"/>
            </w14:solidFill>
          </w14:textFill>
        </w:rPr>
      </w:pPr>
      <w:r>
        <w:rPr>
          <w:rFonts w:hint="eastAsia" w:ascii="仿宋_GB2312" w:hAnsi="方正小标宋简体" w:eastAsia="仿宋_GB2312" w:cs="方正小标宋简体"/>
          <w:color w:val="000000" w:themeColor="text1"/>
          <w:sz w:val="32"/>
          <w:szCs w:val="32"/>
          <w:lang w:val="zh-CN"/>
          <w14:textFill>
            <w14:solidFill>
              <w14:schemeClr w14:val="tx1"/>
            </w14:solidFill>
          </w14:textFill>
        </w:rPr>
        <w:t>涉及</w:t>
      </w:r>
      <w:r>
        <w:rPr>
          <w:rFonts w:hint="eastAsia" w:ascii="仿宋_GB2312" w:hAnsi="方正小标宋简体" w:eastAsia="仿宋_GB2312" w:cs="方正小标宋简体"/>
          <w:color w:val="000000" w:themeColor="text1"/>
          <w:sz w:val="32"/>
          <w:szCs w:val="32"/>
          <w14:textFill>
            <w14:solidFill>
              <w14:schemeClr w14:val="tx1"/>
            </w14:solidFill>
          </w14:textFill>
        </w:rPr>
        <w:t>“独生子女父母奖励费、农村部分计划生育家庭奖励扶助、计划生育家庭特别扶助、生育关怀抚慰金”这四项</w:t>
      </w:r>
      <w:r>
        <w:rPr>
          <w:rFonts w:hint="eastAsia" w:ascii="仿宋_GB2312" w:hAnsi="方正小标宋简体" w:eastAsia="仿宋_GB2312" w:cs="方正小标宋简体"/>
          <w:color w:val="000000" w:themeColor="text1"/>
          <w:sz w:val="32"/>
          <w:szCs w:val="32"/>
          <w:lang w:val="zh-CN"/>
          <w14:textFill>
            <w14:solidFill>
              <w14:schemeClr w14:val="tx1"/>
            </w14:solidFill>
          </w14:textFill>
        </w:rPr>
        <w:t>健康帮扶政策。</w:t>
      </w:r>
    </w:p>
    <w:p>
      <w:pPr>
        <w:keepNext w:val="0"/>
        <w:keepLines w:val="0"/>
        <w:pageBreakBefore w:val="0"/>
        <w:kinsoku/>
        <w:wordWrap/>
        <w:bidi w:val="0"/>
        <w:spacing w:line="560" w:lineRule="exact"/>
        <w:ind w:firstLine="643" w:firstLineChars="200"/>
        <w:rPr>
          <w:rFonts w:ascii="仿宋_GB2312" w:hAnsi="方正小标宋简体" w:eastAsia="仿宋_GB2312" w:cs="方正小标宋简体"/>
          <w:color w:val="000000" w:themeColor="text1"/>
          <w:sz w:val="32"/>
          <w:szCs w:val="32"/>
          <w14:textFill>
            <w14:solidFill>
              <w14:schemeClr w14:val="tx1"/>
            </w14:solidFill>
          </w14:textFill>
        </w:rPr>
      </w:pPr>
      <w:r>
        <w:rPr>
          <w:rFonts w:hint="eastAsia" w:ascii="仿宋_GB2312" w:hAnsi="楷体_GB2312" w:eastAsia="仿宋_GB2312" w:cs="楷体_GB2312"/>
          <w:b/>
          <w:bCs/>
          <w:color w:val="000000" w:themeColor="text1"/>
          <w:sz w:val="32"/>
          <w:szCs w:val="32"/>
          <w14:textFill>
            <w14:solidFill>
              <w14:schemeClr w14:val="tx1"/>
            </w14:solidFill>
          </w14:textFill>
        </w:rPr>
        <w:t>（一）独生子女父母奖励费。</w:t>
      </w:r>
      <w:r>
        <w:rPr>
          <w:rFonts w:hint="eastAsia" w:ascii="仿宋_GB2312" w:hAnsi="方正小标宋简体" w:eastAsia="仿宋_GB2312" w:cs="方正小标宋简体"/>
          <w:color w:val="000000" w:themeColor="text1"/>
          <w:sz w:val="32"/>
          <w:szCs w:val="32"/>
          <w14:textFill>
            <w14:solidFill>
              <w14:schemeClr w14:val="tx1"/>
            </w14:solidFill>
          </w14:textFill>
        </w:rPr>
        <w:t>持有《独生子女父母光荣证》的对象，在子女未满18周岁期间，可享受每人每年240元的独生子女父母奖励费。</w:t>
      </w:r>
    </w:p>
    <w:p>
      <w:pPr>
        <w:keepNext w:val="0"/>
        <w:keepLines w:val="0"/>
        <w:pageBreakBefore w:val="0"/>
        <w:kinsoku/>
        <w:wordWrap/>
        <w:bidi w:val="0"/>
        <w:spacing w:line="560" w:lineRule="exact"/>
        <w:ind w:firstLine="643" w:firstLineChars="200"/>
        <w:rPr>
          <w:rFonts w:ascii="仿宋_GB2312" w:hAnsi="方正小标宋简体" w:eastAsia="仿宋_GB2312" w:cs="方正小标宋简体"/>
          <w:color w:val="000000" w:themeColor="text1"/>
          <w:sz w:val="32"/>
          <w:szCs w:val="32"/>
          <w14:textFill>
            <w14:solidFill>
              <w14:schemeClr w14:val="tx1"/>
            </w14:solidFill>
          </w14:textFill>
        </w:rPr>
      </w:pPr>
      <w:r>
        <w:rPr>
          <w:rFonts w:hint="eastAsia" w:ascii="仿宋_GB2312" w:hAnsi="楷体_GB2312" w:eastAsia="仿宋_GB2312" w:cs="楷体_GB2312"/>
          <w:b/>
          <w:bCs/>
          <w:color w:val="000000" w:themeColor="text1"/>
          <w:sz w:val="32"/>
          <w:szCs w:val="32"/>
          <w14:textFill>
            <w14:solidFill>
              <w14:schemeClr w14:val="tx1"/>
            </w14:solidFill>
          </w14:textFill>
        </w:rPr>
        <w:t>（二）农村部分计划生育家庭奖励扶助。</w:t>
      </w:r>
      <w:r>
        <w:rPr>
          <w:rFonts w:hint="eastAsia" w:ascii="仿宋_GB2312" w:hAnsi="方正小标宋简体" w:eastAsia="仿宋_GB2312" w:cs="方正小标宋简体"/>
          <w:color w:val="000000" w:themeColor="text1"/>
          <w:sz w:val="32"/>
          <w:szCs w:val="32"/>
          <w14:textFill>
            <w14:solidFill>
              <w14:schemeClr w14:val="tx1"/>
            </w14:solidFill>
          </w14:textFill>
        </w:rPr>
        <w:t>针对农村只有一个子女或两个女孩的计划生育家庭，夫妇可享受每人每年960元的奖励，此项奖励的执行时限是从父母年满60周岁开始。</w:t>
      </w:r>
    </w:p>
    <w:p>
      <w:pPr>
        <w:keepNext w:val="0"/>
        <w:keepLines w:val="0"/>
        <w:pageBreakBefore w:val="0"/>
        <w:kinsoku/>
        <w:wordWrap/>
        <w:bidi w:val="0"/>
        <w:spacing w:line="560" w:lineRule="exact"/>
        <w:ind w:firstLine="643" w:firstLineChars="200"/>
        <w:rPr>
          <w:rFonts w:ascii="仿宋_GB2312" w:hAnsi="方正小标宋简体" w:eastAsia="仿宋_GB2312" w:cs="方正小标宋简体"/>
          <w:color w:val="000000" w:themeColor="text1"/>
          <w:sz w:val="32"/>
          <w:szCs w:val="32"/>
          <w14:textFill>
            <w14:solidFill>
              <w14:schemeClr w14:val="tx1"/>
            </w14:solidFill>
          </w14:textFill>
        </w:rPr>
      </w:pPr>
      <w:r>
        <w:rPr>
          <w:rFonts w:hint="eastAsia" w:ascii="仿宋_GB2312" w:hAnsi="楷体_GB2312" w:eastAsia="仿宋_GB2312" w:cs="楷体_GB2312"/>
          <w:b/>
          <w:bCs/>
          <w:color w:val="000000" w:themeColor="text1"/>
          <w:sz w:val="32"/>
          <w:szCs w:val="32"/>
          <w14:textFill>
            <w14:solidFill>
              <w14:schemeClr w14:val="tx1"/>
            </w14:solidFill>
          </w14:textFill>
        </w:rPr>
        <w:t>（三）计划生育家庭特别扶助。</w:t>
      </w:r>
      <w:r>
        <w:rPr>
          <w:rFonts w:hint="eastAsia" w:ascii="仿宋_GB2312" w:hAnsi="方正小标宋简体" w:eastAsia="仿宋_GB2312" w:cs="方正小标宋简体"/>
          <w:color w:val="000000" w:themeColor="text1"/>
          <w:sz w:val="32"/>
          <w:szCs w:val="32"/>
          <w14:textFill>
            <w14:solidFill>
              <w14:schemeClr w14:val="tx1"/>
            </w14:solidFill>
          </w14:textFill>
        </w:rPr>
        <w:t>母亲49周岁以上，持有独生子女死亡证明的，父母双方每人每年有14160元的扶助金（每月1180元）。母亲49周岁以上，持独生子女三级以上残疾证明，父母双方每人每年有12480元的扶助金（每月1040元）。（此项政策自2022年7月1日开始实施。）</w:t>
      </w:r>
    </w:p>
    <w:p>
      <w:pPr>
        <w:keepNext w:val="0"/>
        <w:keepLines w:val="0"/>
        <w:pageBreakBefore w:val="0"/>
        <w:kinsoku/>
        <w:wordWrap/>
        <w:bidi w:val="0"/>
        <w:spacing w:line="560" w:lineRule="exact"/>
        <w:ind w:firstLine="643" w:firstLineChars="200"/>
        <w:rPr>
          <w:rFonts w:hint="eastAsia" w:ascii="仿宋_GB2312" w:hAnsi="方正小标宋简体" w:eastAsia="仿宋_GB2312" w:cs="方正小标宋简体"/>
          <w:color w:val="000000" w:themeColor="text1"/>
          <w:sz w:val="32"/>
          <w:szCs w:val="32"/>
          <w14:textFill>
            <w14:solidFill>
              <w14:schemeClr w14:val="tx1"/>
            </w14:solidFill>
          </w14:textFill>
        </w:rPr>
      </w:pPr>
      <w:r>
        <w:rPr>
          <w:rFonts w:hint="eastAsia" w:ascii="仿宋_GB2312" w:hAnsi="楷体_GB2312" w:eastAsia="仿宋_GB2312" w:cs="楷体_GB2312"/>
          <w:b/>
          <w:bCs/>
          <w:color w:val="000000" w:themeColor="text1"/>
          <w:sz w:val="32"/>
          <w:szCs w:val="32"/>
          <w14:textFill>
            <w14:solidFill>
              <w14:schemeClr w14:val="tx1"/>
            </w14:solidFill>
          </w14:textFill>
        </w:rPr>
        <w:t>（四）生育关怀抚慰金。</w:t>
      </w:r>
      <w:r>
        <w:rPr>
          <w:rFonts w:hint="eastAsia" w:ascii="仿宋_GB2312" w:hAnsi="方正小标宋简体" w:eastAsia="仿宋_GB2312" w:cs="方正小标宋简体"/>
          <w:color w:val="000000" w:themeColor="text1"/>
          <w:sz w:val="32"/>
          <w:szCs w:val="32"/>
          <w14:textFill>
            <w14:solidFill>
              <w14:schemeClr w14:val="tx1"/>
            </w14:solidFill>
          </w14:textFill>
        </w:rPr>
        <w:t>母亲49周岁以前，持独生子女死亡证明或三等以上残疾证明可享受每人每年1200元的生育关怀抚慰金。</w:t>
      </w:r>
    </w:p>
    <w:p>
      <w:pPr>
        <w:keepNext w:val="0"/>
        <w:keepLines w:val="0"/>
        <w:pageBreakBefore w:val="0"/>
        <w:kinsoku/>
        <w:wordWrap/>
        <w:bidi w:val="0"/>
        <w:spacing w:line="560" w:lineRule="exact"/>
        <w:ind w:firstLine="640" w:firstLineChars="200"/>
        <w:rPr>
          <w:rFonts w:hint="eastAsia" w:ascii="仿宋_GB2312" w:hAnsi="方正小标宋简体" w:eastAsia="仿宋_GB2312" w:cs="方正小标宋简体"/>
          <w:color w:val="000000" w:themeColor="text1"/>
          <w:sz w:val="32"/>
          <w:szCs w:val="32"/>
          <w14:textFill>
            <w14:solidFill>
              <w14:schemeClr w14:val="tx1"/>
            </w14:solidFill>
          </w14:textFill>
        </w:rPr>
      </w:pPr>
    </w:p>
    <w:p>
      <w:pPr>
        <w:keepNext w:val="0"/>
        <w:keepLines w:val="0"/>
        <w:pageBreakBefore w:val="0"/>
        <w:kinsoku/>
        <w:wordWrap/>
        <w:bidi w:val="0"/>
        <w:spacing w:line="560" w:lineRule="exact"/>
        <w:ind w:firstLine="640" w:firstLineChars="200"/>
        <w:rPr>
          <w:rFonts w:hint="eastAsia" w:ascii="仿宋_GB2312" w:hAnsi="方正小标宋简体" w:eastAsia="仿宋_GB2312" w:cs="方正小标宋简体"/>
          <w:color w:val="000000" w:themeColor="text1"/>
          <w:sz w:val="32"/>
          <w:szCs w:val="32"/>
          <w14:textFill>
            <w14:solidFill>
              <w14:schemeClr w14:val="tx1"/>
            </w14:solidFill>
          </w14:textFill>
        </w:rPr>
      </w:pPr>
    </w:p>
    <w:p>
      <w:pPr>
        <w:keepNext w:val="0"/>
        <w:keepLines w:val="0"/>
        <w:pageBreakBefore w:val="0"/>
        <w:kinsoku/>
        <w:wordWrap/>
        <w:bidi w:val="0"/>
        <w:spacing w:line="560" w:lineRule="exact"/>
        <w:ind w:firstLine="640" w:firstLineChars="200"/>
        <w:rPr>
          <w:rFonts w:hint="eastAsia" w:ascii="仿宋_GB2312" w:hAnsi="方正小标宋简体" w:eastAsia="仿宋_GB2312" w:cs="方正小标宋简体"/>
          <w:color w:val="000000" w:themeColor="text1"/>
          <w:sz w:val="32"/>
          <w:szCs w:val="32"/>
          <w14:textFill>
            <w14:solidFill>
              <w14:schemeClr w14:val="tx1"/>
            </w14:solidFill>
          </w14:textFill>
        </w:rPr>
      </w:pPr>
    </w:p>
    <w:p>
      <w:pPr>
        <w:keepNext w:val="0"/>
        <w:keepLines w:val="0"/>
        <w:pageBreakBefore w:val="0"/>
        <w:kinsoku/>
        <w:wordWrap/>
        <w:bidi w:val="0"/>
        <w:spacing w:line="560" w:lineRule="exact"/>
        <w:ind w:firstLine="640" w:firstLineChars="200"/>
        <w:rPr>
          <w:rFonts w:hint="eastAsia" w:ascii="仿宋_GB2312" w:hAnsi="方正小标宋简体" w:eastAsia="仿宋_GB2312" w:cs="方正小标宋简体"/>
          <w:color w:val="000000" w:themeColor="text1"/>
          <w:sz w:val="32"/>
          <w:szCs w:val="32"/>
          <w14:textFill>
            <w14:solidFill>
              <w14:schemeClr w14:val="tx1"/>
            </w14:solidFill>
          </w14:textFill>
        </w:rPr>
      </w:pPr>
    </w:p>
    <w:p>
      <w:pPr>
        <w:keepNext w:val="0"/>
        <w:keepLines w:val="0"/>
        <w:pageBreakBefore w:val="0"/>
        <w:kinsoku/>
        <w:wordWrap/>
        <w:bidi w:val="0"/>
        <w:spacing w:line="560" w:lineRule="exact"/>
        <w:ind w:firstLine="640" w:firstLineChars="200"/>
        <w:rPr>
          <w:rFonts w:hint="eastAsia" w:ascii="仿宋_GB2312" w:hAnsi="方正小标宋简体" w:eastAsia="仿宋_GB2312" w:cs="方正小标宋简体"/>
          <w:color w:val="000000" w:themeColor="text1"/>
          <w:sz w:val="32"/>
          <w:szCs w:val="32"/>
          <w14:textFill>
            <w14:solidFill>
              <w14:schemeClr w14:val="tx1"/>
            </w14:solidFill>
          </w14:textFill>
        </w:rPr>
      </w:pPr>
    </w:p>
    <w:p>
      <w:pPr>
        <w:keepNext w:val="0"/>
        <w:keepLines w:val="0"/>
        <w:pageBreakBefore w:val="0"/>
        <w:kinsoku/>
        <w:wordWrap/>
        <w:bidi w:val="0"/>
        <w:spacing w:line="560" w:lineRule="exact"/>
        <w:ind w:firstLine="640" w:firstLineChars="200"/>
        <w:rPr>
          <w:rFonts w:hint="eastAsia" w:ascii="仿宋_GB2312" w:hAnsi="方正小标宋简体" w:eastAsia="仿宋_GB2312" w:cs="方正小标宋简体"/>
          <w:color w:val="000000" w:themeColor="text1"/>
          <w:sz w:val="32"/>
          <w:szCs w:val="32"/>
          <w14:textFill>
            <w14:solidFill>
              <w14:schemeClr w14:val="tx1"/>
            </w14:solidFill>
          </w14:textFill>
        </w:rPr>
      </w:pPr>
    </w:p>
    <w:p>
      <w:pPr>
        <w:keepNext w:val="0"/>
        <w:keepLines w:val="0"/>
        <w:pageBreakBefore w:val="0"/>
        <w:kinsoku/>
        <w:wordWrap/>
        <w:bidi w:val="0"/>
        <w:spacing w:line="560" w:lineRule="exact"/>
        <w:ind w:firstLine="640" w:firstLineChars="200"/>
        <w:rPr>
          <w:rFonts w:hint="eastAsia" w:ascii="仿宋_GB2312" w:hAnsi="方正小标宋简体" w:eastAsia="仿宋_GB2312" w:cs="方正小标宋简体"/>
          <w:color w:val="000000" w:themeColor="text1"/>
          <w:sz w:val="32"/>
          <w:szCs w:val="32"/>
          <w14:textFill>
            <w14:solidFill>
              <w14:schemeClr w14:val="tx1"/>
            </w14:solidFill>
          </w14:textFill>
        </w:rPr>
      </w:pPr>
    </w:p>
    <w:p>
      <w:pPr>
        <w:keepNext w:val="0"/>
        <w:keepLines w:val="0"/>
        <w:pageBreakBefore w:val="0"/>
        <w:kinsoku/>
        <w:wordWrap/>
        <w:bidi w:val="0"/>
        <w:spacing w:line="560" w:lineRule="exact"/>
        <w:ind w:firstLine="640" w:firstLineChars="200"/>
        <w:rPr>
          <w:rFonts w:hint="eastAsia" w:ascii="仿宋_GB2312" w:hAnsi="方正小标宋简体" w:eastAsia="仿宋_GB2312" w:cs="方正小标宋简体"/>
          <w:color w:val="000000" w:themeColor="text1"/>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医疗保障政策</w:t>
      </w:r>
      <w:r>
        <w:rPr>
          <w:rFonts w:hint="eastAsia" w:ascii="方正小标宋简体" w:hAnsi="方正小标宋简体" w:eastAsia="方正小标宋简体" w:cs="方正小标宋简体"/>
          <w:sz w:val="44"/>
          <w:szCs w:val="44"/>
          <w:lang w:val="en-US" w:eastAsia="zh-CN"/>
        </w:rPr>
        <w:t>解读</w:t>
      </w:r>
    </w:p>
    <w:p>
      <w:pPr>
        <w:pStyle w:val="2"/>
        <w:keepNext w:val="0"/>
        <w:keepLines w:val="0"/>
        <w:pageBreakBefore w:val="0"/>
        <w:kinsoku/>
        <w:wordWrap/>
        <w:bidi w:val="0"/>
        <w:spacing w:line="560" w:lineRule="exact"/>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一、参保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省市文件要求，困难群众必须做到100%参加城乡居民医疗保险，为确保我县困难群众100%的参保。需要各乡镇和相关县直部门紧密的协作：医保部门的主要职责是对参保缴费情况动态监测，每月根据民政、乡村振兴包括残联提供的重点人群数据进行对比，实现人员身份和参保状态信息同步，建立台账。加强宣传和动员参保。分类向属地乡镇和税务及乡村振兴、民政、残联推送未缴费人员信息，协助属地乡镇、税务等部门督促重点监测人员参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2023年度</w:t>
      </w:r>
      <w:r>
        <w:rPr>
          <w:rFonts w:hint="eastAsia" w:ascii="仿宋_GB2312" w:hAnsi="仿宋_GB2312" w:eastAsia="仿宋_GB2312" w:cs="仿宋_GB2312"/>
          <w:color w:val="000000"/>
          <w:kern w:val="0"/>
          <w:sz w:val="32"/>
          <w:szCs w:val="32"/>
          <w:lang w:val="en-US" w:eastAsia="zh-CN"/>
        </w:rPr>
        <w:t>确保困难群众应保尽保，困难群众依法参加基本医疗保险，按规定享有三重制度保障权益。根据豫财社【2022】211号文件要求，对参加我省居民基本医保的</w:t>
      </w:r>
      <w:r>
        <w:rPr>
          <w:rFonts w:hint="eastAsia" w:ascii="仿宋" w:hAnsi="仿宋" w:eastAsia="仿宋" w:cs="仿宋"/>
          <w:sz w:val="32"/>
          <w:szCs w:val="32"/>
          <w:lang w:val="en-US" w:eastAsia="zh-CN"/>
        </w:rPr>
        <w:t>低保对象、低保边缘人口、监测对象（含脱贫不稳定户、边缘易致贫户、突发严重困难户）等困难群众在集中征缴期内参加2023年城乡居民基本医疗保险的，按350元/人的标准</w:t>
      </w:r>
      <w:r>
        <w:rPr>
          <w:rFonts w:hint="eastAsia" w:ascii="仿宋_GB2312" w:hAnsi="仿宋_GB2312" w:eastAsia="仿宋_GB2312" w:cs="仿宋_GB2312"/>
          <w:color w:val="000000"/>
          <w:kern w:val="0"/>
          <w:sz w:val="32"/>
          <w:szCs w:val="32"/>
          <w:lang w:val="en-US" w:eastAsia="zh-CN"/>
        </w:rPr>
        <w:t>给予一次性</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全额资助(以后的资助金额需根据当年省市文件要求进行资助)，这里</w:t>
      </w:r>
      <w:r>
        <w:rPr>
          <w:rFonts w:hint="eastAsia" w:ascii="仿宋_GB2312" w:hAnsi="仿宋_GB2312" w:eastAsia="仿宋_GB2312" w:cs="仿宋_GB2312"/>
          <w:sz w:val="32"/>
          <w:szCs w:val="32"/>
          <w:lang w:val="en-US" w:eastAsia="zh-CN"/>
        </w:rPr>
        <w:t>要注意一个细节，不是随时被认定的困难群众都可以享受资助。原则上是医保费集中征缴期结束后被认定的，当年不享受。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三、医保报销待遇</w:t>
      </w:r>
    </w:p>
    <w:p>
      <w:pPr>
        <w:keepNext w:val="0"/>
        <w:keepLines w:val="0"/>
        <w:pageBreakBefore w:val="0"/>
        <w:widowControl w:val="0"/>
        <w:numPr>
          <w:ilvl w:val="0"/>
          <w:numId w:val="0"/>
        </w:numPr>
        <w:shd w:val="clear" w:color="auto" w:fill="auto"/>
        <w:kinsoku/>
        <w:wordWrap/>
        <w:topLinePunct/>
        <w:bidi w:val="0"/>
        <w:adjustRightInd/>
        <w:snapToGrid/>
        <w:spacing w:before="0" w:after="0" w:line="560" w:lineRule="exact"/>
        <w:ind w:left="0" w:leftChars="0" w:right="0" w:firstLine="600" w:firstLineChars="200"/>
        <w:jc w:val="both"/>
        <w:textAlignment w:val="top"/>
        <w:outlineLvl w:val="9"/>
        <w:rPr>
          <w:rFonts w:hint="eastAsia" w:ascii="仿宋_GB2312" w:hAnsi="仿宋_GB2312" w:eastAsia="仿宋_GB2312" w:cs="仿宋_GB2312"/>
          <w:color w:val="auto"/>
          <w:sz w:val="30"/>
          <w:szCs w:val="30"/>
          <w:highlight w:val="none"/>
        </w:rPr>
      </w:pPr>
      <w:r>
        <w:rPr>
          <w:rFonts w:hint="eastAsia" w:ascii="黑体" w:hAnsi="黑体" w:eastAsia="黑体" w:cs="黑体"/>
          <w:color w:val="auto"/>
          <w:sz w:val="30"/>
          <w:szCs w:val="30"/>
          <w:highlight w:val="none"/>
          <w:lang w:val="en-US" w:eastAsia="zh-CN"/>
        </w:rPr>
        <w:t xml:space="preserve"> </w:t>
      </w:r>
      <w:r>
        <w:rPr>
          <w:rFonts w:hint="eastAsia" w:ascii="仿宋_GB2312" w:hAnsi="仿宋_GB2312" w:eastAsia="仿宋_GB2312" w:cs="仿宋_GB2312"/>
          <w:color w:val="auto"/>
          <w:sz w:val="30"/>
          <w:szCs w:val="30"/>
          <w:highlight w:val="none"/>
        </w:rPr>
        <w:t>城乡居民基本医疗保险待遇包括普通门诊</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含家庭/个人账户和门诊统筹</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医疗待遇、门诊慢性病医疗待遇、重特大疾病医疗待遇和住院医疗待遇。</w:t>
      </w:r>
    </w:p>
    <w:p>
      <w:pPr>
        <w:keepNext w:val="0"/>
        <w:keepLines w:val="0"/>
        <w:pageBreakBefore w:val="0"/>
        <w:widowControl w:val="0"/>
        <w:kinsoku/>
        <w:wordWrap/>
        <w:overflowPunct/>
        <w:topLinePunct/>
        <w:autoSpaceDE/>
        <w:autoSpaceDN/>
        <w:bidi w:val="0"/>
        <w:adjustRightInd/>
        <w:snapToGrid/>
        <w:spacing w:line="560" w:lineRule="exact"/>
        <w:ind w:left="0" w:right="0" w:firstLine="602" w:firstLineChars="200"/>
        <w:textAlignment w:val="top"/>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0"/>
          <w:szCs w:val="30"/>
          <w:highlight w:val="none"/>
          <w:lang w:val="en-US" w:eastAsia="zh-CN"/>
        </w:rPr>
        <w:t>1.</w:t>
      </w:r>
      <w:r>
        <w:rPr>
          <w:rFonts w:hint="eastAsia" w:ascii="楷体_GB2312" w:hAnsi="楷体_GB2312" w:eastAsia="楷体_GB2312" w:cs="楷体_GB2312"/>
          <w:b/>
          <w:bCs/>
          <w:color w:val="auto"/>
          <w:sz w:val="30"/>
          <w:szCs w:val="30"/>
          <w:highlight w:val="none"/>
          <w:lang w:val="en-US" w:eastAsia="zh-CN" w:bidi="ar-SA"/>
        </w:rPr>
        <w:t>门诊统筹</w:t>
      </w:r>
      <w:r>
        <w:rPr>
          <w:rFonts w:hint="eastAsia" w:ascii="楷体_GB2312" w:hAnsi="楷体_GB2312" w:eastAsia="楷体_GB2312" w:cs="楷体_GB2312"/>
          <w:b/>
          <w:bCs/>
          <w:color w:val="auto"/>
          <w:sz w:val="30"/>
          <w:szCs w:val="30"/>
          <w:highlight w:val="none"/>
        </w:rPr>
        <w:t>。</w:t>
      </w:r>
      <w:r>
        <w:rPr>
          <w:rFonts w:hint="eastAsia" w:ascii="仿宋_GB2312" w:hAnsi="仿宋_GB2312" w:eastAsia="仿宋_GB2312" w:cs="仿宋_GB2312"/>
          <w:sz w:val="32"/>
          <w:szCs w:val="32"/>
          <w:lang w:val="en-US" w:eastAsia="zh-CN"/>
        </w:rPr>
        <w:t>以前是个人帐户，2020年1月1日起，取消了往个人帐户分配钱的政策，转换成了门诊统筹。但是</w:t>
      </w:r>
      <w:r>
        <w:rPr>
          <w:rFonts w:hint="eastAsia" w:ascii="仿宋_GB2312" w:hAnsi="仿宋_GB2312" w:eastAsia="仿宋_GB2312" w:cs="仿宋_GB2312"/>
          <w:color w:val="auto"/>
          <w:sz w:val="32"/>
          <w:szCs w:val="32"/>
        </w:rPr>
        <w:t>原个人（家庭）账户余额已转移至户主账户上，可继续在定点医疗机构使用。</w:t>
      </w:r>
      <w:r>
        <w:rPr>
          <w:rFonts w:hint="eastAsia" w:ascii="仿宋_GB2312" w:hAnsi="仿宋_GB2312" w:eastAsia="仿宋_GB2312" w:cs="仿宋_GB2312"/>
          <w:sz w:val="32"/>
          <w:szCs w:val="32"/>
          <w:lang w:val="en-US" w:eastAsia="zh-CN"/>
        </w:rPr>
        <w:t>也就是参保群众平常感冒发烧等小病，可以就近在村诊所（村诊所目前现状，一般诊疗费，基药补助）、</w:t>
      </w:r>
      <w:r>
        <w:rPr>
          <w:rFonts w:hint="eastAsia" w:ascii="仿宋_GB2312" w:hAnsi="仿宋_GB2312" w:eastAsia="仿宋_GB2312" w:cs="仿宋_GB2312"/>
          <w:color w:val="auto"/>
          <w:sz w:val="30"/>
          <w:szCs w:val="30"/>
          <w:highlight w:val="none"/>
        </w:rPr>
        <w:t>参保人员在</w:t>
      </w:r>
      <w:r>
        <w:rPr>
          <w:rFonts w:hint="eastAsia" w:ascii="仿宋_GB2312" w:hAnsi="仿宋_GB2312" w:eastAsia="仿宋_GB2312" w:cs="仿宋_GB2312"/>
          <w:color w:val="auto"/>
          <w:sz w:val="30"/>
          <w:szCs w:val="30"/>
          <w:highlight w:val="none"/>
          <w:lang w:val="en-US" w:eastAsia="zh-CN"/>
        </w:rPr>
        <w:t>开展基本药物零差价的</w:t>
      </w:r>
      <w:r>
        <w:rPr>
          <w:rFonts w:hint="eastAsia" w:ascii="仿宋_GB2312" w:hAnsi="仿宋_GB2312" w:eastAsia="仿宋_GB2312" w:cs="仿宋_GB2312"/>
          <w:color w:val="auto"/>
          <w:sz w:val="30"/>
          <w:szCs w:val="30"/>
          <w:highlight w:val="none"/>
        </w:rPr>
        <w:t>乡镇卫生院（社区卫生服务中心）及定点村卫生所（社区卫生服务站）门诊就医，门诊合规费用门诊统筹按照50%的比例进行报销，一个自然年度内个人封顶线为300元</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rPr>
        <w:t>高血压年度增加150元限额，糖尿病年度增加170元限额，若同时患有高血压和糖尿病，则年度增加200元限额。</w:t>
      </w:r>
    </w:p>
    <w:p>
      <w:pPr>
        <w:keepNext w:val="0"/>
        <w:keepLines w:val="0"/>
        <w:pageBreakBefore w:val="0"/>
        <w:widowControl w:val="0"/>
        <w:numPr>
          <w:ilvl w:val="0"/>
          <w:numId w:val="0"/>
        </w:numPr>
        <w:shd w:val="clear" w:color="auto" w:fill="auto"/>
        <w:kinsoku/>
        <w:wordWrap/>
        <w:topLinePunct/>
        <w:bidi w:val="0"/>
        <w:adjustRightInd/>
        <w:snapToGrid/>
        <w:spacing w:before="0" w:after="0" w:line="560" w:lineRule="exact"/>
        <w:ind w:right="0" w:firstLine="602" w:firstLineChars="200"/>
        <w:jc w:val="both"/>
        <w:textAlignment w:val="top"/>
        <w:outlineLvl w:val="9"/>
        <w:rPr>
          <w:rFonts w:hint="eastAsia" w:ascii="仿宋_GB2312" w:hAnsi="仿宋_GB2312" w:eastAsia="仿宋_GB2312" w:cs="仿宋_GB2312"/>
          <w:color w:val="auto"/>
          <w:sz w:val="30"/>
          <w:szCs w:val="30"/>
          <w:highlight w:val="none"/>
          <w:lang w:val="en-US" w:eastAsia="zh-CN"/>
        </w:rPr>
      </w:pPr>
      <w:r>
        <w:rPr>
          <w:rFonts w:hint="eastAsia" w:ascii="楷体_GB2312" w:hAnsi="楷体_GB2312" w:eastAsia="楷体_GB2312" w:cs="楷体_GB2312"/>
          <w:b/>
          <w:bCs/>
          <w:color w:val="auto"/>
          <w:sz w:val="30"/>
          <w:szCs w:val="30"/>
          <w:highlight w:val="none"/>
          <w:lang w:val="en-US" w:eastAsia="zh-CN"/>
        </w:rPr>
        <w:t>2.门诊慢性病。</w:t>
      </w:r>
      <w:r>
        <w:rPr>
          <w:rFonts w:hint="eastAsia" w:ascii="仿宋_GB2312" w:hAnsi="仿宋_GB2312" w:eastAsia="仿宋_GB2312" w:cs="仿宋_GB2312"/>
          <w:color w:val="auto"/>
          <w:sz w:val="30"/>
          <w:szCs w:val="30"/>
          <w:highlight w:val="none"/>
          <w:lang w:val="en-US" w:eastAsia="zh-CN" w:bidi="ar-SA"/>
        </w:rPr>
        <w:t>目前我市城乡居民19种门诊慢性病，实行随时申请、随时受理、随时鉴定。</w:t>
      </w:r>
    </w:p>
    <w:p>
      <w:pPr>
        <w:keepNext w:val="0"/>
        <w:keepLines w:val="0"/>
        <w:pageBreakBefore w:val="0"/>
        <w:widowControl w:val="0"/>
        <w:shd w:val="clear" w:color="040000" w:fill="auto"/>
        <w:kinsoku/>
        <w:wordWrap/>
        <w:topLinePunct/>
        <w:bidi w:val="0"/>
        <w:adjustRightInd/>
        <w:snapToGrid/>
        <w:spacing w:before="0" w:after="0" w:line="560" w:lineRule="exact"/>
        <w:ind w:left="0" w:leftChars="0" w:right="0" w:firstLine="600" w:firstLineChars="200"/>
        <w:jc w:val="both"/>
        <w:textAlignment w:val="top"/>
        <w:outlineLvl w:val="9"/>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bidi="ar-SA"/>
        </w:rPr>
        <w:t>参保居民通过慢性病鉴定后，发生的符合门诊慢性病病种的门诊医疗费用不设起付线（门槛费），按照65%的比例报销，实行定点治疗、限额管理。</w:t>
      </w:r>
    </w:p>
    <w:p>
      <w:pPr>
        <w:keepNext w:val="0"/>
        <w:keepLines w:val="0"/>
        <w:pageBreakBefore w:val="0"/>
        <w:widowControl w:val="0"/>
        <w:shd w:val="clear" w:color="040000" w:fill="auto"/>
        <w:kinsoku/>
        <w:wordWrap/>
        <w:topLinePunct/>
        <w:bidi w:val="0"/>
        <w:adjustRightInd/>
        <w:snapToGrid/>
        <w:spacing w:before="0" w:after="0" w:line="560" w:lineRule="exact"/>
        <w:ind w:left="0" w:leftChars="0" w:right="0" w:firstLine="600" w:firstLineChars="200"/>
        <w:jc w:val="both"/>
        <w:textAlignment w:val="top"/>
        <w:outlineLvl w:val="9"/>
        <w:rPr>
          <w:rFonts w:hint="eastAsia" w:ascii="仿宋_GB2312" w:hAnsi="仿宋_GB2312" w:eastAsia="仿宋_GB2312" w:cs="仿宋_GB2312"/>
          <w:color w:val="auto"/>
          <w:sz w:val="30"/>
          <w:szCs w:val="30"/>
          <w:highlight w:val="none"/>
          <w:lang w:val="en-US" w:eastAsia="zh-CN" w:bidi="ar-SA"/>
        </w:rPr>
      </w:pPr>
      <w:r>
        <w:rPr>
          <w:rFonts w:hint="eastAsia" w:ascii="仿宋_GB2312" w:hAnsi="仿宋_GB2312" w:eastAsia="仿宋_GB2312" w:cs="仿宋_GB2312"/>
          <w:color w:val="auto"/>
          <w:sz w:val="30"/>
          <w:szCs w:val="30"/>
          <w:highlight w:val="none"/>
          <w:lang w:val="en-US" w:eastAsia="zh-CN"/>
        </w:rPr>
        <w:t>实行“长处方”报销政策。在待遇享受期内，根据病情需要，经诊治医生评估后，患者用药量可放宽至3个月。特殊情况下，办理异地安置的参保人员在就医地每月可带最长不超过6个月的慢性病用药。</w:t>
      </w:r>
    </w:p>
    <w:p>
      <w:pPr>
        <w:keepNext w:val="0"/>
        <w:keepLines w:val="0"/>
        <w:pageBreakBefore w:val="0"/>
        <w:widowControl w:val="0"/>
        <w:numPr>
          <w:ilvl w:val="0"/>
          <w:numId w:val="0"/>
        </w:numPr>
        <w:shd w:val="clear" w:color="auto" w:fill="auto"/>
        <w:kinsoku/>
        <w:wordWrap/>
        <w:topLinePunct/>
        <w:bidi w:val="0"/>
        <w:adjustRightInd/>
        <w:snapToGrid/>
        <w:spacing w:before="0" w:after="0" w:line="560" w:lineRule="exact"/>
        <w:ind w:left="0" w:leftChars="0" w:right="0" w:firstLine="600" w:firstLineChars="200"/>
        <w:jc w:val="both"/>
        <w:textAlignment w:val="top"/>
        <w:outlineLvl w:val="9"/>
        <w:rPr>
          <w:rFonts w:hint="eastAsia" w:ascii="仿宋_GB2312" w:hAnsi="仿宋_GB2312" w:eastAsia="仿宋_GB2312" w:cs="仿宋_GB2312"/>
          <w:color w:val="auto"/>
          <w:sz w:val="30"/>
          <w:szCs w:val="30"/>
          <w:highlight w:val="none"/>
          <w:lang w:val="en-US" w:eastAsia="zh-CN" w:bidi="ar-SA"/>
        </w:rPr>
      </w:pPr>
      <w:r>
        <w:rPr>
          <w:rFonts w:hint="eastAsia" w:ascii="仿宋_GB2312" w:hAnsi="仿宋_GB2312" w:eastAsia="仿宋_GB2312" w:cs="仿宋_GB2312"/>
          <w:color w:val="auto"/>
          <w:sz w:val="30"/>
          <w:szCs w:val="30"/>
          <w:highlight w:val="none"/>
          <w:lang w:val="en-US" w:eastAsia="zh-CN" w:bidi="ar-SA"/>
        </w:rPr>
        <w:t>19种门诊慢性病病种：恶性肿瘤、异体器官移植、肺结核、精神病、丙肝、肝硬化（肝硬化失代偿期）、系统性红斑狼疮、类风湿性关节炎、Ⅱ型糖尿病伴多并发症、帕金森氏病或帕金森氏综合症（合并有脑血管病）、肾病综合征、Ⅱ期及以上高血压病、冠心病（非隐匿型）、急性脑血管病后遗症、强直性脊柱炎、慢性阻塞性肺疾病、肺心病、癫痫、艾滋病抗机会性感染。</w:t>
      </w:r>
    </w:p>
    <w:p>
      <w:pPr>
        <w:keepNext w:val="0"/>
        <w:keepLines w:val="0"/>
        <w:pageBreakBefore w:val="0"/>
        <w:widowControl w:val="0"/>
        <w:kinsoku/>
        <w:wordWrap/>
        <w:overflowPunct/>
        <w:topLinePunct/>
        <w:autoSpaceDE/>
        <w:autoSpaceDN/>
        <w:bidi w:val="0"/>
        <w:adjustRightInd/>
        <w:snapToGrid/>
        <w:spacing w:before="0" w:beforeAutospacing="0" w:after="0" w:afterAutospacing="0" w:line="560" w:lineRule="exact"/>
        <w:ind w:left="0" w:right="0" w:firstLine="602" w:firstLineChars="200"/>
        <w:jc w:val="both"/>
        <w:textAlignment w:val="top"/>
        <w:rPr>
          <w:rFonts w:hint="eastAsia" w:ascii="仿宋_GB2312" w:hAnsi="仿宋_GB2312" w:eastAsia="仿宋_GB2312" w:cs="仿宋_GB2312"/>
          <w:b w:val="0"/>
          <w:i w:val="0"/>
          <w:caps w:val="0"/>
          <w:color w:val="auto"/>
          <w:spacing w:val="0"/>
          <w:w w:val="100"/>
          <w:sz w:val="32"/>
          <w:szCs w:val="32"/>
        </w:rPr>
      </w:pPr>
      <w:r>
        <w:rPr>
          <w:rFonts w:hint="eastAsia" w:ascii="楷体_GB2312" w:hAnsi="楷体_GB2312" w:eastAsia="楷体_GB2312" w:cs="楷体_GB2312"/>
          <w:b/>
          <w:bCs/>
          <w:color w:val="auto"/>
          <w:sz w:val="30"/>
          <w:szCs w:val="30"/>
          <w:highlight w:val="none"/>
          <w:lang w:val="en-US" w:eastAsia="zh-CN"/>
        </w:rPr>
        <w:t>3.重特大疾病。</w:t>
      </w:r>
      <w:r>
        <w:rPr>
          <w:rFonts w:hint="eastAsia" w:ascii="仿宋_GB2312" w:hAnsi="仿宋_GB2312" w:eastAsia="仿宋_GB2312" w:cs="仿宋_GB2312"/>
          <w:b w:val="0"/>
          <w:i w:val="0"/>
          <w:caps w:val="0"/>
          <w:color w:val="auto"/>
          <w:spacing w:val="0"/>
          <w:w w:val="100"/>
          <w:sz w:val="32"/>
          <w:szCs w:val="32"/>
        </w:rPr>
        <w:t>为提高参保居民重特大疾病保障待遇水平，我省将儿童急性淋巴细胞白血病、唇裂、乳腺癌等33种诊断明确、治疗规范、疗效确定的病种纳入重特大疾病住院病种，治疗重特大疾病发生的医疗费用不设起付标准，住院病种在限价标准内的医疗费用由城乡居民基本医疗保险统筹基金按比例支付，县级、市级、省级医疗机构的支付比例分别为80%、70%、65%；其超出限价标准的医疗费用由定点医疗机构承担。随着门诊特药不断纳入医保目录，目前有5个门诊病种纳入重特大疾病管理，分别是：终末期肾病、I型糖尿病、甲状腺机能亢进、耐多药肺结核、再生障碍性贫血。限额标准内符合规定的门诊医疗费用纳入基本医疗保险统筹基金支付范围，其中终末期肾病透析治疗支付比例为85%，其余病种支付比例为80%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rPr>
        <w:t>4.住院。</w:t>
      </w:r>
      <w:r>
        <w:rPr>
          <w:rFonts w:hint="eastAsia" w:ascii="仿宋_GB2312" w:hAnsi="仿宋_GB2312" w:eastAsia="仿宋_GB2312" w:cs="仿宋_GB2312"/>
          <w:color w:val="auto"/>
          <w:sz w:val="32"/>
          <w:szCs w:val="32"/>
          <w:highlight w:val="none"/>
          <w:lang w:val="en-US" w:eastAsia="zh-CN" w:bidi="ar-SA"/>
        </w:rPr>
        <w:t>参加城乡居民基本医疗保险的人员住院时，根据定点医疗机构级别，医疗费用超过200-2000元起付线的，按照50-90%比例分级分段报销。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生育保险</w:t>
      </w:r>
      <w:r>
        <w:rPr>
          <w:rFonts w:hint="eastAsia" w:ascii="仿宋_GB2312" w:hAnsi="仿宋_GB2312" w:eastAsia="仿宋_GB2312" w:cs="仿宋_GB2312"/>
          <w:sz w:val="32"/>
          <w:szCs w:val="32"/>
          <w:lang w:val="en-US" w:eastAsia="zh-CN"/>
        </w:rPr>
        <w:t>：国家的医保政策并不是生病了才能享受医保待遇，生育也是可以享受的，自然分娩600元，剖宫产1600元。</w:t>
      </w:r>
    </w:p>
    <w:p>
      <w:pPr>
        <w:keepNext w:val="0"/>
        <w:keepLines w:val="0"/>
        <w:pageBreakBefore w:val="0"/>
        <w:widowControl w:val="0"/>
        <w:numPr>
          <w:ilvl w:val="0"/>
          <w:numId w:val="0"/>
        </w:numPr>
        <w:shd w:val="clear" w:color="auto" w:fill="auto"/>
        <w:kinsoku/>
        <w:wordWrap/>
        <w:topLinePunct/>
        <w:bidi w:val="0"/>
        <w:adjustRightInd/>
        <w:snapToGrid/>
        <w:spacing w:before="0" w:after="0" w:line="560" w:lineRule="exact"/>
        <w:ind w:right="0" w:firstLine="320" w:firstLineChars="100"/>
        <w:jc w:val="both"/>
        <w:textAlignment w:val="top"/>
        <w:outlineLvl w:val="9"/>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出院时年满80周岁以上的老人，住院报销比例在现行政策的基础上提高5个百分点。14周岁以下（含14周岁）的参保居民住院起付标准相应降低50%。</w:t>
      </w:r>
    </w:p>
    <w:tbl>
      <w:tblPr>
        <w:tblStyle w:val="10"/>
        <w:tblW w:w="9038" w:type="dxa"/>
        <w:jc w:val="center"/>
        <w:tblLayout w:type="fixed"/>
        <w:tblCellMar>
          <w:top w:w="0" w:type="dxa"/>
          <w:left w:w="0" w:type="dxa"/>
          <w:bottom w:w="0" w:type="dxa"/>
          <w:right w:w="0" w:type="dxa"/>
        </w:tblCellMar>
      </w:tblPr>
      <w:tblGrid>
        <w:gridCol w:w="989"/>
        <w:gridCol w:w="3107"/>
        <w:gridCol w:w="1835"/>
        <w:gridCol w:w="3107"/>
      </w:tblGrid>
      <w:tr>
        <w:tblPrEx>
          <w:tblCellMar>
            <w:top w:w="0" w:type="dxa"/>
            <w:left w:w="0" w:type="dxa"/>
            <w:bottom w:w="0" w:type="dxa"/>
            <w:right w:w="0" w:type="dxa"/>
          </w:tblCellMar>
        </w:tblPrEx>
        <w:trPr>
          <w:trHeight w:val="1329" w:hRule="atLeast"/>
          <w:jc w:val="center"/>
        </w:trPr>
        <w:tc>
          <w:tcPr>
            <w:tcW w:w="98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乡级</w:t>
            </w:r>
          </w:p>
        </w:tc>
        <w:tc>
          <w:tcPr>
            <w:tcW w:w="310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乡镇卫生院</w:t>
            </w:r>
            <w:r>
              <w:rPr>
                <w:rFonts w:hint="eastAsia" w:ascii="宋体" w:hAnsi="宋体" w:cs="宋体"/>
                <w:color w:val="auto"/>
                <w:kern w:val="0"/>
                <w:sz w:val="24"/>
                <w:szCs w:val="24"/>
              </w:rPr>
              <w:br w:type="textWrapping"/>
            </w:r>
            <w:r>
              <w:rPr>
                <w:rFonts w:hint="eastAsia" w:ascii="宋体" w:hAnsi="宋体" w:cs="宋体"/>
                <w:color w:val="auto"/>
                <w:kern w:val="0"/>
                <w:sz w:val="24"/>
                <w:szCs w:val="24"/>
              </w:rPr>
              <w:t>(社区医疗机构）</w:t>
            </w:r>
          </w:p>
        </w:tc>
        <w:tc>
          <w:tcPr>
            <w:tcW w:w="183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200</w:t>
            </w:r>
          </w:p>
        </w:tc>
        <w:tc>
          <w:tcPr>
            <w:tcW w:w="310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200—1000元75％</w:t>
            </w:r>
            <w:r>
              <w:rPr>
                <w:rFonts w:hint="eastAsia" w:ascii="宋体" w:hAnsi="宋体" w:cs="宋体"/>
                <w:color w:val="auto"/>
                <w:kern w:val="0"/>
                <w:sz w:val="24"/>
                <w:szCs w:val="24"/>
              </w:rPr>
              <w:br w:type="textWrapping"/>
            </w:r>
            <w:r>
              <w:rPr>
                <w:rFonts w:hint="eastAsia" w:ascii="宋体" w:hAnsi="宋体" w:cs="宋体"/>
                <w:color w:val="auto"/>
                <w:kern w:val="0"/>
                <w:sz w:val="24"/>
                <w:szCs w:val="24"/>
              </w:rPr>
              <w:t>1000-2000元80％</w:t>
            </w:r>
          </w:p>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2000元以上为90%</w:t>
            </w:r>
          </w:p>
        </w:tc>
      </w:tr>
      <w:tr>
        <w:tblPrEx>
          <w:tblCellMar>
            <w:top w:w="0" w:type="dxa"/>
            <w:left w:w="0" w:type="dxa"/>
            <w:bottom w:w="0" w:type="dxa"/>
            <w:right w:w="0" w:type="dxa"/>
          </w:tblCellMar>
        </w:tblPrEx>
        <w:trPr>
          <w:trHeight w:val="1329" w:hRule="atLeast"/>
          <w:jc w:val="center"/>
        </w:trPr>
        <w:tc>
          <w:tcPr>
            <w:tcW w:w="98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县级</w:t>
            </w:r>
          </w:p>
        </w:tc>
        <w:tc>
          <w:tcPr>
            <w:tcW w:w="310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二级或相当规模以下</w:t>
            </w:r>
            <w:r>
              <w:rPr>
                <w:rFonts w:hint="eastAsia" w:ascii="宋体" w:hAnsi="宋体" w:cs="宋体"/>
                <w:color w:val="auto"/>
                <w:kern w:val="0"/>
                <w:sz w:val="24"/>
                <w:szCs w:val="24"/>
              </w:rPr>
              <w:br w:type="textWrapping"/>
            </w:r>
            <w:r>
              <w:rPr>
                <w:rFonts w:hint="eastAsia" w:ascii="宋体" w:hAnsi="宋体" w:cs="宋体"/>
                <w:color w:val="auto"/>
                <w:kern w:val="0"/>
                <w:sz w:val="24"/>
                <w:szCs w:val="24"/>
              </w:rPr>
              <w:t>(含二级）医院</w:t>
            </w:r>
          </w:p>
        </w:tc>
        <w:tc>
          <w:tcPr>
            <w:tcW w:w="183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500</w:t>
            </w:r>
          </w:p>
        </w:tc>
        <w:tc>
          <w:tcPr>
            <w:tcW w:w="310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500—1500元63％</w:t>
            </w:r>
            <w:r>
              <w:rPr>
                <w:rFonts w:hint="eastAsia" w:ascii="宋体" w:hAnsi="宋体" w:cs="宋体"/>
                <w:color w:val="auto"/>
                <w:kern w:val="0"/>
                <w:sz w:val="24"/>
                <w:szCs w:val="24"/>
              </w:rPr>
              <w:br w:type="textWrapping"/>
            </w:r>
            <w:r>
              <w:rPr>
                <w:rFonts w:hint="eastAsia" w:ascii="宋体" w:hAnsi="宋体" w:cs="宋体"/>
                <w:color w:val="auto"/>
                <w:kern w:val="0"/>
                <w:sz w:val="24"/>
                <w:szCs w:val="24"/>
              </w:rPr>
              <w:t>1500-5000元73%</w:t>
            </w:r>
          </w:p>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5000元以上85％</w:t>
            </w:r>
          </w:p>
        </w:tc>
      </w:tr>
      <w:tr>
        <w:tblPrEx>
          <w:tblCellMar>
            <w:top w:w="0" w:type="dxa"/>
            <w:left w:w="0" w:type="dxa"/>
            <w:bottom w:w="0" w:type="dxa"/>
            <w:right w:w="0" w:type="dxa"/>
          </w:tblCellMar>
        </w:tblPrEx>
        <w:trPr>
          <w:trHeight w:val="1329" w:hRule="atLeast"/>
          <w:jc w:val="center"/>
        </w:trPr>
        <w:tc>
          <w:tcPr>
            <w:tcW w:w="98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市级</w:t>
            </w:r>
          </w:p>
        </w:tc>
        <w:tc>
          <w:tcPr>
            <w:tcW w:w="310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二级或相当规模以下</w:t>
            </w:r>
            <w:r>
              <w:rPr>
                <w:rFonts w:hint="eastAsia" w:ascii="宋体" w:hAnsi="宋体" w:cs="宋体"/>
                <w:color w:val="auto"/>
                <w:kern w:val="0"/>
                <w:sz w:val="24"/>
                <w:szCs w:val="24"/>
              </w:rPr>
              <w:br w:type="textWrapping"/>
            </w:r>
            <w:r>
              <w:rPr>
                <w:rFonts w:hint="eastAsia" w:ascii="宋体" w:hAnsi="宋体" w:cs="宋体"/>
                <w:color w:val="auto"/>
                <w:kern w:val="0"/>
                <w:sz w:val="24"/>
                <w:szCs w:val="24"/>
              </w:rPr>
              <w:t>(含二级）医院</w:t>
            </w:r>
          </w:p>
        </w:tc>
        <w:tc>
          <w:tcPr>
            <w:tcW w:w="183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600</w:t>
            </w:r>
          </w:p>
        </w:tc>
        <w:tc>
          <w:tcPr>
            <w:tcW w:w="310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600—3000元55％</w:t>
            </w:r>
            <w:r>
              <w:rPr>
                <w:rFonts w:hint="eastAsia" w:ascii="宋体" w:hAnsi="宋体" w:cs="宋体"/>
                <w:color w:val="auto"/>
                <w:kern w:val="0"/>
                <w:sz w:val="24"/>
                <w:szCs w:val="24"/>
              </w:rPr>
              <w:br w:type="textWrapping"/>
            </w:r>
            <w:r>
              <w:rPr>
                <w:rFonts w:hint="eastAsia" w:ascii="宋体" w:hAnsi="宋体" w:cs="宋体"/>
                <w:color w:val="auto"/>
                <w:kern w:val="0"/>
                <w:sz w:val="24"/>
                <w:szCs w:val="24"/>
              </w:rPr>
              <w:t>3000元-6000元65%</w:t>
            </w:r>
          </w:p>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6000元以上75％</w:t>
            </w:r>
          </w:p>
        </w:tc>
      </w:tr>
      <w:tr>
        <w:tblPrEx>
          <w:tblCellMar>
            <w:top w:w="0" w:type="dxa"/>
            <w:left w:w="0" w:type="dxa"/>
            <w:bottom w:w="0" w:type="dxa"/>
            <w:right w:w="0" w:type="dxa"/>
          </w:tblCellMar>
        </w:tblPrEx>
        <w:trPr>
          <w:trHeight w:val="1329" w:hRule="atLeast"/>
          <w:jc w:val="center"/>
        </w:trPr>
        <w:tc>
          <w:tcPr>
            <w:tcW w:w="98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市级</w:t>
            </w:r>
          </w:p>
        </w:tc>
        <w:tc>
          <w:tcPr>
            <w:tcW w:w="310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三级医院</w:t>
            </w:r>
          </w:p>
        </w:tc>
        <w:tc>
          <w:tcPr>
            <w:tcW w:w="183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1200</w:t>
            </w:r>
          </w:p>
        </w:tc>
        <w:tc>
          <w:tcPr>
            <w:tcW w:w="310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1200—4000元53％</w:t>
            </w:r>
            <w:r>
              <w:rPr>
                <w:rFonts w:hint="eastAsia" w:ascii="宋体" w:hAnsi="宋体" w:cs="宋体"/>
                <w:color w:val="auto"/>
                <w:kern w:val="0"/>
                <w:sz w:val="24"/>
                <w:szCs w:val="24"/>
              </w:rPr>
              <w:br w:type="textWrapping"/>
            </w:r>
            <w:r>
              <w:rPr>
                <w:rFonts w:hint="eastAsia" w:ascii="宋体" w:hAnsi="宋体" w:cs="宋体"/>
                <w:color w:val="auto"/>
                <w:kern w:val="0"/>
                <w:sz w:val="24"/>
                <w:szCs w:val="24"/>
              </w:rPr>
              <w:t>4000元-9000元65%</w:t>
            </w:r>
          </w:p>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9000元以上75％</w:t>
            </w:r>
          </w:p>
        </w:tc>
      </w:tr>
      <w:tr>
        <w:tblPrEx>
          <w:tblCellMar>
            <w:top w:w="0" w:type="dxa"/>
            <w:left w:w="0" w:type="dxa"/>
            <w:bottom w:w="0" w:type="dxa"/>
            <w:right w:w="0" w:type="dxa"/>
          </w:tblCellMar>
        </w:tblPrEx>
        <w:trPr>
          <w:trHeight w:val="893" w:hRule="atLeast"/>
          <w:jc w:val="center"/>
        </w:trPr>
        <w:tc>
          <w:tcPr>
            <w:tcW w:w="989" w:type="dxa"/>
            <w:vMerge w:val="restar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省级</w:t>
            </w:r>
          </w:p>
        </w:tc>
        <w:tc>
          <w:tcPr>
            <w:tcW w:w="310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二级或相当规模以下</w:t>
            </w:r>
            <w:r>
              <w:rPr>
                <w:rFonts w:hint="eastAsia" w:ascii="宋体" w:hAnsi="宋体" w:cs="宋体"/>
                <w:color w:val="auto"/>
                <w:kern w:val="0"/>
                <w:sz w:val="24"/>
                <w:szCs w:val="24"/>
              </w:rPr>
              <w:br w:type="textWrapping"/>
            </w:r>
            <w:r>
              <w:rPr>
                <w:rFonts w:hint="eastAsia" w:ascii="宋体" w:hAnsi="宋体" w:cs="宋体"/>
                <w:color w:val="auto"/>
                <w:kern w:val="0"/>
                <w:sz w:val="24"/>
                <w:szCs w:val="24"/>
              </w:rPr>
              <w:t>(含二级）医院</w:t>
            </w:r>
          </w:p>
        </w:tc>
        <w:tc>
          <w:tcPr>
            <w:tcW w:w="183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1200</w:t>
            </w:r>
          </w:p>
        </w:tc>
        <w:tc>
          <w:tcPr>
            <w:tcW w:w="310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1200—5000元50％</w:t>
            </w:r>
            <w:r>
              <w:rPr>
                <w:rFonts w:hint="eastAsia" w:ascii="宋体" w:hAnsi="宋体" w:cs="宋体"/>
                <w:color w:val="auto"/>
                <w:kern w:val="0"/>
                <w:sz w:val="24"/>
                <w:szCs w:val="24"/>
              </w:rPr>
              <w:br w:type="textWrapping"/>
            </w:r>
            <w:r>
              <w:rPr>
                <w:rFonts w:hint="eastAsia" w:ascii="宋体" w:hAnsi="宋体" w:cs="宋体"/>
                <w:color w:val="auto"/>
                <w:kern w:val="0"/>
                <w:sz w:val="24"/>
                <w:szCs w:val="24"/>
              </w:rPr>
              <w:t>5000元以上70％</w:t>
            </w:r>
          </w:p>
        </w:tc>
      </w:tr>
      <w:tr>
        <w:tblPrEx>
          <w:tblCellMar>
            <w:top w:w="0" w:type="dxa"/>
            <w:left w:w="0" w:type="dxa"/>
            <w:bottom w:w="0" w:type="dxa"/>
            <w:right w:w="0" w:type="dxa"/>
          </w:tblCellMar>
        </w:tblPrEx>
        <w:trPr>
          <w:trHeight w:val="893" w:hRule="atLeast"/>
          <w:jc w:val="center"/>
        </w:trPr>
        <w:tc>
          <w:tcPr>
            <w:tcW w:w="989"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ascii="宋体" w:hAnsi="宋体" w:cs="宋体"/>
                <w:color w:val="auto"/>
                <w:kern w:val="0"/>
                <w:sz w:val="24"/>
                <w:szCs w:val="24"/>
              </w:rPr>
            </w:pPr>
          </w:p>
        </w:tc>
        <w:tc>
          <w:tcPr>
            <w:tcW w:w="310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三级医院</w:t>
            </w:r>
          </w:p>
        </w:tc>
        <w:tc>
          <w:tcPr>
            <w:tcW w:w="183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2000</w:t>
            </w:r>
          </w:p>
        </w:tc>
        <w:tc>
          <w:tcPr>
            <w:tcW w:w="310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2000—9000元50％</w:t>
            </w:r>
            <w:r>
              <w:rPr>
                <w:rFonts w:hint="eastAsia" w:ascii="宋体" w:hAnsi="宋体" w:cs="宋体"/>
                <w:color w:val="auto"/>
                <w:kern w:val="0"/>
                <w:sz w:val="24"/>
                <w:szCs w:val="24"/>
              </w:rPr>
              <w:br w:type="textWrapping"/>
            </w:r>
            <w:r>
              <w:rPr>
                <w:rFonts w:hint="eastAsia" w:ascii="宋体" w:hAnsi="宋体" w:cs="宋体"/>
                <w:color w:val="auto"/>
                <w:kern w:val="0"/>
                <w:sz w:val="24"/>
                <w:szCs w:val="24"/>
              </w:rPr>
              <w:t>9000元以上60％</w:t>
            </w:r>
          </w:p>
        </w:tc>
      </w:tr>
      <w:tr>
        <w:tblPrEx>
          <w:tblCellMar>
            <w:top w:w="0" w:type="dxa"/>
            <w:left w:w="0" w:type="dxa"/>
            <w:bottom w:w="0" w:type="dxa"/>
            <w:right w:w="0" w:type="dxa"/>
          </w:tblCellMar>
        </w:tblPrEx>
        <w:trPr>
          <w:trHeight w:val="917" w:hRule="atLeast"/>
          <w:jc w:val="center"/>
        </w:trPr>
        <w:tc>
          <w:tcPr>
            <w:tcW w:w="98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省外</w:t>
            </w:r>
          </w:p>
        </w:tc>
        <w:tc>
          <w:tcPr>
            <w:tcW w:w="310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ascii="宋体" w:hAnsi="宋体" w:cs="宋体"/>
                <w:color w:val="auto"/>
                <w:kern w:val="0"/>
                <w:sz w:val="24"/>
                <w:szCs w:val="24"/>
              </w:rPr>
            </w:pPr>
          </w:p>
        </w:tc>
        <w:tc>
          <w:tcPr>
            <w:tcW w:w="183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2000</w:t>
            </w:r>
          </w:p>
        </w:tc>
        <w:tc>
          <w:tcPr>
            <w:tcW w:w="310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2000—9000元50％</w:t>
            </w:r>
            <w:r>
              <w:rPr>
                <w:rFonts w:hint="eastAsia" w:ascii="宋体" w:hAnsi="宋体" w:cs="宋体"/>
                <w:color w:val="auto"/>
                <w:kern w:val="0"/>
                <w:sz w:val="24"/>
                <w:szCs w:val="24"/>
              </w:rPr>
              <w:br w:type="textWrapping"/>
            </w:r>
            <w:r>
              <w:rPr>
                <w:rFonts w:hint="eastAsia" w:ascii="宋体" w:hAnsi="宋体" w:cs="宋体"/>
                <w:color w:val="auto"/>
                <w:kern w:val="0"/>
                <w:sz w:val="24"/>
                <w:szCs w:val="24"/>
              </w:rPr>
              <w:t>9000元以上60％</w:t>
            </w:r>
          </w:p>
        </w:tc>
      </w:tr>
    </w:tbl>
    <w:p>
      <w:pPr>
        <w:pStyle w:val="2"/>
        <w:keepNext w:val="0"/>
        <w:keepLines w:val="0"/>
        <w:pageBreakBefore w:val="0"/>
        <w:kinsoku/>
        <w:wordWrap/>
        <w:bidi w:val="0"/>
        <w:spacing w:line="560" w:lineRule="exact"/>
        <w:rPr>
          <w:rFonts w:hint="eastAsia"/>
          <w:lang w:val="en-US" w:eastAsia="zh-CN"/>
        </w:rPr>
      </w:pPr>
    </w:p>
    <w:p>
      <w:pPr>
        <w:keepNext w:val="0"/>
        <w:keepLines w:val="0"/>
        <w:pageBreakBefore w:val="0"/>
        <w:widowControl w:val="0"/>
        <w:numPr>
          <w:ilvl w:val="0"/>
          <w:numId w:val="0"/>
        </w:numPr>
        <w:shd w:val="clear" w:color="auto" w:fill="auto"/>
        <w:kinsoku/>
        <w:wordWrap/>
        <w:topLinePunct/>
        <w:bidi w:val="0"/>
        <w:adjustRightInd/>
        <w:snapToGrid/>
        <w:spacing w:before="0" w:after="0" w:line="560" w:lineRule="exact"/>
        <w:ind w:left="0" w:leftChars="0" w:right="0" w:firstLine="643" w:firstLineChars="200"/>
        <w:jc w:val="both"/>
        <w:textAlignment w:val="top"/>
        <w:outlineLvl w:val="9"/>
        <w:rPr>
          <w:rFonts w:hint="eastAsia" w:ascii="仿宋_GB2312" w:hAnsi="仿宋_GB2312" w:eastAsia="仿宋_GB2312" w:cs="仿宋_GB2312"/>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rPr>
        <w:t>5.最高支付限额。</w:t>
      </w:r>
      <w:r>
        <w:rPr>
          <w:rFonts w:hint="eastAsia" w:ascii="仿宋_GB2312" w:hAnsi="仿宋_GB2312" w:eastAsia="仿宋_GB2312" w:cs="仿宋_GB2312"/>
          <w:color w:val="auto"/>
          <w:sz w:val="32"/>
          <w:szCs w:val="32"/>
          <w:highlight w:val="none"/>
          <w:lang w:val="en-US" w:eastAsia="zh-CN" w:bidi="ar-SA"/>
        </w:rPr>
        <w:t>城乡居民基本医疗保险统筹基金年度最高支付限额为15万元（含门诊统筹、门诊慢性病、重特大疾病、住院等统筹基金支付金额）。</w:t>
      </w:r>
    </w:p>
    <w:p>
      <w:pPr>
        <w:keepNext w:val="0"/>
        <w:keepLines w:val="0"/>
        <w:pageBreakBefore w:val="0"/>
        <w:widowControl w:val="0"/>
        <w:numPr>
          <w:ilvl w:val="0"/>
          <w:numId w:val="0"/>
        </w:numPr>
        <w:shd w:val="clear" w:color="auto" w:fill="auto"/>
        <w:kinsoku/>
        <w:wordWrap/>
        <w:topLinePunct/>
        <w:bidi w:val="0"/>
        <w:adjustRightInd/>
        <w:snapToGrid/>
        <w:spacing w:before="0" w:after="0" w:line="560" w:lineRule="exact"/>
        <w:ind w:left="0" w:leftChars="0" w:right="0" w:firstLine="643" w:firstLineChars="200"/>
        <w:jc w:val="both"/>
        <w:textAlignment w:val="top"/>
        <w:outlineLvl w:val="9"/>
        <w:rPr>
          <w:rFonts w:hint="eastAsia" w:ascii="楷体_GB2312" w:hAnsi="楷体_GB2312" w:eastAsia="楷体_GB2312" w:cs="楷体_GB2312"/>
          <w:b/>
          <w:bCs/>
          <w:color w:val="auto"/>
          <w:sz w:val="32"/>
          <w:szCs w:val="32"/>
          <w:highlight w:val="none"/>
          <w:lang w:val="en-US" w:eastAsia="zh-CN"/>
        </w:rPr>
      </w:pPr>
      <w:bookmarkStart w:id="19" w:name="_Toc20539"/>
      <w:bookmarkStart w:id="20" w:name="_Toc18835"/>
      <w:bookmarkStart w:id="21" w:name="_Toc502"/>
      <w:bookmarkStart w:id="22" w:name="_Toc17739"/>
      <w:bookmarkStart w:id="23" w:name="_Toc25329"/>
      <w:bookmarkStart w:id="24" w:name="_Toc24173"/>
      <w:bookmarkStart w:id="25" w:name="_Toc12718"/>
      <w:bookmarkStart w:id="26" w:name="_Toc15562"/>
      <w:bookmarkStart w:id="27" w:name="_Toc11509"/>
      <w:bookmarkStart w:id="28" w:name="_Toc6954"/>
      <w:bookmarkStart w:id="29" w:name="_Toc4881"/>
      <w:r>
        <w:rPr>
          <w:rFonts w:hint="eastAsia" w:ascii="楷体_GB2312" w:hAnsi="楷体_GB2312" w:eastAsia="楷体_GB2312" w:cs="楷体_GB2312"/>
          <w:b/>
          <w:bCs/>
          <w:color w:val="auto"/>
          <w:sz w:val="32"/>
          <w:szCs w:val="32"/>
          <w:highlight w:val="none"/>
          <w:lang w:val="en-US" w:eastAsia="zh-CN"/>
        </w:rPr>
        <w:t>6、大病保险</w:t>
      </w:r>
      <w:bookmarkEnd w:id="19"/>
      <w:bookmarkEnd w:id="20"/>
      <w:bookmarkEnd w:id="21"/>
      <w:bookmarkEnd w:id="22"/>
      <w:bookmarkEnd w:id="23"/>
      <w:bookmarkEnd w:id="24"/>
      <w:bookmarkEnd w:id="25"/>
      <w:bookmarkEnd w:id="26"/>
      <w:bookmarkEnd w:id="27"/>
      <w:bookmarkEnd w:id="28"/>
      <w:bookmarkEnd w:id="29"/>
    </w:p>
    <w:p>
      <w:pPr>
        <w:keepNext w:val="0"/>
        <w:keepLines w:val="0"/>
        <w:pageBreakBefore w:val="0"/>
        <w:widowControl w:val="0"/>
        <w:numPr>
          <w:ilvl w:val="0"/>
          <w:numId w:val="0"/>
        </w:numPr>
        <w:shd w:val="clear" w:color="auto" w:fill="auto"/>
        <w:kinsoku/>
        <w:wordWrap/>
        <w:topLinePunct/>
        <w:bidi w:val="0"/>
        <w:adjustRightInd/>
        <w:snapToGrid/>
        <w:spacing w:before="0" w:after="0" w:line="560" w:lineRule="exact"/>
        <w:ind w:left="0" w:leftChars="0" w:right="0" w:firstLine="640" w:firstLineChars="200"/>
        <w:jc w:val="both"/>
        <w:textAlignment w:val="top"/>
        <w:outlineLvl w:val="9"/>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参保居民一个保险年度内发生的住院医疗费用（含规定的门诊重特大疾病）经基本医疗保险报销后，个人负担的政策范围内医疗费用超过1.1万元以上部分，由大病保险资金按以下比例报销：1.1万元—10万元（含10万元）部分，按60%的比例报销；10万元以上部分，按70%的比例报销，年度最高支付限额为40万元。</w:t>
      </w:r>
    </w:p>
    <w:p>
      <w:pPr>
        <w:keepNext w:val="0"/>
        <w:keepLines w:val="0"/>
        <w:pageBreakBefore w:val="0"/>
        <w:widowControl w:val="0"/>
        <w:shd w:val="clear" w:color="040000" w:fill="auto"/>
        <w:kinsoku/>
        <w:wordWrap/>
        <w:topLinePunct/>
        <w:bidi w:val="0"/>
        <w:adjustRightInd/>
        <w:snapToGrid/>
        <w:spacing w:before="0" w:after="0" w:line="560" w:lineRule="exact"/>
        <w:ind w:left="0" w:leftChars="0" w:right="0" w:firstLine="640" w:firstLineChars="200"/>
        <w:jc w:val="both"/>
        <w:textAlignment w:val="top"/>
        <w:outlineLvl w:val="9"/>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rPr>
        <w:t>为巩固脱贫攻坚成果，有效衔接乡村振兴，增强大病保险减负功能，</w:t>
      </w:r>
      <w:r>
        <w:rPr>
          <w:rFonts w:hint="eastAsia" w:ascii="仿宋_GB2312" w:hAnsi="仿宋_GB2312" w:eastAsia="仿宋_GB2312" w:cs="仿宋_GB2312"/>
          <w:color w:val="auto"/>
          <w:sz w:val="32"/>
          <w:szCs w:val="32"/>
          <w:highlight w:val="none"/>
          <w:lang w:val="en-US" w:eastAsia="zh-CN" w:bidi="ar-SA"/>
        </w:rPr>
        <w:t>2022年5月1日起</w:t>
      </w:r>
      <w:r>
        <w:rPr>
          <w:rFonts w:hint="eastAsia" w:ascii="仿宋_GB2312" w:hAnsi="仿宋_GB2312" w:eastAsia="仿宋_GB2312" w:cs="仿宋_GB2312"/>
          <w:color w:val="auto"/>
          <w:sz w:val="32"/>
          <w:szCs w:val="32"/>
        </w:rPr>
        <w:t>大病保险对特困人员、低保对象、返贫致贫人口实行“一降一提高”政策，即起付线降低50%，为5500元。报销比例提高5个百分点，即5500元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10万元（含10万元），</w:t>
      </w:r>
      <w:r>
        <w:rPr>
          <w:rFonts w:hint="eastAsia" w:ascii="仿宋_GB2312" w:hAnsi="仿宋_GB2312" w:eastAsia="仿宋_GB2312" w:cs="仿宋_GB2312"/>
          <w:color w:val="auto"/>
          <w:sz w:val="32"/>
          <w:szCs w:val="32"/>
          <w:lang w:val="en-US" w:eastAsia="zh-CN"/>
        </w:rPr>
        <w:t>大病保险支付85%;</w:t>
      </w:r>
      <w:r>
        <w:rPr>
          <w:rFonts w:hint="eastAsia" w:ascii="仿宋_GB2312" w:hAnsi="仿宋_GB2312" w:eastAsia="仿宋_GB2312" w:cs="仿宋_GB2312"/>
          <w:color w:val="auto"/>
          <w:sz w:val="32"/>
          <w:szCs w:val="32"/>
        </w:rPr>
        <w:t>10万元以上部分，</w:t>
      </w:r>
      <w:r>
        <w:rPr>
          <w:rFonts w:hint="eastAsia" w:ascii="仿宋_GB2312" w:hAnsi="仿宋_GB2312" w:eastAsia="仿宋_GB2312" w:cs="仿宋_GB2312"/>
          <w:color w:val="auto"/>
          <w:sz w:val="32"/>
          <w:szCs w:val="32"/>
          <w:lang w:val="en-US" w:eastAsia="zh-CN"/>
        </w:rPr>
        <w:t>大病保险支付90%;</w:t>
      </w:r>
      <w:r>
        <w:rPr>
          <w:rFonts w:hint="eastAsia" w:ascii="仿宋_GB2312" w:hAnsi="仿宋_GB2312" w:eastAsia="仿宋_GB2312" w:cs="仿宋_GB2312"/>
          <w:color w:val="auto"/>
          <w:sz w:val="32"/>
          <w:szCs w:val="32"/>
        </w:rPr>
        <w:t>年度</w:t>
      </w:r>
      <w:r>
        <w:rPr>
          <w:rFonts w:hint="eastAsia" w:ascii="仿宋_GB2312" w:hAnsi="仿宋_GB2312" w:eastAsia="仿宋_GB2312" w:cs="仿宋_GB2312"/>
          <w:color w:val="auto"/>
          <w:sz w:val="32"/>
          <w:szCs w:val="32"/>
          <w:lang w:val="en-US" w:eastAsia="zh-CN"/>
        </w:rPr>
        <w:t>支付</w:t>
      </w:r>
      <w:r>
        <w:rPr>
          <w:rFonts w:hint="eastAsia" w:ascii="仿宋_GB2312" w:hAnsi="仿宋_GB2312" w:eastAsia="仿宋_GB2312" w:cs="仿宋_GB2312"/>
          <w:color w:val="auto"/>
          <w:sz w:val="32"/>
          <w:szCs w:val="32"/>
        </w:rPr>
        <w:t>不设封顶线</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shd w:val="clear" w:color="auto" w:fill="auto"/>
        <w:kinsoku/>
        <w:wordWrap/>
        <w:topLinePunct/>
        <w:bidi w:val="0"/>
        <w:adjustRightInd/>
        <w:snapToGrid/>
        <w:spacing w:before="0" w:after="0" w:line="560" w:lineRule="exact"/>
        <w:ind w:left="0" w:leftChars="0" w:right="0" w:firstLine="640" w:firstLineChars="200"/>
        <w:jc w:val="both"/>
        <w:textAlignment w:val="top"/>
        <w:outlineLvl w:val="9"/>
        <w:rPr>
          <w:rFonts w:hint="eastAsia" w:ascii="黑体" w:hAnsi="黑体" w:eastAsia="黑体" w:cs="黑体"/>
          <w:color w:val="auto"/>
          <w:sz w:val="32"/>
          <w:szCs w:val="32"/>
          <w:highlight w:val="none"/>
          <w:lang w:val="en-US" w:eastAsia="zh-CN"/>
        </w:rPr>
      </w:pPr>
      <w:bookmarkStart w:id="30" w:name="_Toc3611"/>
      <w:bookmarkStart w:id="31" w:name="_Toc22432"/>
      <w:bookmarkStart w:id="32" w:name="_Toc13262"/>
      <w:bookmarkStart w:id="33" w:name="_Toc23787"/>
      <w:bookmarkStart w:id="34" w:name="_Toc5136"/>
      <w:bookmarkStart w:id="35" w:name="_Toc25988"/>
      <w:bookmarkStart w:id="36" w:name="_Toc27977"/>
      <w:bookmarkStart w:id="37" w:name="_Toc5717"/>
      <w:bookmarkStart w:id="38" w:name="_Toc24191"/>
      <w:bookmarkStart w:id="39" w:name="_Toc8621"/>
      <w:bookmarkStart w:id="40" w:name="_Toc19126"/>
      <w:r>
        <w:rPr>
          <w:rFonts w:hint="eastAsia" w:ascii="黑体" w:hAnsi="黑体" w:eastAsia="黑体" w:cs="黑体"/>
          <w:color w:val="auto"/>
          <w:sz w:val="32"/>
          <w:szCs w:val="32"/>
          <w:highlight w:val="none"/>
          <w:lang w:val="en-US" w:eastAsia="zh-CN"/>
        </w:rPr>
        <w:t>四、医疗救助</w:t>
      </w:r>
      <w:bookmarkEnd w:id="30"/>
      <w:bookmarkEnd w:id="31"/>
      <w:bookmarkEnd w:id="32"/>
      <w:bookmarkEnd w:id="33"/>
      <w:bookmarkEnd w:id="34"/>
      <w:bookmarkEnd w:id="35"/>
      <w:bookmarkEnd w:id="36"/>
      <w:bookmarkEnd w:id="37"/>
      <w:bookmarkEnd w:id="38"/>
      <w:bookmarkEnd w:id="39"/>
      <w:bookmarkEnd w:id="40"/>
    </w:p>
    <w:p>
      <w:pPr>
        <w:keepNext w:val="0"/>
        <w:keepLines w:val="0"/>
        <w:pageBreakBefore w:val="0"/>
        <w:widowControl w:val="0"/>
        <w:shd w:val="clear" w:color="040000" w:fill="auto"/>
        <w:kinsoku/>
        <w:wordWrap/>
        <w:topLinePunct/>
        <w:bidi w:val="0"/>
        <w:adjustRightInd/>
        <w:snapToGrid/>
        <w:spacing w:before="0" w:after="0" w:line="560" w:lineRule="exact"/>
        <w:ind w:left="0" w:leftChars="0" w:right="0" w:firstLine="643" w:firstLineChars="200"/>
        <w:jc w:val="both"/>
        <w:textAlignment w:val="top"/>
        <w:outlineLvl w:val="9"/>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b/>
          <w:bCs/>
          <w:color w:val="auto"/>
          <w:sz w:val="32"/>
          <w:szCs w:val="32"/>
          <w:highlight w:val="none"/>
          <w:lang w:val="en-US" w:eastAsia="zh-CN" w:bidi="ar-SA"/>
        </w:rPr>
        <w:t>救助对象：</w:t>
      </w:r>
      <w:r>
        <w:rPr>
          <w:rFonts w:hint="eastAsia" w:ascii="仿宋_GB2312" w:hAnsi="仿宋_GB2312" w:eastAsia="仿宋_GB2312" w:cs="仿宋_GB2312"/>
          <w:color w:val="auto"/>
          <w:sz w:val="32"/>
          <w:szCs w:val="32"/>
          <w:highlight w:val="none"/>
          <w:lang w:val="en-US" w:eastAsia="zh-CN" w:bidi="ar-SA"/>
        </w:rPr>
        <w:t>特困人员、低保对象、返贫致贫人口、</w:t>
      </w: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低保边缘家</w:t>
      </w:r>
      <w:r>
        <w:rPr>
          <w:rFonts w:hint="eastAsia" w:ascii="仿宋_GB2312" w:hAnsi="仿宋_GB2312" w:eastAsia="仿宋_GB2312" w:cs="仿宋_GB2312"/>
          <w:color w:val="auto"/>
          <w:sz w:val="32"/>
          <w:szCs w:val="32"/>
          <w:highlight w:val="none"/>
          <w:lang w:val="en-US" w:eastAsia="zh-CN" w:bidi="ar-SA"/>
        </w:rPr>
        <w:t>庭成员、农村易返</w:t>
      </w: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贫致</w:t>
      </w:r>
      <w:r>
        <w:rPr>
          <w:rFonts w:hint="eastAsia" w:ascii="仿宋_GB2312" w:hAnsi="仿宋_GB2312" w:eastAsia="仿宋_GB2312" w:cs="仿宋_GB2312"/>
          <w:color w:val="auto"/>
          <w:sz w:val="32"/>
          <w:szCs w:val="32"/>
          <w:highlight w:val="none"/>
          <w:lang w:val="en-US" w:eastAsia="zh-CN" w:bidi="ar-SA"/>
        </w:rPr>
        <w:t>贫人口、因病致</w:t>
      </w: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贫重病</w:t>
      </w:r>
      <w:r>
        <w:rPr>
          <w:rFonts w:hint="eastAsia" w:ascii="仿宋_GB2312" w:hAnsi="仿宋_GB2312" w:eastAsia="仿宋_GB2312" w:cs="仿宋_GB2312"/>
          <w:color w:val="auto"/>
          <w:sz w:val="32"/>
          <w:szCs w:val="32"/>
          <w:highlight w:val="none"/>
          <w:lang w:val="en-US" w:eastAsia="zh-CN" w:bidi="ar-SA"/>
        </w:rPr>
        <w:t>患者。其中特困人员、低保对象、返贫致贫人口可直接享受医疗救助，低保边缘家庭成员、农村易返贫致贫人口、因病致贫重病患者发生的医疗救助费用实行依申请救助。</w:t>
      </w:r>
    </w:p>
    <w:p>
      <w:pPr>
        <w:keepNext w:val="0"/>
        <w:keepLines w:val="0"/>
        <w:pageBreakBefore w:val="0"/>
        <w:widowControl w:val="0"/>
        <w:numPr>
          <w:ilvl w:val="0"/>
          <w:numId w:val="0"/>
        </w:numPr>
        <w:shd w:val="clear" w:color="auto" w:fill="auto"/>
        <w:kinsoku/>
        <w:wordWrap/>
        <w:topLinePunct/>
        <w:bidi w:val="0"/>
        <w:adjustRightInd/>
        <w:snapToGrid/>
        <w:spacing w:before="0" w:after="0" w:line="560" w:lineRule="exact"/>
        <w:ind w:right="0" w:rightChars="0" w:firstLine="643" w:firstLineChars="200"/>
        <w:jc w:val="both"/>
        <w:textAlignment w:val="top"/>
        <w:outlineLvl w:val="9"/>
        <w:rPr>
          <w:rFonts w:hint="eastAsia"/>
          <w:lang w:val="en-US" w:eastAsia="zh-CN"/>
        </w:rPr>
      </w:pPr>
      <w:r>
        <w:rPr>
          <w:rFonts w:hint="eastAsia" w:ascii="楷体_GB2312" w:hAnsi="楷体_GB2312" w:eastAsia="楷体_GB2312" w:cs="楷体_GB2312"/>
          <w:b/>
          <w:bCs/>
          <w:color w:val="auto"/>
          <w:sz w:val="32"/>
          <w:szCs w:val="32"/>
          <w:highlight w:val="none"/>
          <w:lang w:val="en-US" w:eastAsia="zh-CN"/>
        </w:rPr>
        <w:t>1.住院救助。</w:t>
      </w:r>
      <w:r>
        <w:rPr>
          <w:rFonts w:hint="eastAsia" w:ascii="仿宋_GB2312" w:hAnsi="仿宋_GB2312" w:eastAsia="仿宋_GB2312" w:cs="仿宋_GB2312"/>
          <w:color w:val="auto"/>
          <w:sz w:val="32"/>
          <w:szCs w:val="32"/>
          <w:highlight w:val="none"/>
          <w:lang w:val="en-US" w:eastAsia="zh-CN" w:bidi="ar-SA"/>
        </w:rPr>
        <w:t>对特困人员、低保对象、返贫致贫人口，住院救助不设起付标准。低保边缘家庭成员、农村易返贫致贫人口的住院救助起付标准按2500元/年确定，因病致贫重病患者的住院救助起付标准按6000元/年确定。对在定点医疗机构发生的住院费用，经居民基本医保、大病保险支付后的政策范围内自付费用，给予特困人员90%的救助，给予低保对象、返贫致贫人口70%的救助，给予低保边缘家庭成员、农村易返贫致贫人口、因病致贫重病患者65%的救助。</w:t>
      </w:r>
    </w:p>
    <w:tbl>
      <w:tblPr>
        <w:tblStyle w:val="10"/>
        <w:tblW w:w="5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1455"/>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67" w:type="dxa"/>
            <w:vAlign w:val="center"/>
          </w:tcPr>
          <w:p>
            <w:pPr>
              <w:keepNext w:val="0"/>
              <w:keepLines w:val="0"/>
              <w:pageBreakBefore w:val="0"/>
              <w:widowControl w:val="0"/>
              <w:numPr>
                <w:ilvl w:val="0"/>
                <w:numId w:val="0"/>
              </w:numPr>
              <w:shd w:val="clear" w:color="auto" w:fill="auto"/>
              <w:kinsoku/>
              <w:wordWrap/>
              <w:topLinePunct/>
              <w:bidi w:val="0"/>
              <w:adjustRightInd/>
              <w:snapToGrid/>
              <w:spacing w:before="0" w:after="0" w:line="560" w:lineRule="exact"/>
              <w:ind w:left="0" w:leftChars="0" w:right="0"/>
              <w:jc w:val="center"/>
              <w:textAlignment w:val="top"/>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身份类别</w:t>
            </w:r>
          </w:p>
        </w:tc>
        <w:tc>
          <w:tcPr>
            <w:tcW w:w="1455" w:type="dxa"/>
            <w:vAlign w:val="center"/>
          </w:tcPr>
          <w:p>
            <w:pPr>
              <w:keepNext w:val="0"/>
              <w:keepLines w:val="0"/>
              <w:pageBreakBefore w:val="0"/>
              <w:widowControl w:val="0"/>
              <w:numPr>
                <w:ilvl w:val="0"/>
                <w:numId w:val="0"/>
              </w:numPr>
              <w:shd w:val="clear" w:color="auto" w:fill="auto"/>
              <w:kinsoku/>
              <w:wordWrap/>
              <w:topLinePunct/>
              <w:bidi w:val="0"/>
              <w:adjustRightInd/>
              <w:snapToGrid/>
              <w:spacing w:before="0" w:after="0" w:line="560" w:lineRule="exact"/>
              <w:ind w:left="0" w:leftChars="0" w:right="0"/>
              <w:jc w:val="center"/>
              <w:textAlignment w:val="top"/>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起付标准</w:t>
            </w:r>
          </w:p>
        </w:tc>
        <w:tc>
          <w:tcPr>
            <w:tcW w:w="1857" w:type="dxa"/>
            <w:vAlign w:val="center"/>
          </w:tcPr>
          <w:p>
            <w:pPr>
              <w:keepNext w:val="0"/>
              <w:keepLines w:val="0"/>
              <w:pageBreakBefore w:val="0"/>
              <w:widowControl w:val="0"/>
              <w:numPr>
                <w:ilvl w:val="0"/>
                <w:numId w:val="0"/>
              </w:numPr>
              <w:shd w:val="clear" w:color="auto" w:fill="auto"/>
              <w:kinsoku/>
              <w:wordWrap/>
              <w:topLinePunct/>
              <w:bidi w:val="0"/>
              <w:adjustRightInd/>
              <w:snapToGrid/>
              <w:spacing w:before="0" w:after="0" w:line="560" w:lineRule="exact"/>
              <w:ind w:left="0" w:leftChars="0" w:right="0" w:firstLine="420" w:firstLineChars="0"/>
              <w:jc w:val="center"/>
              <w:textAlignment w:val="top"/>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救助比例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67" w:type="dxa"/>
            <w:vAlign w:val="center"/>
          </w:tcPr>
          <w:p>
            <w:pPr>
              <w:keepNext w:val="0"/>
              <w:keepLines w:val="0"/>
              <w:pageBreakBefore w:val="0"/>
              <w:widowControl w:val="0"/>
              <w:numPr>
                <w:ilvl w:val="0"/>
                <w:numId w:val="0"/>
              </w:numPr>
              <w:shd w:val="clear" w:color="auto" w:fill="auto"/>
              <w:kinsoku/>
              <w:wordWrap/>
              <w:topLinePunct/>
              <w:bidi w:val="0"/>
              <w:adjustRightInd/>
              <w:snapToGrid/>
              <w:spacing w:before="0" w:after="0" w:line="560" w:lineRule="exact"/>
              <w:ind w:left="0" w:leftChars="0" w:right="0"/>
              <w:jc w:val="center"/>
              <w:textAlignment w:val="top"/>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特困人员</w:t>
            </w:r>
          </w:p>
        </w:tc>
        <w:tc>
          <w:tcPr>
            <w:tcW w:w="1455" w:type="dxa"/>
            <w:vMerge w:val="restart"/>
            <w:vAlign w:val="center"/>
          </w:tcPr>
          <w:p>
            <w:pPr>
              <w:keepNext w:val="0"/>
              <w:keepLines w:val="0"/>
              <w:pageBreakBefore w:val="0"/>
              <w:widowControl w:val="0"/>
              <w:numPr>
                <w:ilvl w:val="0"/>
                <w:numId w:val="0"/>
              </w:numPr>
              <w:shd w:val="clear" w:color="auto" w:fill="auto"/>
              <w:kinsoku/>
              <w:wordWrap/>
              <w:topLinePunct/>
              <w:bidi w:val="0"/>
              <w:adjustRightInd/>
              <w:snapToGrid/>
              <w:spacing w:before="0" w:after="0" w:line="560" w:lineRule="exact"/>
              <w:ind w:left="0" w:leftChars="0" w:right="0"/>
              <w:jc w:val="center"/>
              <w:textAlignment w:val="top"/>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0元/年</w:t>
            </w:r>
          </w:p>
        </w:tc>
        <w:tc>
          <w:tcPr>
            <w:tcW w:w="1857" w:type="dxa"/>
            <w:vAlign w:val="center"/>
          </w:tcPr>
          <w:p>
            <w:pPr>
              <w:keepNext w:val="0"/>
              <w:keepLines w:val="0"/>
              <w:pageBreakBefore w:val="0"/>
              <w:widowControl w:val="0"/>
              <w:numPr>
                <w:ilvl w:val="0"/>
                <w:numId w:val="0"/>
              </w:numPr>
              <w:shd w:val="clear" w:color="auto" w:fill="auto"/>
              <w:kinsoku/>
              <w:wordWrap/>
              <w:topLinePunct/>
              <w:bidi w:val="0"/>
              <w:adjustRightInd/>
              <w:snapToGrid/>
              <w:spacing w:before="0" w:after="0" w:line="560" w:lineRule="exact"/>
              <w:ind w:left="0" w:leftChars="0" w:right="0" w:firstLine="420" w:firstLineChars="0"/>
              <w:jc w:val="center"/>
              <w:textAlignment w:val="top"/>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2267" w:type="dxa"/>
            <w:vAlign w:val="center"/>
          </w:tcPr>
          <w:p>
            <w:pPr>
              <w:keepNext w:val="0"/>
              <w:keepLines w:val="0"/>
              <w:pageBreakBefore w:val="0"/>
              <w:widowControl w:val="0"/>
              <w:numPr>
                <w:ilvl w:val="0"/>
                <w:numId w:val="0"/>
              </w:numPr>
              <w:shd w:val="clear" w:color="auto" w:fill="auto"/>
              <w:kinsoku/>
              <w:wordWrap/>
              <w:topLinePunct/>
              <w:bidi w:val="0"/>
              <w:adjustRightInd/>
              <w:snapToGrid/>
              <w:spacing w:before="0" w:after="0" w:line="560" w:lineRule="exact"/>
              <w:ind w:left="0" w:leftChars="0" w:right="0"/>
              <w:jc w:val="center"/>
              <w:textAlignment w:val="top"/>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低保对象/返贫致贫人口</w:t>
            </w:r>
          </w:p>
        </w:tc>
        <w:tc>
          <w:tcPr>
            <w:tcW w:w="1455" w:type="dxa"/>
            <w:vMerge w:val="continue"/>
            <w:vAlign w:val="center"/>
          </w:tcPr>
          <w:p>
            <w:pPr>
              <w:keepNext w:val="0"/>
              <w:keepLines w:val="0"/>
              <w:pageBreakBefore w:val="0"/>
              <w:widowControl w:val="0"/>
              <w:numPr>
                <w:ilvl w:val="0"/>
                <w:numId w:val="0"/>
              </w:numPr>
              <w:shd w:val="clear" w:color="auto" w:fill="auto"/>
              <w:kinsoku/>
              <w:wordWrap/>
              <w:topLinePunct/>
              <w:bidi w:val="0"/>
              <w:adjustRightInd/>
              <w:snapToGrid/>
              <w:spacing w:before="0" w:after="0" w:line="560" w:lineRule="exact"/>
              <w:ind w:left="0" w:leftChars="0" w:right="0" w:firstLine="420" w:firstLineChars="0"/>
              <w:jc w:val="center"/>
              <w:textAlignment w:val="top"/>
              <w:outlineLvl w:val="9"/>
              <w:rPr>
                <w:rFonts w:hint="eastAsia" w:ascii="仿宋_GB2312" w:hAnsi="仿宋_GB2312" w:eastAsia="仿宋_GB2312" w:cs="仿宋_GB2312"/>
                <w:color w:val="auto"/>
                <w:sz w:val="28"/>
                <w:szCs w:val="28"/>
                <w:highlight w:val="none"/>
              </w:rPr>
            </w:pPr>
          </w:p>
        </w:tc>
        <w:tc>
          <w:tcPr>
            <w:tcW w:w="1857" w:type="dxa"/>
            <w:vAlign w:val="center"/>
          </w:tcPr>
          <w:p>
            <w:pPr>
              <w:keepNext w:val="0"/>
              <w:keepLines w:val="0"/>
              <w:pageBreakBefore w:val="0"/>
              <w:widowControl w:val="0"/>
              <w:numPr>
                <w:ilvl w:val="0"/>
                <w:numId w:val="0"/>
              </w:numPr>
              <w:shd w:val="clear" w:color="auto" w:fill="auto"/>
              <w:kinsoku/>
              <w:wordWrap/>
              <w:topLinePunct/>
              <w:bidi w:val="0"/>
              <w:adjustRightInd/>
              <w:snapToGrid/>
              <w:spacing w:before="0" w:after="0" w:line="560" w:lineRule="exact"/>
              <w:ind w:left="0" w:leftChars="0" w:right="0" w:firstLine="420" w:firstLineChars="0"/>
              <w:jc w:val="center"/>
              <w:textAlignment w:val="top"/>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267" w:type="dxa"/>
            <w:vAlign w:val="center"/>
          </w:tcPr>
          <w:p>
            <w:pPr>
              <w:keepNext w:val="0"/>
              <w:keepLines w:val="0"/>
              <w:pageBreakBefore w:val="0"/>
              <w:widowControl w:val="0"/>
              <w:numPr>
                <w:ilvl w:val="0"/>
                <w:numId w:val="0"/>
              </w:numPr>
              <w:shd w:val="clear" w:color="auto" w:fill="auto"/>
              <w:kinsoku/>
              <w:wordWrap/>
              <w:topLinePunct/>
              <w:bidi w:val="0"/>
              <w:adjustRightInd/>
              <w:snapToGrid/>
              <w:spacing w:before="0" w:after="0" w:line="560" w:lineRule="exact"/>
              <w:ind w:left="0" w:leftChars="0" w:right="0"/>
              <w:jc w:val="center"/>
              <w:textAlignment w:val="top"/>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低保边缘家庭成员</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农村易返贫致贫人口</w:t>
            </w:r>
          </w:p>
        </w:tc>
        <w:tc>
          <w:tcPr>
            <w:tcW w:w="1455" w:type="dxa"/>
            <w:vAlign w:val="center"/>
          </w:tcPr>
          <w:p>
            <w:pPr>
              <w:keepNext w:val="0"/>
              <w:keepLines w:val="0"/>
              <w:pageBreakBefore w:val="0"/>
              <w:widowControl w:val="0"/>
              <w:numPr>
                <w:ilvl w:val="0"/>
                <w:numId w:val="0"/>
              </w:numPr>
              <w:shd w:val="clear" w:color="auto" w:fill="auto"/>
              <w:kinsoku/>
              <w:wordWrap/>
              <w:topLinePunct/>
              <w:bidi w:val="0"/>
              <w:adjustRightInd/>
              <w:snapToGrid/>
              <w:spacing w:before="0" w:after="0" w:line="560" w:lineRule="exact"/>
              <w:ind w:left="0" w:leftChars="0" w:right="0"/>
              <w:jc w:val="center"/>
              <w:textAlignment w:val="top"/>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2500元/年</w:t>
            </w:r>
          </w:p>
        </w:tc>
        <w:tc>
          <w:tcPr>
            <w:tcW w:w="1857" w:type="dxa"/>
            <w:vMerge w:val="restart"/>
            <w:vAlign w:val="center"/>
          </w:tcPr>
          <w:p>
            <w:pPr>
              <w:keepNext w:val="0"/>
              <w:keepLines w:val="0"/>
              <w:pageBreakBefore w:val="0"/>
              <w:widowControl w:val="0"/>
              <w:numPr>
                <w:ilvl w:val="0"/>
                <w:numId w:val="0"/>
              </w:numPr>
              <w:shd w:val="clear" w:color="auto" w:fill="auto"/>
              <w:kinsoku/>
              <w:wordWrap/>
              <w:topLinePunct/>
              <w:bidi w:val="0"/>
              <w:adjustRightInd/>
              <w:snapToGrid/>
              <w:spacing w:before="0" w:after="0" w:line="560" w:lineRule="exact"/>
              <w:ind w:left="0" w:leftChars="0" w:right="0" w:firstLine="420" w:firstLineChars="0"/>
              <w:jc w:val="center"/>
              <w:textAlignment w:val="top"/>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2267" w:type="dxa"/>
            <w:vAlign w:val="center"/>
          </w:tcPr>
          <w:p>
            <w:pPr>
              <w:keepNext w:val="0"/>
              <w:keepLines w:val="0"/>
              <w:pageBreakBefore w:val="0"/>
              <w:widowControl w:val="0"/>
              <w:numPr>
                <w:ilvl w:val="0"/>
                <w:numId w:val="0"/>
              </w:numPr>
              <w:shd w:val="clear" w:color="auto" w:fill="auto"/>
              <w:kinsoku/>
              <w:wordWrap/>
              <w:topLinePunct/>
              <w:bidi w:val="0"/>
              <w:adjustRightInd/>
              <w:snapToGrid/>
              <w:spacing w:before="0" w:after="0" w:line="560" w:lineRule="exact"/>
              <w:ind w:left="0" w:leftChars="0" w:right="0"/>
              <w:jc w:val="center"/>
              <w:textAlignment w:val="top"/>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因病致贫重症</w:t>
            </w:r>
          </w:p>
          <w:p>
            <w:pPr>
              <w:keepNext w:val="0"/>
              <w:keepLines w:val="0"/>
              <w:pageBreakBefore w:val="0"/>
              <w:widowControl w:val="0"/>
              <w:numPr>
                <w:ilvl w:val="0"/>
                <w:numId w:val="0"/>
              </w:numPr>
              <w:shd w:val="clear" w:color="auto" w:fill="auto"/>
              <w:kinsoku/>
              <w:wordWrap/>
              <w:topLinePunct/>
              <w:bidi w:val="0"/>
              <w:adjustRightInd/>
              <w:snapToGrid/>
              <w:spacing w:before="0" w:after="0" w:line="560" w:lineRule="exact"/>
              <w:ind w:left="0" w:leftChars="0" w:right="0"/>
              <w:jc w:val="center"/>
              <w:textAlignment w:val="top"/>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患者</w:t>
            </w:r>
          </w:p>
        </w:tc>
        <w:tc>
          <w:tcPr>
            <w:tcW w:w="1455" w:type="dxa"/>
            <w:vAlign w:val="center"/>
          </w:tcPr>
          <w:p>
            <w:pPr>
              <w:keepNext w:val="0"/>
              <w:keepLines w:val="0"/>
              <w:pageBreakBefore w:val="0"/>
              <w:widowControl w:val="0"/>
              <w:numPr>
                <w:ilvl w:val="0"/>
                <w:numId w:val="0"/>
              </w:numPr>
              <w:shd w:val="clear" w:color="auto" w:fill="auto"/>
              <w:kinsoku/>
              <w:wordWrap/>
              <w:topLinePunct/>
              <w:bidi w:val="0"/>
              <w:adjustRightInd/>
              <w:snapToGrid/>
              <w:spacing w:before="0" w:after="0" w:line="560" w:lineRule="exact"/>
              <w:ind w:left="0" w:leftChars="0" w:right="0"/>
              <w:jc w:val="center"/>
              <w:textAlignment w:val="top"/>
              <w:outlineLvl w:val="9"/>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6000元/年</w:t>
            </w:r>
          </w:p>
        </w:tc>
        <w:tc>
          <w:tcPr>
            <w:tcW w:w="1857" w:type="dxa"/>
            <w:vMerge w:val="continue"/>
            <w:vAlign w:val="center"/>
          </w:tcPr>
          <w:p>
            <w:pPr>
              <w:keepNext w:val="0"/>
              <w:keepLines w:val="0"/>
              <w:pageBreakBefore w:val="0"/>
              <w:widowControl w:val="0"/>
              <w:numPr>
                <w:ilvl w:val="0"/>
                <w:numId w:val="0"/>
              </w:numPr>
              <w:shd w:val="clear" w:color="auto" w:fill="auto"/>
              <w:kinsoku/>
              <w:wordWrap/>
              <w:topLinePunct/>
              <w:bidi w:val="0"/>
              <w:adjustRightInd/>
              <w:snapToGrid/>
              <w:spacing w:before="0" w:after="0" w:line="560" w:lineRule="exact"/>
              <w:ind w:left="0" w:leftChars="0" w:right="0" w:firstLine="420" w:firstLineChars="0"/>
              <w:jc w:val="center"/>
              <w:textAlignment w:val="top"/>
              <w:outlineLvl w:val="9"/>
              <w:rPr>
                <w:rFonts w:hint="eastAsia" w:ascii="仿宋_GB2312" w:hAnsi="仿宋_GB2312" w:eastAsia="仿宋_GB2312" w:cs="仿宋_GB2312"/>
                <w:color w:val="auto"/>
                <w:sz w:val="30"/>
                <w:szCs w:val="30"/>
                <w:highlight w:val="none"/>
              </w:rPr>
            </w:pPr>
          </w:p>
        </w:tc>
      </w:tr>
    </w:tbl>
    <w:p>
      <w:pPr>
        <w:keepNext w:val="0"/>
        <w:keepLines w:val="0"/>
        <w:pageBreakBefore w:val="0"/>
        <w:widowControl w:val="0"/>
        <w:numPr>
          <w:ilvl w:val="0"/>
          <w:numId w:val="0"/>
        </w:numPr>
        <w:shd w:val="clear" w:color="auto" w:fill="auto"/>
        <w:kinsoku/>
        <w:wordWrap/>
        <w:topLinePunct/>
        <w:bidi w:val="0"/>
        <w:adjustRightInd/>
        <w:snapToGrid/>
        <w:spacing w:beforeLines="50" w:after="0" w:line="560" w:lineRule="exact"/>
        <w:ind w:left="0" w:leftChars="0" w:right="0" w:firstLine="643" w:firstLineChars="200"/>
        <w:textAlignment w:val="top"/>
        <w:outlineLvl w:val="9"/>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lang w:val="en-US" w:eastAsia="zh-CN"/>
        </w:rPr>
        <w:t>2.门诊救助。</w:t>
      </w:r>
      <w:r>
        <w:rPr>
          <w:rFonts w:hint="eastAsia" w:ascii="仿宋_GB2312" w:hAnsi="仿宋_GB2312" w:eastAsia="仿宋_GB2312" w:cs="仿宋_GB2312"/>
          <w:color w:val="auto"/>
          <w:sz w:val="32"/>
          <w:szCs w:val="32"/>
          <w:highlight w:val="none"/>
        </w:rPr>
        <w:t>门诊救助病种包括以下9类：终末期肾病(门诊血液透析或腹膜透析方法治疗)、血友病(凝血因子治疗)、慢性粒细胞性白血病(门诊酪氨酸激酶抑制剂治疗)、Ⅰ型糖尿病(门诊胰岛素治疗)、耐多药肺结核(门诊抗结核药治疗)、再生障碍性贫血(门诊药物治疗)、恶性肿瘤门诊放化疗、器官移植术后抗排异治疗、重性精神病人药物维持治疗。门诊救助不设起付标准，对在定点医药机构发生的以上9类病种门诊治疗费用，经居民基本医保、大病保险支付后的政策范围内自付费用，给予特困人员、低保对象、返贫致贫人口50%的救助，给予低保边缘家庭成员、农村易返贫致贫人口、因病致贫重病患者30%的救助。</w:t>
      </w:r>
    </w:p>
    <w:p>
      <w:pPr>
        <w:keepNext w:val="0"/>
        <w:keepLines w:val="0"/>
        <w:pageBreakBefore w:val="0"/>
        <w:widowControl w:val="0"/>
        <w:numPr>
          <w:ilvl w:val="0"/>
          <w:numId w:val="0"/>
        </w:numPr>
        <w:shd w:val="clear" w:color="auto" w:fill="auto"/>
        <w:kinsoku/>
        <w:wordWrap/>
        <w:topLinePunct/>
        <w:bidi w:val="0"/>
        <w:adjustRightInd/>
        <w:snapToGrid/>
        <w:spacing w:before="0" w:after="0" w:line="560" w:lineRule="exact"/>
        <w:ind w:left="0" w:leftChars="0" w:right="0" w:firstLine="643" w:firstLineChars="200"/>
        <w:textAlignment w:val="top"/>
        <w:outlineLvl w:val="9"/>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lang w:val="en-US" w:eastAsia="zh-CN"/>
        </w:rPr>
        <w:t>3.救助限额。</w:t>
      </w:r>
      <w:r>
        <w:rPr>
          <w:rFonts w:hint="eastAsia" w:ascii="仿宋_GB2312" w:hAnsi="仿宋_GB2312" w:eastAsia="仿宋_GB2312" w:cs="仿宋_GB2312"/>
          <w:color w:val="auto"/>
          <w:sz w:val="32"/>
          <w:szCs w:val="32"/>
          <w:highlight w:val="none"/>
        </w:rPr>
        <w:t>住院救助和门诊救助共用年度最高救助限额。对特困人员、低保对象、返贫致贫人口年度最高救助限额为3万元，对低保边缘家庭成员、农村易返贫致贫人口、因病致贫重病患者年度最高救助限额为1万元。</w:t>
      </w:r>
    </w:p>
    <w:p>
      <w:pPr>
        <w:keepNext w:val="0"/>
        <w:keepLines w:val="0"/>
        <w:pageBreakBefore w:val="0"/>
        <w:widowControl w:val="0"/>
        <w:numPr>
          <w:ilvl w:val="0"/>
          <w:numId w:val="0"/>
        </w:numPr>
        <w:shd w:val="clear" w:color="auto" w:fill="auto"/>
        <w:kinsoku/>
        <w:wordWrap/>
        <w:topLinePunct/>
        <w:bidi w:val="0"/>
        <w:adjustRightInd/>
        <w:snapToGrid/>
        <w:spacing w:before="0" w:after="0" w:line="560" w:lineRule="exact"/>
        <w:ind w:left="0" w:leftChars="0" w:right="0" w:firstLine="643" w:firstLineChars="200"/>
        <w:textAlignment w:val="top"/>
        <w:outlineLvl w:val="9"/>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lang w:val="en-US" w:eastAsia="zh-CN"/>
        </w:rPr>
        <w:t>4.倾斜救助。</w:t>
      </w:r>
      <w:r>
        <w:rPr>
          <w:rFonts w:hint="eastAsia" w:ascii="仿宋_GB2312" w:hAnsi="仿宋_GB2312" w:eastAsia="仿宋_GB2312" w:cs="仿宋_GB2312"/>
          <w:color w:val="auto"/>
          <w:sz w:val="32"/>
          <w:szCs w:val="32"/>
          <w:highlight w:val="none"/>
        </w:rPr>
        <w:t>对市域内和规范转诊且在省域内就医的救助对象，救助金额达到年度最高救助限额，经三重制度综合保障后政策范围内年度自付医疗费用超过12000元以上的部分，给予60%的倾斜救助，年度最高救助限额1万元。</w:t>
      </w:r>
    </w:p>
    <w:p>
      <w:pPr>
        <w:keepNext w:val="0"/>
        <w:keepLines w:val="0"/>
        <w:pageBreakBefore w:val="0"/>
        <w:widowControl w:val="0"/>
        <w:numPr>
          <w:ilvl w:val="0"/>
          <w:numId w:val="0"/>
        </w:numPr>
        <w:shd w:val="clear" w:color="auto" w:fill="auto"/>
        <w:kinsoku/>
        <w:wordWrap/>
        <w:topLinePunct/>
        <w:bidi w:val="0"/>
        <w:adjustRightInd/>
        <w:snapToGrid/>
        <w:spacing w:before="0" w:after="0" w:line="560" w:lineRule="exact"/>
        <w:ind w:left="0" w:leftChars="0" w:right="0" w:firstLine="640" w:firstLineChars="200"/>
        <w:jc w:val="both"/>
        <w:textAlignment w:val="top"/>
        <w:outlineLvl w:val="9"/>
        <w:rPr>
          <w:rFonts w:hint="eastAsia" w:ascii="黑体" w:hAnsi="黑体" w:eastAsia="黑体" w:cs="黑体"/>
          <w:color w:val="auto"/>
          <w:sz w:val="32"/>
          <w:szCs w:val="32"/>
          <w:highlight w:val="none"/>
          <w:lang w:val="en-US" w:eastAsia="zh-CN"/>
        </w:rPr>
      </w:pPr>
      <w:bookmarkStart w:id="41" w:name="_Toc16314"/>
      <w:bookmarkStart w:id="42" w:name="_Toc3574"/>
      <w:bookmarkStart w:id="43" w:name="_Toc22372"/>
      <w:bookmarkStart w:id="44" w:name="_Toc10771"/>
      <w:bookmarkStart w:id="45" w:name="_Toc7588"/>
      <w:bookmarkStart w:id="46" w:name="_Toc9428"/>
      <w:bookmarkStart w:id="47" w:name="_Toc30827"/>
      <w:bookmarkStart w:id="48" w:name="_Toc15271"/>
      <w:bookmarkStart w:id="49" w:name="_Toc17638"/>
      <w:bookmarkStart w:id="50" w:name="_Toc7302"/>
      <w:bookmarkStart w:id="51" w:name="_Toc23634"/>
      <w:r>
        <w:rPr>
          <w:rFonts w:hint="eastAsia" w:ascii="黑体" w:hAnsi="黑体" w:eastAsia="黑体" w:cs="黑体"/>
          <w:color w:val="auto"/>
          <w:sz w:val="32"/>
          <w:szCs w:val="32"/>
          <w:highlight w:val="none"/>
          <w:lang w:val="en-US" w:eastAsia="zh-CN"/>
        </w:rPr>
        <w:t>5、“一单制”结算</w:t>
      </w:r>
      <w:bookmarkEnd w:id="41"/>
      <w:bookmarkEnd w:id="42"/>
      <w:bookmarkEnd w:id="43"/>
      <w:bookmarkEnd w:id="44"/>
      <w:bookmarkEnd w:id="45"/>
      <w:bookmarkEnd w:id="46"/>
      <w:bookmarkEnd w:id="47"/>
      <w:bookmarkEnd w:id="48"/>
      <w:bookmarkEnd w:id="49"/>
      <w:bookmarkEnd w:id="50"/>
      <w:bookmarkEnd w:id="51"/>
    </w:p>
    <w:p>
      <w:pPr>
        <w:keepNext w:val="0"/>
        <w:keepLines w:val="0"/>
        <w:pageBreakBefore w:val="0"/>
        <w:widowControl w:val="0"/>
        <w:shd w:val="clear" w:color="040000" w:fill="auto"/>
        <w:kinsoku/>
        <w:wordWrap/>
        <w:topLinePunct/>
        <w:bidi w:val="0"/>
        <w:adjustRightInd/>
        <w:snapToGrid/>
        <w:spacing w:before="0" w:after="0" w:line="560" w:lineRule="exact"/>
        <w:ind w:left="0" w:leftChars="0" w:right="0" w:firstLine="640" w:firstLineChars="200"/>
        <w:jc w:val="both"/>
        <w:textAlignment w:val="top"/>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特困人员、低保对象、返贫致贫人口在市域内定点医疗机构实行“一单制”；低保边缘家庭成员、农村易返贫</w:t>
      </w:r>
      <w:r>
        <w:rPr>
          <w:rFonts w:hint="eastAsia" w:ascii="仿宋_GB2312" w:hAnsi="仿宋_GB2312" w:eastAsia="仿宋_GB2312" w:cs="仿宋_GB2312"/>
          <w:color w:val="auto"/>
          <w:sz w:val="32"/>
          <w:szCs w:val="32"/>
          <w:highlight w:val="none"/>
          <w:lang w:eastAsia="zh-CN"/>
        </w:rPr>
        <w:t>致</w:t>
      </w:r>
      <w:r>
        <w:rPr>
          <w:rFonts w:hint="eastAsia" w:ascii="仿宋_GB2312" w:hAnsi="仿宋_GB2312" w:eastAsia="仿宋_GB2312" w:cs="仿宋_GB2312"/>
          <w:color w:val="auto"/>
          <w:sz w:val="32"/>
          <w:szCs w:val="32"/>
          <w:highlight w:val="none"/>
        </w:rPr>
        <w:t>贫人口、因病致贫重病患者</w:t>
      </w:r>
      <w:r>
        <w:rPr>
          <w:rFonts w:hint="eastAsia" w:ascii="仿宋_GB2312" w:hAnsi="仿宋_GB2312" w:eastAsia="仿宋_GB2312" w:cs="仿宋_GB2312"/>
          <w:color w:val="auto"/>
          <w:sz w:val="32"/>
          <w:szCs w:val="32"/>
          <w:highlight w:val="none"/>
          <w:lang w:val="en-US" w:eastAsia="zh-CN"/>
        </w:rPr>
        <w:t>发生的医疗救助费用实行依申请救助，首次救助申请通过后，再次发生的医疗救助费用实行市域内</w:t>
      </w:r>
      <w:r>
        <w:rPr>
          <w:rFonts w:hint="eastAsia" w:ascii="仿宋_GB2312" w:hAnsi="仿宋_GB2312" w:eastAsia="仿宋_GB2312" w:cs="仿宋_GB2312"/>
          <w:color w:val="auto"/>
          <w:sz w:val="32"/>
          <w:szCs w:val="32"/>
          <w:highlight w:val="none"/>
        </w:rPr>
        <w:t>“一单制”结算。</w:t>
      </w:r>
    </w:p>
    <w:p>
      <w:pPr>
        <w:keepNext w:val="0"/>
        <w:keepLines w:val="0"/>
        <w:pageBreakBefore w:val="0"/>
        <w:kinsoku/>
        <w:wordWrap/>
        <w:bidi w:val="0"/>
        <w:spacing w:line="560" w:lineRule="exact"/>
        <w:rPr>
          <w:rFonts w:hint="eastAsia" w:ascii="仿宋_GB2312" w:hAnsi="方正小标宋简体" w:eastAsia="仿宋_GB2312" w:cs="方正小标宋简体"/>
          <w:color w:val="000000" w:themeColor="text1"/>
          <w:sz w:val="32"/>
          <w:szCs w:val="32"/>
          <w14:textFill>
            <w14:solidFill>
              <w14:schemeClr w14:val="tx1"/>
            </w14:solidFill>
          </w14:textFill>
        </w:rPr>
      </w:pPr>
    </w:p>
    <w:p>
      <w:pPr>
        <w:pStyle w:val="17"/>
        <w:keepNext w:val="0"/>
        <w:keepLines w:val="0"/>
        <w:pageBreakBefore w:val="0"/>
        <w:widowControl w:val="0"/>
        <w:kinsoku/>
        <w:wordWrap/>
        <w:overflowPunct/>
        <w:topLinePunct/>
        <w:bidi w:val="0"/>
        <w:adjustRightInd/>
        <w:snapToGrid/>
        <w:spacing w:after="0" w:line="560" w:lineRule="exact"/>
        <w:jc w:val="both"/>
        <w:textAlignment w:val="top"/>
        <w:rPr>
          <w:rFonts w:hint="default" w:ascii="仿宋_GB2312" w:hAnsi="仿宋_GB2312" w:eastAsia="仿宋_GB2312" w:cs="仿宋_GB2312"/>
          <w:b/>
          <w:bCs/>
          <w:color w:val="auto"/>
          <w:sz w:val="32"/>
          <w:szCs w:val="32"/>
          <w:lang w:val="en-US" w:eastAsia="zh-CN"/>
        </w:rPr>
      </w:pPr>
    </w:p>
    <w:p>
      <w:pPr>
        <w:pStyle w:val="17"/>
        <w:keepNext w:val="0"/>
        <w:keepLines w:val="0"/>
        <w:pageBreakBefore w:val="0"/>
        <w:widowControl w:val="0"/>
        <w:kinsoku/>
        <w:wordWrap/>
        <w:overflowPunct/>
        <w:topLinePunct/>
        <w:bidi w:val="0"/>
        <w:adjustRightInd/>
        <w:snapToGrid/>
        <w:spacing w:after="0" w:line="560" w:lineRule="exact"/>
        <w:jc w:val="both"/>
        <w:textAlignment w:val="top"/>
        <w:rPr>
          <w:rFonts w:hint="default" w:ascii="仿宋_GB2312" w:hAnsi="仿宋_GB2312" w:eastAsia="仿宋_GB2312" w:cs="仿宋_GB2312"/>
          <w:b/>
          <w:bCs/>
          <w:color w:val="auto"/>
          <w:sz w:val="32"/>
          <w:szCs w:val="32"/>
          <w:lang w:val="en-US" w:eastAsia="zh-CN"/>
        </w:rPr>
      </w:pPr>
    </w:p>
    <w:p>
      <w:pPr>
        <w:pStyle w:val="17"/>
        <w:keepNext w:val="0"/>
        <w:keepLines w:val="0"/>
        <w:pageBreakBefore w:val="0"/>
        <w:widowControl w:val="0"/>
        <w:kinsoku/>
        <w:wordWrap/>
        <w:overflowPunct/>
        <w:topLinePunct/>
        <w:bidi w:val="0"/>
        <w:adjustRightInd/>
        <w:snapToGrid/>
        <w:spacing w:after="0" w:line="560" w:lineRule="exact"/>
        <w:jc w:val="both"/>
        <w:textAlignment w:val="top"/>
        <w:rPr>
          <w:rFonts w:hint="default" w:ascii="仿宋_GB2312" w:hAnsi="仿宋_GB2312" w:eastAsia="仿宋_GB2312" w:cs="仿宋_GB2312"/>
          <w:b/>
          <w:bCs/>
          <w:color w:val="auto"/>
          <w:sz w:val="32"/>
          <w:szCs w:val="32"/>
          <w:lang w:val="en-US" w:eastAsia="zh-CN"/>
        </w:rPr>
      </w:pPr>
    </w:p>
    <w:p>
      <w:pPr>
        <w:pStyle w:val="17"/>
        <w:keepNext w:val="0"/>
        <w:keepLines w:val="0"/>
        <w:pageBreakBefore w:val="0"/>
        <w:widowControl w:val="0"/>
        <w:kinsoku/>
        <w:wordWrap/>
        <w:overflowPunct/>
        <w:topLinePunct/>
        <w:bidi w:val="0"/>
        <w:adjustRightInd/>
        <w:snapToGrid/>
        <w:spacing w:after="0" w:line="560" w:lineRule="exact"/>
        <w:jc w:val="both"/>
        <w:textAlignment w:val="top"/>
        <w:rPr>
          <w:rFonts w:hint="default" w:ascii="仿宋_GB2312" w:hAnsi="仿宋_GB2312" w:eastAsia="仿宋_GB2312" w:cs="仿宋_GB2312"/>
          <w:b/>
          <w:bCs/>
          <w:color w:val="auto"/>
          <w:sz w:val="32"/>
          <w:szCs w:val="32"/>
          <w:lang w:val="en-US" w:eastAsia="zh-CN"/>
        </w:rPr>
      </w:pPr>
    </w:p>
    <w:p>
      <w:pPr>
        <w:pStyle w:val="17"/>
        <w:keepNext w:val="0"/>
        <w:keepLines w:val="0"/>
        <w:pageBreakBefore w:val="0"/>
        <w:widowControl w:val="0"/>
        <w:kinsoku/>
        <w:wordWrap/>
        <w:overflowPunct/>
        <w:topLinePunct/>
        <w:bidi w:val="0"/>
        <w:adjustRightInd/>
        <w:snapToGrid/>
        <w:spacing w:after="0" w:line="560" w:lineRule="exact"/>
        <w:jc w:val="both"/>
        <w:textAlignment w:val="top"/>
        <w:rPr>
          <w:rFonts w:hint="default" w:ascii="仿宋_GB2312" w:hAnsi="仿宋_GB2312" w:eastAsia="仿宋_GB2312" w:cs="仿宋_GB2312"/>
          <w:b/>
          <w:bCs/>
          <w:color w:val="auto"/>
          <w:sz w:val="32"/>
          <w:szCs w:val="32"/>
          <w:lang w:val="en-US" w:eastAsia="zh-CN"/>
        </w:rPr>
      </w:pPr>
    </w:p>
    <w:p>
      <w:pPr>
        <w:pStyle w:val="17"/>
        <w:keepNext w:val="0"/>
        <w:keepLines w:val="0"/>
        <w:pageBreakBefore w:val="0"/>
        <w:widowControl w:val="0"/>
        <w:kinsoku/>
        <w:wordWrap/>
        <w:overflowPunct/>
        <w:topLinePunct/>
        <w:bidi w:val="0"/>
        <w:adjustRightInd/>
        <w:snapToGrid/>
        <w:spacing w:after="0" w:line="560" w:lineRule="exact"/>
        <w:jc w:val="both"/>
        <w:textAlignment w:val="top"/>
        <w:rPr>
          <w:rFonts w:hint="default" w:ascii="仿宋_GB2312" w:hAnsi="仿宋_GB2312" w:eastAsia="仿宋_GB2312" w:cs="仿宋_GB2312"/>
          <w:b/>
          <w:bCs/>
          <w:color w:val="auto"/>
          <w:sz w:val="32"/>
          <w:szCs w:val="32"/>
          <w:lang w:val="en-US" w:eastAsia="zh-CN"/>
        </w:rPr>
      </w:pPr>
    </w:p>
    <w:p>
      <w:pPr>
        <w:pStyle w:val="17"/>
        <w:keepNext w:val="0"/>
        <w:keepLines w:val="0"/>
        <w:pageBreakBefore w:val="0"/>
        <w:widowControl w:val="0"/>
        <w:kinsoku/>
        <w:wordWrap/>
        <w:overflowPunct/>
        <w:topLinePunct/>
        <w:bidi w:val="0"/>
        <w:adjustRightInd/>
        <w:snapToGrid/>
        <w:spacing w:after="0" w:line="560" w:lineRule="exact"/>
        <w:jc w:val="both"/>
        <w:textAlignment w:val="top"/>
        <w:rPr>
          <w:rFonts w:hint="default" w:ascii="仿宋_GB2312" w:hAnsi="仿宋_GB2312" w:eastAsia="仿宋_GB2312" w:cs="仿宋_GB2312"/>
          <w:b/>
          <w:bCs/>
          <w:color w:val="auto"/>
          <w:sz w:val="32"/>
          <w:szCs w:val="32"/>
          <w:lang w:val="en-US" w:eastAsia="zh-CN"/>
        </w:rPr>
      </w:pPr>
    </w:p>
    <w:p>
      <w:pPr>
        <w:pStyle w:val="17"/>
        <w:keepNext w:val="0"/>
        <w:keepLines w:val="0"/>
        <w:pageBreakBefore w:val="0"/>
        <w:widowControl w:val="0"/>
        <w:kinsoku/>
        <w:wordWrap/>
        <w:overflowPunct/>
        <w:topLinePunct/>
        <w:bidi w:val="0"/>
        <w:adjustRightInd/>
        <w:snapToGrid/>
        <w:spacing w:after="0" w:line="560" w:lineRule="exact"/>
        <w:jc w:val="both"/>
        <w:textAlignment w:val="top"/>
        <w:rPr>
          <w:rFonts w:hint="default" w:ascii="仿宋_GB2312" w:hAnsi="仿宋_GB2312" w:eastAsia="仿宋_GB2312" w:cs="仿宋_GB2312"/>
          <w:b/>
          <w:bCs/>
          <w:color w:val="auto"/>
          <w:sz w:val="32"/>
          <w:szCs w:val="32"/>
          <w:lang w:val="en-US" w:eastAsia="zh-CN"/>
        </w:rPr>
      </w:pPr>
    </w:p>
    <w:p>
      <w:pPr>
        <w:pStyle w:val="17"/>
        <w:keepNext w:val="0"/>
        <w:keepLines w:val="0"/>
        <w:pageBreakBefore w:val="0"/>
        <w:widowControl w:val="0"/>
        <w:kinsoku/>
        <w:wordWrap/>
        <w:overflowPunct/>
        <w:topLinePunct/>
        <w:bidi w:val="0"/>
        <w:adjustRightInd/>
        <w:snapToGrid/>
        <w:spacing w:after="0" w:line="560" w:lineRule="exact"/>
        <w:jc w:val="both"/>
        <w:textAlignment w:val="top"/>
        <w:rPr>
          <w:rFonts w:hint="default" w:ascii="仿宋_GB2312" w:hAnsi="仿宋_GB2312" w:eastAsia="仿宋_GB2312" w:cs="仿宋_GB2312"/>
          <w:b/>
          <w:bCs/>
          <w:color w:val="auto"/>
          <w:sz w:val="32"/>
          <w:szCs w:val="32"/>
          <w:lang w:val="en-US" w:eastAsia="zh-CN"/>
        </w:rPr>
      </w:pPr>
    </w:p>
    <w:p>
      <w:pPr>
        <w:pStyle w:val="17"/>
        <w:keepNext w:val="0"/>
        <w:keepLines w:val="0"/>
        <w:pageBreakBefore w:val="0"/>
        <w:widowControl w:val="0"/>
        <w:kinsoku/>
        <w:wordWrap/>
        <w:overflowPunct/>
        <w:topLinePunct/>
        <w:bidi w:val="0"/>
        <w:adjustRightInd/>
        <w:snapToGrid/>
        <w:spacing w:after="0" w:line="560" w:lineRule="exact"/>
        <w:jc w:val="both"/>
        <w:textAlignment w:val="top"/>
        <w:rPr>
          <w:rFonts w:hint="default" w:ascii="仿宋_GB2312" w:hAnsi="仿宋_GB2312" w:eastAsia="仿宋_GB2312" w:cs="仿宋_GB2312"/>
          <w:b/>
          <w:bCs/>
          <w:color w:val="auto"/>
          <w:sz w:val="32"/>
          <w:szCs w:val="32"/>
          <w:lang w:val="en-US" w:eastAsia="zh-CN"/>
        </w:rPr>
      </w:pPr>
    </w:p>
    <w:p>
      <w:pPr>
        <w:pStyle w:val="17"/>
        <w:keepNext w:val="0"/>
        <w:keepLines w:val="0"/>
        <w:pageBreakBefore w:val="0"/>
        <w:widowControl w:val="0"/>
        <w:kinsoku/>
        <w:wordWrap/>
        <w:overflowPunct/>
        <w:topLinePunct/>
        <w:bidi w:val="0"/>
        <w:adjustRightInd/>
        <w:snapToGrid/>
        <w:spacing w:after="0" w:line="560" w:lineRule="exact"/>
        <w:jc w:val="both"/>
        <w:textAlignment w:val="top"/>
        <w:rPr>
          <w:rFonts w:hint="default" w:ascii="仿宋_GB2312" w:hAnsi="仿宋_GB2312" w:eastAsia="仿宋_GB2312" w:cs="仿宋_GB2312"/>
          <w:b/>
          <w:bCs/>
          <w:color w:val="auto"/>
          <w:sz w:val="32"/>
          <w:szCs w:val="32"/>
          <w:lang w:val="en-US" w:eastAsia="zh-CN"/>
        </w:rPr>
      </w:pPr>
    </w:p>
    <w:p>
      <w:pPr>
        <w:pStyle w:val="2"/>
        <w:keepNext w:val="0"/>
        <w:keepLines w:val="0"/>
        <w:pageBreakBefore w:val="0"/>
        <w:kinsoku/>
        <w:wordWrap/>
        <w:bidi w:val="0"/>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残疾保障政策</w:t>
      </w:r>
      <w:r>
        <w:rPr>
          <w:rFonts w:hint="eastAsia" w:ascii="方正小标宋简体" w:hAnsi="方正小标宋简体" w:eastAsia="方正小标宋简体" w:cs="方正小标宋简体"/>
          <w:sz w:val="44"/>
          <w:szCs w:val="44"/>
          <w:lang w:val="en-US" w:eastAsia="zh-CN"/>
        </w:rPr>
        <w:t>解读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Chars="0" w:right="0"/>
        <w:jc w:val="center"/>
        <w:textAlignment w:val="auto"/>
        <w:rPr>
          <w:rFonts w:hint="default" w:ascii="黑体" w:hAnsi="黑体" w:eastAsia="黑体" w:cs="黑体"/>
          <w:b w:val="0"/>
          <w:bCs w:val="0"/>
          <w:color w:val="auto"/>
          <w:w w:val="80"/>
          <w:sz w:val="32"/>
          <w:szCs w:val="32"/>
          <w:shd w:val="clear" w:fill="FFFFFF"/>
          <w:lang w:val="en-US" w:eastAsia="zh-CN"/>
        </w:rPr>
      </w:pPr>
      <w:r>
        <w:rPr>
          <w:rFonts w:hint="eastAsia" w:ascii="黑体" w:hAnsi="黑体" w:eastAsia="黑体" w:cs="黑体"/>
          <w:b w:val="0"/>
          <w:bCs w:val="0"/>
          <w:color w:val="auto"/>
          <w:w w:val="80"/>
          <w:sz w:val="32"/>
          <w:szCs w:val="32"/>
          <w:shd w:val="clear" w:fill="FFFFFF"/>
          <w:lang w:val="en-US" w:eastAsia="zh-CN"/>
        </w:rPr>
        <w:t>第一部分  残疾人证如何办理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b w:val="0"/>
          <w:bCs w:val="0"/>
          <w:color w:val="auto"/>
          <w:sz w:val="32"/>
          <w:szCs w:val="32"/>
          <w:shd w:val="clear" w:fill="FFFFFF"/>
          <w:lang w:val="en-US" w:eastAsia="zh-CN"/>
        </w:rPr>
      </w:pPr>
      <w:r>
        <w:rPr>
          <w:rFonts w:hint="eastAsia" w:ascii="仿宋_GB2312" w:hAnsi="仿宋_GB2312" w:eastAsia="仿宋_GB2312" w:cs="仿宋_GB2312"/>
          <w:b w:val="0"/>
          <w:bCs w:val="0"/>
          <w:color w:val="auto"/>
          <w:sz w:val="32"/>
          <w:szCs w:val="32"/>
          <w:shd w:val="clear" w:fill="FFFFFF"/>
          <w:lang w:val="en-US" w:eastAsia="zh-CN"/>
        </w:rPr>
        <w:t>根据河南省实施《中华人民共和国残疾人证管理办法》细则规定，残疾人证核发工作坚持自愿申领、属地管理和透明公开原则。残疾人证仅限持证人本人使用，妥善保管，不得转借他人。凡具有我县户籍（非方城县户籍人员需要提供 方城县暂住证原件），符合残疾标准的视力、听力、言语、肢体、智力、精神及多重残疾人均可申领残疾人证，办理残疾人证，残联不收取工本费和办证手续费。方城县户籍人员在外地，且拥有居住地户籍暂住证，可以到居住地残联咨询、办理。指定机构评定残疾类别、等级的费用以及照片等费用，由个人自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黑体" w:hAnsi="黑体" w:eastAsia="黑体" w:cs="黑体"/>
          <w:b w:val="0"/>
          <w:bCs w:val="0"/>
          <w:color w:val="auto"/>
          <w:sz w:val="32"/>
          <w:szCs w:val="32"/>
          <w:shd w:val="clear" w:fill="FFFFFF"/>
          <w:lang w:eastAsia="zh-CN"/>
        </w:rPr>
      </w:pPr>
      <w:r>
        <w:rPr>
          <w:rFonts w:hint="eastAsia" w:ascii="黑体" w:hAnsi="黑体" w:eastAsia="黑体" w:cs="黑体"/>
          <w:b w:val="0"/>
          <w:bCs w:val="0"/>
          <w:color w:val="auto"/>
          <w:sz w:val="32"/>
          <w:szCs w:val="32"/>
          <w:shd w:val="clear" w:fill="FFFFFF"/>
          <w:lang w:val="en-US" w:eastAsia="zh-CN"/>
        </w:rPr>
        <w:t>一、</w:t>
      </w:r>
      <w:r>
        <w:rPr>
          <w:rFonts w:hint="eastAsia" w:ascii="黑体" w:hAnsi="黑体" w:eastAsia="黑体" w:cs="黑体"/>
          <w:b w:val="0"/>
          <w:bCs w:val="0"/>
          <w:color w:val="auto"/>
          <w:sz w:val="32"/>
          <w:szCs w:val="32"/>
          <w:shd w:val="clear" w:fill="FFFFFF"/>
          <w:lang w:eastAsia="zh-CN"/>
        </w:rPr>
        <w:t>首次申请办理残疾人证</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b w:val="0"/>
          <w:bCs w:val="0"/>
          <w:color w:val="auto"/>
          <w:sz w:val="32"/>
          <w:szCs w:val="32"/>
          <w:shd w:val="clear" w:fill="FFFFFF"/>
          <w:lang w:val="en-US" w:eastAsia="zh-CN"/>
        </w:rPr>
      </w:pPr>
      <w:r>
        <w:rPr>
          <w:rFonts w:hint="eastAsia" w:ascii="仿宋_GB2312" w:hAnsi="仿宋_GB2312" w:eastAsia="仿宋_GB2312" w:cs="仿宋_GB2312"/>
          <w:b w:val="0"/>
          <w:bCs w:val="0"/>
          <w:color w:val="auto"/>
          <w:sz w:val="32"/>
          <w:szCs w:val="32"/>
          <w:shd w:val="clear" w:fill="FFFFFF"/>
          <w:lang w:val="en-US" w:eastAsia="zh-CN"/>
        </w:rPr>
        <w:t>1、流程：申请→受理→评定→公示→审核→制证→发放。</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b/>
          <w:bCs/>
          <w:color w:val="auto"/>
          <w:sz w:val="32"/>
          <w:szCs w:val="32"/>
          <w:shd w:val="clear" w:fill="FFFFFF"/>
        </w:rPr>
      </w:pPr>
      <w:r>
        <w:rPr>
          <w:rFonts w:hint="eastAsia" w:ascii="仿宋_GB2312" w:hAnsi="仿宋_GB2312" w:eastAsia="仿宋_GB2312" w:cs="仿宋_GB2312"/>
          <w:b w:val="0"/>
          <w:bCs w:val="0"/>
          <w:color w:val="auto"/>
          <w:sz w:val="32"/>
          <w:szCs w:val="32"/>
          <w:shd w:val="clear" w:fill="FFFFFF"/>
          <w:lang w:val="en-US" w:eastAsia="zh-CN"/>
        </w:rPr>
        <w:t>2、相关材料：</w:t>
      </w:r>
      <w:r>
        <w:rPr>
          <w:rFonts w:hint="eastAsia" w:ascii="仿宋_GB2312" w:hAnsi="仿宋_GB2312" w:eastAsia="仿宋_GB2312" w:cs="仿宋_GB2312"/>
          <w:b w:val="0"/>
          <w:bCs w:val="0"/>
          <w:color w:val="auto"/>
          <w:sz w:val="32"/>
          <w:szCs w:val="32"/>
          <w:shd w:val="clear" w:fill="FFFFFF"/>
          <w:lang w:eastAsia="zh-CN"/>
        </w:rPr>
        <w:t>初次办理</w:t>
      </w:r>
      <w:r>
        <w:rPr>
          <w:rFonts w:hint="eastAsia" w:ascii="仿宋_GB2312" w:hAnsi="仿宋_GB2312" w:eastAsia="仿宋_GB2312" w:cs="仿宋_GB2312"/>
          <w:b w:val="0"/>
          <w:bCs w:val="0"/>
          <w:color w:val="auto"/>
          <w:sz w:val="32"/>
          <w:szCs w:val="32"/>
          <w:shd w:val="clear" w:fill="FFFFFF"/>
        </w:rPr>
        <w:t>残疾人证</w:t>
      </w:r>
      <w:r>
        <w:rPr>
          <w:rFonts w:hint="eastAsia" w:ascii="仿宋_GB2312" w:hAnsi="仿宋_GB2312" w:eastAsia="仿宋_GB2312" w:cs="仿宋_GB2312"/>
          <w:b w:val="0"/>
          <w:bCs w:val="0"/>
          <w:color w:val="auto"/>
          <w:sz w:val="32"/>
          <w:szCs w:val="32"/>
          <w:shd w:val="clear" w:fill="FFFFFF"/>
          <w:lang w:eastAsia="zh-CN"/>
        </w:rPr>
        <w:t>的</w:t>
      </w:r>
      <w:r>
        <w:rPr>
          <w:rFonts w:hint="eastAsia" w:ascii="仿宋_GB2312" w:hAnsi="仿宋_GB2312" w:eastAsia="仿宋_GB2312" w:cs="仿宋_GB2312"/>
          <w:b w:val="0"/>
          <w:bCs w:val="0"/>
          <w:color w:val="auto"/>
          <w:sz w:val="32"/>
          <w:szCs w:val="32"/>
          <w:shd w:val="clear" w:fill="FFFFFF"/>
        </w:rPr>
        <w:t>可由申请人或其代理人申请办领。</w:t>
      </w:r>
      <w:r>
        <w:rPr>
          <w:rFonts w:hint="eastAsia" w:ascii="仿宋_GB2312" w:hAnsi="仿宋_GB2312" w:eastAsia="仿宋_GB2312" w:cs="仿宋_GB2312"/>
          <w:b w:val="0"/>
          <w:bCs w:val="0"/>
          <w:color w:val="auto"/>
          <w:sz w:val="32"/>
          <w:szCs w:val="32"/>
          <w:shd w:val="clear" w:fill="FFFFFF"/>
          <w:lang w:eastAsia="zh-CN"/>
        </w:rPr>
        <w:t>需携带：①申请人的县级以上医院检查、诊断资料，相关病历（注：因病、伤致残者需要提供出院一年以上的病例，如外观有明显肢体残缺的申请人，不需要提供病例）；②申请人本人的身份证（或户口本）；③申请人近期二寸免冠彩照</w:t>
      </w:r>
      <w:r>
        <w:rPr>
          <w:rFonts w:hint="eastAsia" w:ascii="仿宋_GB2312" w:hAnsi="仿宋_GB2312" w:eastAsia="仿宋_GB2312" w:cs="仿宋_GB2312"/>
          <w:b w:val="0"/>
          <w:bCs w:val="0"/>
          <w:color w:val="auto"/>
          <w:sz w:val="32"/>
          <w:szCs w:val="32"/>
          <w:shd w:val="clear" w:fill="FFFFFF"/>
          <w:lang w:val="en-US" w:eastAsia="zh-CN"/>
        </w:rPr>
        <w:t>3张（以上资料可由代理人提交）。</w:t>
      </w:r>
      <w:r>
        <w:rPr>
          <w:rFonts w:hint="eastAsia" w:ascii="仿宋_GB2312" w:hAnsi="仿宋_GB2312" w:eastAsia="仿宋_GB2312" w:cs="仿宋_GB2312"/>
          <w:b w:val="0"/>
          <w:bCs w:val="0"/>
          <w:color w:val="auto"/>
          <w:sz w:val="32"/>
          <w:szCs w:val="32"/>
          <w:shd w:val="clear" w:fill="FFFFFF"/>
        </w:rPr>
        <w:t>申请智力、精神类残疾人证和未成年人</w:t>
      </w:r>
      <w:r>
        <w:rPr>
          <w:rFonts w:hint="eastAsia" w:ascii="仿宋_GB2312" w:hAnsi="仿宋_GB2312" w:eastAsia="仿宋_GB2312" w:cs="仿宋_GB2312"/>
          <w:b w:val="0"/>
          <w:bCs w:val="0"/>
          <w:color w:val="auto"/>
          <w:sz w:val="32"/>
          <w:szCs w:val="32"/>
          <w:shd w:val="clear" w:fill="FFFFFF"/>
          <w:lang w:eastAsia="zh-CN"/>
        </w:rPr>
        <w:t>（</w:t>
      </w:r>
      <w:r>
        <w:rPr>
          <w:rFonts w:hint="eastAsia" w:ascii="仿宋_GB2312" w:hAnsi="仿宋_GB2312" w:eastAsia="仿宋_GB2312" w:cs="仿宋_GB2312"/>
          <w:b w:val="0"/>
          <w:bCs w:val="0"/>
          <w:color w:val="auto"/>
          <w:sz w:val="32"/>
          <w:szCs w:val="32"/>
          <w:shd w:val="clear" w:fill="FFFFFF"/>
          <w:lang w:val="en-US" w:eastAsia="zh-CN"/>
        </w:rPr>
        <w:t>18岁</w:t>
      </w:r>
      <w:r>
        <w:rPr>
          <w:rFonts w:hint="eastAsia" w:ascii="仿宋_GB2312" w:hAnsi="仿宋_GB2312" w:eastAsia="仿宋_GB2312" w:cs="仿宋_GB2312"/>
          <w:b w:val="0"/>
          <w:bCs w:val="0"/>
          <w:color w:val="auto"/>
          <w:sz w:val="32"/>
          <w:szCs w:val="32"/>
          <w:shd w:val="clear" w:fill="FFFFFF"/>
          <w:lang w:eastAsia="zh-CN"/>
        </w:rPr>
        <w:t>）</w:t>
      </w:r>
      <w:r>
        <w:rPr>
          <w:rFonts w:hint="eastAsia" w:ascii="仿宋_GB2312" w:hAnsi="仿宋_GB2312" w:eastAsia="仿宋_GB2312" w:cs="仿宋_GB2312"/>
          <w:b w:val="0"/>
          <w:bCs w:val="0"/>
          <w:color w:val="auto"/>
          <w:sz w:val="32"/>
          <w:szCs w:val="32"/>
          <w:shd w:val="clear" w:fill="FFFFFF"/>
        </w:rPr>
        <w:t>申请残疾人证须同时提供法定监护人的证明材料</w:t>
      </w:r>
      <w:r>
        <w:rPr>
          <w:rFonts w:hint="eastAsia" w:ascii="仿宋_GB2312" w:hAnsi="仿宋_GB2312" w:eastAsia="仿宋_GB2312" w:cs="仿宋_GB2312"/>
          <w:b w:val="0"/>
          <w:bCs w:val="0"/>
          <w:color w:val="auto"/>
          <w:sz w:val="32"/>
          <w:szCs w:val="32"/>
          <w:shd w:val="clear" w:fill="FFFFFF"/>
          <w:lang w:eastAsia="zh-CN"/>
        </w:rPr>
        <w:t>（户口本或其他相关佐证）</w:t>
      </w:r>
      <w:r>
        <w:rPr>
          <w:rFonts w:hint="eastAsia" w:ascii="仿宋_GB2312" w:hAnsi="仿宋_GB2312" w:eastAsia="仿宋_GB2312" w:cs="仿宋_GB2312"/>
          <w:b w:val="0"/>
          <w:bCs w:val="0"/>
          <w:color w:val="auto"/>
          <w:sz w:val="32"/>
          <w:szCs w:val="32"/>
          <w:shd w:val="clear" w:fill="FFFFFF"/>
        </w:rPr>
        <w:t>。</w:t>
      </w:r>
      <w:r>
        <w:rPr>
          <w:rFonts w:hint="eastAsia" w:ascii="仿宋_GB2312" w:hAnsi="仿宋_GB2312" w:eastAsia="仿宋_GB2312" w:cs="仿宋_GB2312"/>
          <w:b w:val="0"/>
          <w:bCs w:val="0"/>
          <w:color w:val="auto"/>
          <w:sz w:val="32"/>
          <w:szCs w:val="32"/>
          <w:shd w:val="clear" w:fill="FFFFFF"/>
          <w:lang w:eastAsia="zh-CN"/>
        </w:rPr>
        <w:t>跨省通办。</w:t>
      </w:r>
      <w:r>
        <w:rPr>
          <w:rFonts w:hint="eastAsia" w:ascii="仿宋_GB2312" w:hAnsi="仿宋_GB2312" w:eastAsia="仿宋_GB2312" w:cs="仿宋_GB2312"/>
          <w:b/>
          <w:bCs/>
          <w:color w:val="auto"/>
          <w:sz w:val="32"/>
          <w:szCs w:val="32"/>
          <w:shd w:val="clear" w:fill="FFFFFF"/>
          <w:lang w:eastAsia="zh-CN"/>
        </w:rPr>
        <w:t>注：</w:t>
      </w:r>
      <w:r>
        <w:rPr>
          <w:rFonts w:hint="eastAsia" w:ascii="仿宋_GB2312" w:hAnsi="仿宋_GB2312" w:eastAsia="仿宋_GB2312" w:cs="仿宋_GB2312"/>
          <w:b/>
          <w:bCs/>
          <w:color w:val="auto"/>
          <w:sz w:val="32"/>
          <w:szCs w:val="32"/>
          <w:shd w:val="clear" w:fill="FFFFFF"/>
        </w:rPr>
        <w:t>听力</w:t>
      </w:r>
      <w:r>
        <w:rPr>
          <w:rFonts w:hint="eastAsia" w:ascii="仿宋_GB2312" w:hAnsi="仿宋_GB2312" w:eastAsia="仿宋_GB2312" w:cs="仿宋_GB2312"/>
          <w:b/>
          <w:bCs/>
          <w:color w:val="auto"/>
          <w:sz w:val="32"/>
          <w:szCs w:val="32"/>
          <w:shd w:val="clear" w:fill="FFFFFF"/>
          <w:lang w:eastAsia="zh-CN"/>
        </w:rPr>
        <w:t>、</w:t>
      </w:r>
      <w:r>
        <w:rPr>
          <w:rFonts w:hint="eastAsia" w:ascii="仿宋_GB2312" w:hAnsi="仿宋_GB2312" w:eastAsia="仿宋_GB2312" w:cs="仿宋_GB2312"/>
          <w:b/>
          <w:bCs/>
          <w:color w:val="auto"/>
          <w:sz w:val="32"/>
          <w:szCs w:val="32"/>
          <w:shd w:val="clear" w:fill="FFFFFF"/>
        </w:rPr>
        <w:t>言语障碍者，年满3周岁方可提出申请。精神障碍者，年满2周岁方可提出申请。</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b w:val="0"/>
          <w:bCs w:val="0"/>
          <w:color w:val="auto"/>
          <w:sz w:val="32"/>
          <w:szCs w:val="32"/>
          <w:shd w:val="clear" w:fill="FFFFFF"/>
          <w:lang w:val="en-US" w:eastAsia="zh-CN"/>
        </w:rPr>
      </w:pPr>
      <w:r>
        <w:rPr>
          <w:rFonts w:hint="eastAsia" w:ascii="仿宋_GB2312" w:hAnsi="仿宋_GB2312" w:eastAsia="仿宋_GB2312" w:cs="仿宋_GB2312"/>
          <w:b w:val="0"/>
          <w:bCs w:val="0"/>
          <w:color w:val="auto"/>
          <w:sz w:val="32"/>
          <w:szCs w:val="32"/>
          <w:shd w:val="clear" w:fill="FFFFFF"/>
          <w:lang w:val="en-US" w:eastAsia="zh-CN"/>
        </w:rPr>
        <w:t>3、</w:t>
      </w:r>
      <w:r>
        <w:rPr>
          <w:rFonts w:hint="eastAsia" w:ascii="仿宋_GB2312" w:hAnsi="仿宋_GB2312" w:eastAsia="仿宋_GB2312" w:cs="仿宋_GB2312"/>
          <w:b w:val="0"/>
          <w:bCs w:val="0"/>
          <w:color w:val="auto"/>
          <w:sz w:val="32"/>
          <w:szCs w:val="32"/>
          <w:shd w:val="clear" w:fill="FFFFFF"/>
          <w:lang w:eastAsia="zh-CN"/>
        </w:rPr>
        <w:t>申请地点：方城县便民服务大厅</w:t>
      </w:r>
      <w:r>
        <w:rPr>
          <w:rFonts w:hint="eastAsia" w:ascii="仿宋_GB2312" w:hAnsi="仿宋_GB2312" w:eastAsia="仿宋_GB2312" w:cs="仿宋_GB2312"/>
          <w:b w:val="0"/>
          <w:bCs w:val="0"/>
          <w:color w:val="auto"/>
          <w:sz w:val="32"/>
          <w:szCs w:val="32"/>
          <w:shd w:val="clear" w:fill="FFFFFF"/>
          <w:lang w:val="en-US" w:eastAsia="zh-CN"/>
        </w:rPr>
        <w:t>120号窗口</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黑体" w:hAnsi="黑体" w:eastAsia="黑体" w:cs="黑体"/>
          <w:b w:val="0"/>
          <w:bCs w:val="0"/>
          <w:color w:val="auto"/>
          <w:sz w:val="32"/>
          <w:szCs w:val="32"/>
          <w:shd w:val="clear" w:fill="FFFFFF"/>
          <w:lang w:val="en-US" w:eastAsia="zh-CN"/>
        </w:rPr>
      </w:pPr>
      <w:r>
        <w:rPr>
          <w:rFonts w:hint="eastAsia" w:ascii="黑体" w:hAnsi="黑体" w:eastAsia="黑体" w:cs="黑体"/>
          <w:b w:val="0"/>
          <w:bCs w:val="0"/>
          <w:color w:val="auto"/>
          <w:sz w:val="32"/>
          <w:szCs w:val="32"/>
          <w:shd w:val="clear" w:fill="FFFFFF"/>
          <w:lang w:val="en-US" w:eastAsia="zh-CN"/>
        </w:rPr>
        <w:t>二、残疾人证的到期换证</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default" w:ascii="仿宋" w:hAnsi="仿宋" w:eastAsia="仿宋" w:cs="仿宋"/>
          <w:b w:val="0"/>
          <w:bCs w:val="0"/>
          <w:color w:val="auto"/>
          <w:sz w:val="32"/>
          <w:szCs w:val="32"/>
          <w:shd w:val="clear" w:fill="FFFFFF"/>
          <w:lang w:val="en-US" w:eastAsia="zh-CN"/>
        </w:rPr>
      </w:pPr>
      <w:r>
        <w:rPr>
          <w:rFonts w:hint="eastAsia" w:ascii="仿宋_GB2312" w:hAnsi="仿宋_GB2312" w:eastAsia="仿宋_GB2312" w:cs="仿宋_GB2312"/>
          <w:b w:val="0"/>
          <w:bCs w:val="0"/>
          <w:color w:val="auto"/>
          <w:sz w:val="32"/>
          <w:szCs w:val="32"/>
          <w:shd w:val="clear" w:fill="FFFFFF"/>
        </w:rPr>
        <w:t>残疾人证十年到期，必须经过重新残疾评定才能换发新的</w:t>
      </w:r>
      <w:r>
        <w:rPr>
          <w:rFonts w:hint="eastAsia" w:ascii="仿宋_GB2312" w:hAnsi="仿宋_GB2312" w:eastAsia="仿宋_GB2312" w:cs="仿宋_GB2312"/>
          <w:b w:val="0"/>
          <w:bCs w:val="0"/>
          <w:color w:val="auto"/>
          <w:sz w:val="32"/>
          <w:szCs w:val="32"/>
          <w:shd w:val="clear" w:fill="FFFFFF"/>
          <w:lang w:eastAsia="zh-CN"/>
        </w:rPr>
        <w:t>残疾人证，可由申请人或代理人代办，需携带：①残疾人证原件；②残疾人身份证原件或户口本；③残疾人本人近期二寸免冠彩色照片</w:t>
      </w:r>
      <w:r>
        <w:rPr>
          <w:rFonts w:hint="eastAsia" w:ascii="仿宋_GB2312" w:hAnsi="仿宋_GB2312" w:eastAsia="仿宋_GB2312" w:cs="仿宋_GB2312"/>
          <w:b w:val="0"/>
          <w:bCs w:val="0"/>
          <w:color w:val="auto"/>
          <w:sz w:val="32"/>
          <w:szCs w:val="32"/>
          <w:shd w:val="clear" w:fill="FFFFFF"/>
          <w:lang w:val="en-US" w:eastAsia="zh-CN"/>
        </w:rPr>
        <w:t>3张（以上资料可由代理人提交）。</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黑体" w:hAnsi="黑体" w:eastAsia="黑体" w:cs="黑体"/>
          <w:b w:val="0"/>
          <w:bCs w:val="0"/>
          <w:color w:val="auto"/>
          <w:sz w:val="32"/>
          <w:szCs w:val="32"/>
          <w:shd w:val="clear" w:fill="FFFFFF"/>
          <w:lang w:val="en-US" w:eastAsia="zh-CN"/>
        </w:rPr>
      </w:pPr>
      <w:r>
        <w:rPr>
          <w:rFonts w:hint="eastAsia" w:ascii="黑体" w:hAnsi="黑体" w:eastAsia="黑体" w:cs="黑体"/>
          <w:b w:val="0"/>
          <w:bCs w:val="0"/>
          <w:color w:val="auto"/>
          <w:sz w:val="32"/>
          <w:szCs w:val="32"/>
          <w:shd w:val="clear" w:fill="FFFFFF"/>
          <w:lang w:val="en-US" w:eastAsia="zh-CN"/>
        </w:rPr>
        <w:t>三、残疾人证的迁移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b w:val="0"/>
          <w:bCs w:val="0"/>
          <w:color w:val="auto"/>
          <w:sz w:val="32"/>
          <w:szCs w:val="32"/>
          <w:shd w:val="clear" w:fill="FFFFFF"/>
          <w:lang w:eastAsia="zh-CN"/>
        </w:rPr>
      </w:pPr>
      <w:r>
        <w:rPr>
          <w:rFonts w:hint="eastAsia" w:ascii="仿宋_GB2312" w:hAnsi="仿宋_GB2312" w:eastAsia="仿宋_GB2312" w:cs="仿宋_GB2312"/>
          <w:b w:val="0"/>
          <w:bCs w:val="0"/>
          <w:color w:val="auto"/>
          <w:sz w:val="32"/>
          <w:szCs w:val="32"/>
          <w:shd w:val="clear" w:fill="FFFFFF"/>
          <w:lang w:eastAsia="zh-CN"/>
        </w:rPr>
        <w:t>残疾人户口迁移变动，在户籍变动后的半年内提出残疾人证的迁移，需携带：①残疾人证原件，②残疾人本人的户口迁移后的新身份证和户口本原件</w:t>
      </w:r>
      <w:r>
        <w:rPr>
          <w:rFonts w:hint="eastAsia" w:ascii="仿宋_GB2312" w:hAnsi="仿宋_GB2312" w:eastAsia="仿宋_GB2312" w:cs="仿宋_GB2312"/>
          <w:b w:val="0"/>
          <w:bCs w:val="0"/>
          <w:color w:val="auto"/>
          <w:sz w:val="32"/>
          <w:szCs w:val="32"/>
          <w:shd w:val="clear" w:fill="FFFFFF"/>
          <w:lang w:val="en-US" w:eastAsia="zh-CN"/>
        </w:rPr>
        <w:t>（以上资料可由代理人提交）</w:t>
      </w:r>
      <w:r>
        <w:rPr>
          <w:rFonts w:hint="eastAsia" w:ascii="仿宋_GB2312" w:hAnsi="仿宋_GB2312" w:eastAsia="仿宋_GB2312" w:cs="仿宋_GB2312"/>
          <w:b w:val="0"/>
          <w:bCs w:val="0"/>
          <w:color w:val="auto"/>
          <w:sz w:val="32"/>
          <w:szCs w:val="32"/>
          <w:shd w:val="clear" w:fill="FFFFFF"/>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b w:val="0"/>
          <w:bCs w:val="0"/>
          <w:color w:val="auto"/>
          <w:sz w:val="32"/>
          <w:szCs w:val="32"/>
          <w:shd w:val="clear" w:fill="FFFFFF"/>
          <w:lang w:eastAsia="zh-CN"/>
        </w:rPr>
      </w:pPr>
      <w:r>
        <w:rPr>
          <w:rFonts w:hint="eastAsia" w:ascii="仿宋_GB2312" w:hAnsi="仿宋_GB2312" w:eastAsia="仿宋_GB2312" w:cs="仿宋_GB2312"/>
          <w:b w:val="0"/>
          <w:bCs w:val="0"/>
          <w:color w:val="auto"/>
          <w:sz w:val="32"/>
          <w:szCs w:val="32"/>
          <w:shd w:val="clear" w:fill="FFFFFF"/>
          <w:lang w:eastAsia="zh-CN"/>
        </w:rPr>
        <w:t>如残疾人证已经过期，则需要重新办理后方可迁移。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黑体" w:hAnsi="黑体" w:eastAsia="黑体" w:cs="黑体"/>
          <w:b w:val="0"/>
          <w:bCs w:val="0"/>
          <w:color w:val="auto"/>
          <w:sz w:val="32"/>
          <w:szCs w:val="32"/>
          <w:shd w:val="clear" w:fill="FFFFFF"/>
          <w:lang w:val="en-US" w:eastAsia="zh-CN"/>
        </w:rPr>
      </w:pPr>
      <w:r>
        <w:rPr>
          <w:rFonts w:hint="eastAsia" w:ascii="黑体" w:hAnsi="黑体" w:eastAsia="黑体" w:cs="黑体"/>
          <w:b w:val="0"/>
          <w:bCs w:val="0"/>
          <w:color w:val="auto"/>
          <w:sz w:val="32"/>
          <w:szCs w:val="32"/>
          <w:shd w:val="clear" w:fill="FFFFFF"/>
          <w:lang w:val="en-US" w:eastAsia="zh-CN"/>
        </w:rPr>
        <w:t>四、残疾人证级别的变更</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b w:val="0"/>
          <w:bCs w:val="0"/>
          <w:color w:val="auto"/>
          <w:sz w:val="32"/>
          <w:szCs w:val="32"/>
          <w:shd w:val="clear" w:fill="FFFFFF"/>
          <w:lang w:val="en-US" w:eastAsia="zh-CN"/>
        </w:rPr>
      </w:pPr>
      <w:r>
        <w:rPr>
          <w:rFonts w:hint="eastAsia" w:ascii="仿宋_GB2312" w:hAnsi="仿宋_GB2312" w:eastAsia="仿宋_GB2312" w:cs="仿宋_GB2312"/>
          <w:b w:val="0"/>
          <w:bCs w:val="0"/>
          <w:color w:val="auto"/>
          <w:sz w:val="32"/>
          <w:szCs w:val="32"/>
          <w:shd w:val="clear" w:fill="FFFFFF"/>
          <w:lang w:eastAsia="zh-CN"/>
        </w:rPr>
        <w:t>残疾人证在有效期内，残疾程度和类别发生变化的，可以向残联提出级别和类别变更，需携带：①残疾人证原件；②残疾人本人身份证；③残疾人本人近期二寸免冠彩色照片</w:t>
      </w:r>
      <w:r>
        <w:rPr>
          <w:rFonts w:hint="eastAsia" w:ascii="仿宋_GB2312" w:hAnsi="仿宋_GB2312" w:eastAsia="仿宋_GB2312" w:cs="仿宋_GB2312"/>
          <w:b w:val="0"/>
          <w:bCs w:val="0"/>
          <w:color w:val="auto"/>
          <w:sz w:val="32"/>
          <w:szCs w:val="32"/>
          <w:shd w:val="clear" w:fill="FFFFFF"/>
          <w:lang w:val="en-US" w:eastAsia="zh-CN"/>
        </w:rPr>
        <w:t>3张（以上资料可由代理人提交）。</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b w:val="0"/>
          <w:bCs w:val="0"/>
          <w:color w:val="auto"/>
          <w:sz w:val="32"/>
          <w:szCs w:val="32"/>
          <w:shd w:val="clear" w:fill="FFFFFF"/>
          <w:lang w:eastAsia="zh-CN"/>
        </w:rPr>
      </w:pPr>
      <w:r>
        <w:rPr>
          <w:rFonts w:hint="eastAsia" w:ascii="仿宋_GB2312" w:hAnsi="仿宋_GB2312" w:eastAsia="仿宋_GB2312" w:cs="仿宋_GB2312"/>
          <w:b w:val="0"/>
          <w:bCs w:val="0"/>
          <w:color w:val="auto"/>
          <w:sz w:val="32"/>
          <w:szCs w:val="32"/>
          <w:shd w:val="clear" w:fill="FFFFFF"/>
          <w:lang w:eastAsia="zh-CN"/>
        </w:rPr>
        <w:t>信息变更携带残疾人证和身份证到便民大厅办理即可。</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left"/>
        <w:textAlignment w:val="auto"/>
        <w:rPr>
          <w:rFonts w:hint="eastAsia" w:ascii="仿宋_GB2312" w:hAnsi="仿宋_GB2312" w:eastAsia="仿宋_GB2312" w:cs="仿宋_GB2312"/>
          <w:b/>
          <w:bCs/>
          <w:color w:val="auto"/>
          <w:sz w:val="32"/>
          <w:szCs w:val="32"/>
          <w:shd w:val="clear" w:fill="FFFFFF"/>
          <w:lang w:val="en-US" w:eastAsia="zh-CN"/>
        </w:rPr>
      </w:pPr>
      <w:r>
        <w:rPr>
          <w:rFonts w:hint="eastAsia" w:ascii="仿宋_GB2312" w:hAnsi="仿宋_GB2312" w:eastAsia="仿宋_GB2312" w:cs="仿宋_GB2312"/>
          <w:b/>
          <w:bCs/>
          <w:color w:val="auto"/>
          <w:sz w:val="32"/>
          <w:szCs w:val="32"/>
          <w:shd w:val="clear" w:fill="FFFFFF"/>
          <w:lang w:val="en-US" w:eastAsia="zh-CN"/>
        </w:rPr>
        <w:t>注：鉴定中心（医院）：</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left"/>
        <w:textAlignment w:val="auto"/>
        <w:rPr>
          <w:rFonts w:hint="eastAsia" w:ascii="仿宋_GB2312" w:hAnsi="仿宋_GB2312" w:eastAsia="仿宋_GB2312" w:cs="仿宋_GB2312"/>
          <w:b/>
          <w:bCs/>
          <w:color w:val="auto"/>
          <w:sz w:val="32"/>
          <w:szCs w:val="32"/>
          <w:shd w:val="clear" w:fill="FFFFFF"/>
          <w:lang w:val="en-US" w:eastAsia="zh-CN"/>
        </w:rPr>
      </w:pPr>
      <w:r>
        <w:rPr>
          <w:rFonts w:hint="eastAsia" w:ascii="仿宋_GB2312" w:hAnsi="仿宋_GB2312" w:eastAsia="仿宋_GB2312" w:cs="仿宋_GB2312"/>
          <w:b/>
          <w:bCs/>
          <w:color w:val="auto"/>
          <w:sz w:val="32"/>
          <w:szCs w:val="32"/>
          <w:shd w:val="clear" w:fill="FFFFFF"/>
          <w:lang w:val="en-US" w:eastAsia="zh-CN"/>
        </w:rPr>
        <w:t>①视力、听力、肢体类---方城县西关医院；</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left"/>
        <w:textAlignment w:val="auto"/>
        <w:rPr>
          <w:rFonts w:hint="eastAsia" w:ascii="仿宋_GB2312" w:hAnsi="仿宋_GB2312" w:eastAsia="仿宋_GB2312" w:cs="仿宋_GB2312"/>
          <w:b/>
          <w:bCs/>
          <w:color w:val="auto"/>
          <w:sz w:val="32"/>
          <w:szCs w:val="32"/>
          <w:shd w:val="clear" w:fill="FFFFFF"/>
          <w:lang w:val="en-US" w:eastAsia="zh-CN"/>
        </w:rPr>
      </w:pPr>
      <w:r>
        <w:rPr>
          <w:rFonts w:hint="eastAsia" w:ascii="仿宋_GB2312" w:hAnsi="仿宋_GB2312" w:eastAsia="仿宋_GB2312" w:cs="仿宋_GB2312"/>
          <w:b/>
          <w:bCs/>
          <w:color w:val="auto"/>
          <w:sz w:val="32"/>
          <w:szCs w:val="32"/>
          <w:shd w:val="clear" w:fill="FFFFFF"/>
          <w:lang w:val="en-US" w:eastAsia="zh-CN"/>
        </w:rPr>
        <w:t>②精神、智力类---南阳市第四人民医院；</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left"/>
        <w:textAlignment w:val="auto"/>
        <w:rPr>
          <w:rFonts w:hint="eastAsia" w:ascii="仿宋_GB2312" w:hAnsi="仿宋_GB2312" w:eastAsia="仿宋_GB2312" w:cs="仿宋_GB2312"/>
          <w:b/>
          <w:bCs/>
          <w:color w:val="auto"/>
          <w:sz w:val="32"/>
          <w:szCs w:val="32"/>
          <w:shd w:val="clear" w:fill="FFFFFF"/>
          <w:lang w:val="en-US" w:eastAsia="zh-CN"/>
        </w:rPr>
      </w:pPr>
      <w:r>
        <w:rPr>
          <w:rFonts w:hint="eastAsia" w:ascii="仿宋_GB2312" w:hAnsi="仿宋_GB2312" w:eastAsia="仿宋_GB2312" w:cs="仿宋_GB2312"/>
          <w:b/>
          <w:bCs/>
          <w:color w:val="auto"/>
          <w:sz w:val="32"/>
          <w:szCs w:val="32"/>
          <w:shd w:val="clear" w:fill="FFFFFF"/>
          <w:lang w:val="en-US" w:eastAsia="zh-CN"/>
        </w:rPr>
        <w:t>③视力、听力、言语、肢体、智力、精神、多重类---南阳市骨科医院南都分院。</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黑体" w:hAnsi="黑体" w:eastAsia="黑体" w:cs="黑体"/>
          <w:b w:val="0"/>
          <w:bCs w:val="0"/>
          <w:color w:val="auto"/>
          <w:sz w:val="32"/>
          <w:szCs w:val="32"/>
          <w:shd w:val="clear" w:fill="FFFFFF"/>
          <w:lang w:val="en-US" w:eastAsia="zh-CN"/>
        </w:rPr>
      </w:pPr>
      <w:r>
        <w:rPr>
          <w:rFonts w:hint="eastAsia" w:ascii="黑体" w:hAnsi="黑体" w:eastAsia="黑体" w:cs="黑体"/>
          <w:b w:val="0"/>
          <w:bCs w:val="0"/>
          <w:color w:val="auto"/>
          <w:sz w:val="32"/>
          <w:szCs w:val="32"/>
          <w:shd w:val="clear" w:fill="FFFFFF"/>
          <w:lang w:val="en-US" w:eastAsia="zh-CN"/>
        </w:rPr>
        <w:t>五、残疾人证的挂失、残损换新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b w:val="0"/>
          <w:bCs w:val="0"/>
          <w:color w:val="auto"/>
          <w:sz w:val="32"/>
          <w:szCs w:val="32"/>
          <w:shd w:val="clear" w:fill="FFFFFF"/>
          <w:lang w:val="en-US" w:eastAsia="zh-CN"/>
        </w:rPr>
      </w:pPr>
      <w:r>
        <w:rPr>
          <w:rFonts w:hint="eastAsia" w:ascii="仿宋_GB2312" w:hAnsi="仿宋_GB2312" w:eastAsia="仿宋_GB2312" w:cs="仿宋_GB2312"/>
          <w:b w:val="0"/>
          <w:bCs w:val="0"/>
          <w:color w:val="auto"/>
          <w:sz w:val="32"/>
          <w:szCs w:val="32"/>
          <w:shd w:val="clear" w:fill="FFFFFF"/>
          <w:lang w:eastAsia="zh-CN"/>
        </w:rPr>
        <w:t>残疾人证丢失后，残疾人本人或其代理人需要及时挂失补办，需携带残疾人本人身份证和一张</w:t>
      </w:r>
      <w:r>
        <w:rPr>
          <w:rFonts w:hint="eastAsia" w:ascii="仿宋_GB2312" w:hAnsi="仿宋_GB2312" w:eastAsia="仿宋_GB2312" w:cs="仿宋_GB2312"/>
          <w:b w:val="0"/>
          <w:bCs w:val="0"/>
          <w:color w:val="auto"/>
          <w:sz w:val="32"/>
          <w:szCs w:val="32"/>
          <w:shd w:val="clear" w:fill="FFFFFF"/>
          <w:lang w:val="en-US" w:eastAsia="zh-CN"/>
        </w:rPr>
        <w:t>2寸照片</w:t>
      </w:r>
      <w:r>
        <w:rPr>
          <w:rFonts w:hint="eastAsia" w:ascii="仿宋_GB2312" w:hAnsi="仿宋_GB2312" w:eastAsia="仿宋_GB2312" w:cs="仿宋_GB2312"/>
          <w:b w:val="0"/>
          <w:bCs w:val="0"/>
          <w:color w:val="auto"/>
          <w:sz w:val="32"/>
          <w:szCs w:val="32"/>
          <w:shd w:val="clear" w:fill="FFFFFF"/>
          <w:lang w:eastAsia="zh-CN"/>
        </w:rPr>
        <w:t>到便民服务大厅办理</w:t>
      </w:r>
      <w:r>
        <w:rPr>
          <w:rFonts w:hint="eastAsia" w:ascii="仿宋_GB2312" w:hAnsi="仿宋_GB2312" w:eastAsia="仿宋_GB2312" w:cs="仿宋_GB2312"/>
          <w:b w:val="0"/>
          <w:bCs w:val="0"/>
          <w:color w:val="auto"/>
          <w:sz w:val="32"/>
          <w:szCs w:val="32"/>
          <w:shd w:val="clear" w:fill="FFFFFF"/>
          <w:lang w:val="en-US"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b w:val="0"/>
          <w:bCs w:val="0"/>
          <w:color w:val="auto"/>
          <w:sz w:val="32"/>
          <w:szCs w:val="32"/>
          <w:shd w:val="clear" w:fill="FFFFFF"/>
          <w:lang w:val="en-US" w:eastAsia="zh-CN"/>
        </w:rPr>
      </w:pPr>
      <w:r>
        <w:rPr>
          <w:rFonts w:hint="eastAsia" w:ascii="仿宋_GB2312" w:hAnsi="仿宋_GB2312" w:eastAsia="仿宋_GB2312" w:cs="仿宋_GB2312"/>
          <w:b w:val="0"/>
          <w:bCs w:val="0"/>
          <w:color w:val="auto"/>
          <w:sz w:val="32"/>
          <w:szCs w:val="32"/>
          <w:shd w:val="clear" w:fill="FFFFFF"/>
          <w:lang w:eastAsia="zh-CN"/>
        </w:rPr>
        <w:t>如残疾人证残损后，残疾人本人或其代理人需要及时补办，需携带残疾人本人身份证和一张</w:t>
      </w:r>
      <w:r>
        <w:rPr>
          <w:rFonts w:hint="eastAsia" w:ascii="仿宋_GB2312" w:hAnsi="仿宋_GB2312" w:eastAsia="仿宋_GB2312" w:cs="仿宋_GB2312"/>
          <w:b w:val="0"/>
          <w:bCs w:val="0"/>
          <w:color w:val="auto"/>
          <w:sz w:val="32"/>
          <w:szCs w:val="32"/>
          <w:shd w:val="clear" w:fill="FFFFFF"/>
          <w:lang w:val="en-US" w:eastAsia="zh-CN"/>
        </w:rPr>
        <w:t>2寸照片</w:t>
      </w:r>
      <w:r>
        <w:rPr>
          <w:rFonts w:hint="eastAsia" w:ascii="仿宋_GB2312" w:hAnsi="仿宋_GB2312" w:eastAsia="仿宋_GB2312" w:cs="仿宋_GB2312"/>
          <w:b w:val="0"/>
          <w:bCs w:val="0"/>
          <w:color w:val="auto"/>
          <w:sz w:val="32"/>
          <w:szCs w:val="32"/>
          <w:shd w:val="clear" w:fill="FFFFFF"/>
          <w:lang w:eastAsia="zh-CN"/>
        </w:rPr>
        <w:t>到便民服务大厅办理</w:t>
      </w:r>
      <w:r>
        <w:rPr>
          <w:rFonts w:hint="eastAsia" w:ascii="仿宋_GB2312" w:hAnsi="仿宋_GB2312" w:eastAsia="仿宋_GB2312" w:cs="仿宋_GB2312"/>
          <w:b w:val="0"/>
          <w:bCs w:val="0"/>
          <w:color w:val="auto"/>
          <w:sz w:val="32"/>
          <w:szCs w:val="32"/>
          <w:shd w:val="clear" w:fill="FFFFFF"/>
          <w:lang w:val="en-US"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黑体" w:hAnsi="黑体" w:eastAsia="黑体" w:cs="黑体"/>
          <w:b w:val="0"/>
          <w:bCs w:val="0"/>
          <w:color w:val="auto"/>
          <w:sz w:val="32"/>
          <w:szCs w:val="32"/>
          <w:shd w:val="clear" w:fill="FFFFFF"/>
          <w:lang w:val="en-US" w:eastAsia="zh-CN"/>
        </w:rPr>
      </w:pPr>
      <w:r>
        <w:rPr>
          <w:rFonts w:hint="eastAsia" w:ascii="黑体" w:hAnsi="黑体" w:eastAsia="黑体" w:cs="黑体"/>
          <w:b w:val="0"/>
          <w:bCs w:val="0"/>
          <w:color w:val="auto"/>
          <w:sz w:val="32"/>
          <w:szCs w:val="32"/>
          <w:shd w:val="clear" w:fill="FFFFFF"/>
          <w:lang w:val="en-US" w:eastAsia="zh-CN"/>
        </w:rPr>
        <w:t>六、残疾人证的注销</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b w:val="0"/>
          <w:bCs w:val="0"/>
          <w:color w:val="auto"/>
          <w:sz w:val="32"/>
          <w:szCs w:val="32"/>
          <w:shd w:val="clear" w:fill="FFFFFF"/>
          <w:lang w:val="en-US" w:eastAsia="zh-CN"/>
        </w:rPr>
      </w:pPr>
      <w:r>
        <w:rPr>
          <w:rFonts w:hint="eastAsia" w:ascii="仿宋_GB2312" w:hAnsi="仿宋_GB2312" w:eastAsia="仿宋_GB2312" w:cs="仿宋_GB2312"/>
          <w:b w:val="0"/>
          <w:bCs w:val="0"/>
          <w:color w:val="auto"/>
          <w:sz w:val="32"/>
          <w:szCs w:val="32"/>
          <w:shd w:val="clear" w:fill="FFFFFF"/>
          <w:lang w:val="en-US" w:eastAsia="zh-CN"/>
        </w:rPr>
        <w:t>残疾人证的注销分三种：康复、死亡、其他</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b w:val="0"/>
          <w:bCs w:val="0"/>
          <w:color w:val="auto"/>
          <w:sz w:val="32"/>
          <w:szCs w:val="32"/>
          <w:shd w:val="clear" w:fill="FFFFFF"/>
          <w:lang w:val="en-US" w:eastAsia="zh-CN"/>
        </w:rPr>
      </w:pPr>
      <w:r>
        <w:rPr>
          <w:rFonts w:hint="eastAsia" w:ascii="仿宋_GB2312" w:hAnsi="仿宋_GB2312" w:eastAsia="仿宋_GB2312" w:cs="仿宋_GB2312"/>
          <w:b w:val="0"/>
          <w:bCs w:val="0"/>
          <w:color w:val="auto"/>
          <w:sz w:val="32"/>
          <w:szCs w:val="32"/>
          <w:shd w:val="clear" w:fill="FFFFFF"/>
          <w:lang w:val="en-US" w:eastAsia="zh-CN"/>
        </w:rPr>
        <w:t>①康复注销需要本人或监护人提出书面申请、村委会加盖公章；</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b w:val="0"/>
          <w:bCs w:val="0"/>
          <w:color w:val="auto"/>
          <w:sz w:val="32"/>
          <w:szCs w:val="32"/>
          <w:shd w:val="clear" w:fill="FFFFFF"/>
          <w:lang w:val="en-US" w:eastAsia="zh-CN"/>
        </w:rPr>
      </w:pPr>
      <w:r>
        <w:rPr>
          <w:rFonts w:hint="eastAsia" w:ascii="仿宋_GB2312" w:hAnsi="仿宋_GB2312" w:eastAsia="仿宋_GB2312" w:cs="仿宋_GB2312"/>
          <w:b w:val="0"/>
          <w:bCs w:val="0"/>
          <w:color w:val="auto"/>
          <w:sz w:val="32"/>
          <w:szCs w:val="32"/>
          <w:shd w:val="clear" w:fill="FFFFFF"/>
          <w:lang w:val="en-US" w:eastAsia="zh-CN"/>
        </w:rPr>
        <w:t>②死亡注销由各乡镇（办）残联集中提报，加盖公章；</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b w:val="0"/>
          <w:bCs w:val="0"/>
          <w:color w:val="auto"/>
          <w:sz w:val="32"/>
          <w:szCs w:val="32"/>
          <w:shd w:val="clear" w:fill="FFFFFF"/>
          <w:lang w:val="en-US" w:eastAsia="zh-CN"/>
        </w:rPr>
      </w:pPr>
      <w:r>
        <w:rPr>
          <w:rFonts w:hint="eastAsia" w:ascii="仿宋_GB2312" w:hAnsi="仿宋_GB2312" w:eastAsia="仿宋_GB2312" w:cs="仿宋_GB2312"/>
          <w:b w:val="0"/>
          <w:bCs w:val="0"/>
          <w:color w:val="auto"/>
          <w:sz w:val="32"/>
          <w:szCs w:val="32"/>
          <w:shd w:val="clear" w:fill="FFFFFF"/>
          <w:lang w:val="en-US" w:eastAsia="zh-CN"/>
        </w:rPr>
        <w:t>③其他注销需说明情况。</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b w:val="0"/>
          <w:bCs w:val="0"/>
          <w:color w:val="auto"/>
          <w:sz w:val="32"/>
          <w:szCs w:val="32"/>
          <w:shd w:val="clear" w:fill="FFFFFF"/>
        </w:rPr>
      </w:pPr>
      <w:r>
        <w:rPr>
          <w:rFonts w:hint="eastAsia" w:ascii="仿宋_GB2312" w:hAnsi="仿宋_GB2312" w:eastAsia="仿宋_GB2312" w:cs="仿宋_GB2312"/>
          <w:b w:val="0"/>
          <w:bCs w:val="0"/>
          <w:color w:val="auto"/>
          <w:sz w:val="32"/>
          <w:szCs w:val="32"/>
          <w:shd w:val="clear" w:fill="FFFFFF"/>
        </w:rPr>
        <w:t>办证人员对申请人及其照片、身份证、户口本等相关材料进行核对。凡资料不全者，待资料补全后再行受理；对提供虚假信息者，不予受理。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b w:val="0"/>
          <w:bCs w:val="0"/>
          <w:color w:val="auto"/>
          <w:sz w:val="32"/>
          <w:szCs w:val="32"/>
          <w:shd w:val="clear" w:fill="FFFFFF"/>
        </w:rPr>
      </w:pPr>
      <w:r>
        <w:rPr>
          <w:rFonts w:hint="eastAsia" w:ascii="仿宋_GB2312" w:hAnsi="仿宋_GB2312" w:eastAsia="仿宋_GB2312" w:cs="仿宋_GB2312"/>
          <w:b w:val="0"/>
          <w:bCs w:val="0"/>
          <w:color w:val="auto"/>
          <w:sz w:val="32"/>
          <w:szCs w:val="32"/>
          <w:shd w:val="clear" w:fill="FFFFFF"/>
        </w:rPr>
        <w:t>县级残联对办证申请材料、受理程序、残疾评定结论和公示结果进行审核，并在五个工作日内审核完毕。对于不符合残疾标准，或残疾评定结论不明确及其他不符合规定者，不予批准</w:t>
      </w:r>
      <w:r>
        <w:rPr>
          <w:rFonts w:hint="eastAsia" w:ascii="仿宋_GB2312" w:hAnsi="仿宋_GB2312" w:eastAsia="仿宋_GB2312" w:cs="仿宋_GB2312"/>
          <w:b w:val="0"/>
          <w:bCs w:val="0"/>
          <w:color w:val="auto"/>
          <w:sz w:val="32"/>
          <w:szCs w:val="32"/>
          <w:shd w:val="clear" w:fill="FFFFFF"/>
          <w:lang w:eastAsia="zh-CN"/>
        </w:rPr>
        <w:t>，并在一周内以电话方式通知其申请人本人或者其监护人或联系人</w:t>
      </w:r>
      <w:r>
        <w:rPr>
          <w:rFonts w:hint="eastAsia" w:ascii="仿宋_GB2312" w:hAnsi="仿宋_GB2312" w:eastAsia="仿宋_GB2312" w:cs="仿宋_GB2312"/>
          <w:b w:val="0"/>
          <w:bCs w:val="0"/>
          <w:color w:val="auto"/>
          <w:sz w:val="32"/>
          <w:szCs w:val="32"/>
          <w:shd w:val="clear" w:fill="FFFFFF"/>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b w:val="0"/>
          <w:bCs w:val="0"/>
          <w:color w:val="auto"/>
          <w:sz w:val="32"/>
          <w:szCs w:val="32"/>
          <w:shd w:val="clear" w:fill="FFFFFF"/>
        </w:rPr>
      </w:pPr>
      <w:r>
        <w:rPr>
          <w:rFonts w:hint="eastAsia" w:ascii="仿宋_GB2312" w:hAnsi="仿宋_GB2312" w:eastAsia="仿宋_GB2312" w:cs="仿宋_GB2312"/>
          <w:b w:val="0"/>
          <w:bCs w:val="0"/>
          <w:color w:val="auto"/>
          <w:sz w:val="32"/>
          <w:szCs w:val="32"/>
          <w:shd w:val="clear" w:fill="FFFFFF"/>
        </w:rPr>
        <w:t>未成年残疾人和智力、精神残疾人所持残疾人证须填写联系人姓名和联系电话。</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黑体" w:hAnsi="黑体" w:eastAsia="黑体" w:cs="黑体"/>
          <w:b w:val="0"/>
          <w:bCs w:val="0"/>
          <w:color w:val="auto"/>
          <w:sz w:val="32"/>
          <w:szCs w:val="32"/>
          <w:shd w:val="clear" w:fill="FFFFFF"/>
          <w:lang w:eastAsia="zh-CN"/>
        </w:rPr>
      </w:pPr>
      <w:r>
        <w:rPr>
          <w:rFonts w:hint="eastAsia" w:ascii="黑体" w:hAnsi="黑体" w:eastAsia="黑体" w:cs="黑体"/>
          <w:b w:val="0"/>
          <w:bCs w:val="0"/>
          <w:color w:val="auto"/>
          <w:sz w:val="32"/>
          <w:szCs w:val="32"/>
          <w:shd w:val="clear" w:fill="FFFFFF"/>
          <w:lang w:val="en-US" w:eastAsia="zh-CN"/>
        </w:rPr>
        <w:t>七、</w:t>
      </w:r>
      <w:r>
        <w:rPr>
          <w:rFonts w:hint="eastAsia" w:ascii="黑体" w:hAnsi="黑体" w:eastAsia="黑体" w:cs="黑体"/>
          <w:b w:val="0"/>
          <w:bCs w:val="0"/>
          <w:color w:val="auto"/>
          <w:sz w:val="32"/>
          <w:szCs w:val="32"/>
          <w:shd w:val="clear" w:fill="FFFFFF"/>
          <w:lang w:eastAsia="zh-CN"/>
        </w:rPr>
        <w:t>困难重度残疾人家庭“上门评定”服务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Style w:val="13"/>
          <w:rFonts w:hint="eastAsia" w:ascii="楷体_GB2312" w:hAnsi="楷体_GB2312" w:eastAsia="楷体_GB2312" w:cs="楷体_GB2312"/>
          <w:b w:val="0"/>
          <w:bCs w:val="0"/>
          <w:color w:val="auto"/>
          <w:sz w:val="32"/>
          <w:szCs w:val="32"/>
          <w:shd w:val="clear" w:fill="FFFFFF"/>
          <w:lang w:eastAsia="zh-CN"/>
        </w:rPr>
      </w:pPr>
      <w:r>
        <w:rPr>
          <w:rStyle w:val="13"/>
          <w:rFonts w:hint="eastAsia" w:ascii="楷体_GB2312" w:hAnsi="楷体_GB2312" w:eastAsia="楷体_GB2312" w:cs="楷体_GB2312"/>
          <w:b w:val="0"/>
          <w:bCs w:val="0"/>
          <w:color w:val="auto"/>
          <w:sz w:val="32"/>
          <w:szCs w:val="32"/>
          <w:shd w:val="clear" w:fill="FFFFFF"/>
          <w:lang w:val="en-US" w:eastAsia="zh-CN"/>
        </w:rPr>
        <w:t>一、</w:t>
      </w:r>
      <w:r>
        <w:rPr>
          <w:rStyle w:val="13"/>
          <w:rFonts w:hint="eastAsia" w:ascii="楷体_GB2312" w:hAnsi="楷体_GB2312" w:eastAsia="楷体_GB2312" w:cs="楷体_GB2312"/>
          <w:b w:val="0"/>
          <w:bCs w:val="0"/>
          <w:color w:val="auto"/>
          <w:sz w:val="32"/>
          <w:szCs w:val="32"/>
          <w:shd w:val="clear" w:fill="FFFFFF"/>
          <w:lang w:eastAsia="zh-CN"/>
        </w:rPr>
        <w:t>实施依据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shd w:val="clear" w:fill="FFFFFF"/>
          <w:lang w:eastAsia="zh-CN"/>
        </w:rPr>
        <w:t>《</w:t>
      </w:r>
      <w:r>
        <w:rPr>
          <w:rFonts w:hint="eastAsia" w:ascii="仿宋_GB2312" w:hAnsi="仿宋_GB2312" w:eastAsia="仿宋_GB2312" w:cs="仿宋_GB2312"/>
          <w:b w:val="0"/>
          <w:bCs w:val="0"/>
          <w:color w:val="auto"/>
          <w:sz w:val="32"/>
          <w:szCs w:val="32"/>
          <w:shd w:val="clear" w:fill="FFFFFF"/>
        </w:rPr>
        <w:t>中国残联办公厅关于进一步做好为行动不便重度残疾人开展残疾评定上门服务的通知</w:t>
      </w:r>
      <w:r>
        <w:rPr>
          <w:rFonts w:hint="eastAsia" w:ascii="仿宋_GB2312" w:hAnsi="仿宋_GB2312" w:eastAsia="仿宋_GB2312" w:cs="仿宋_GB2312"/>
          <w:b w:val="0"/>
          <w:bCs w:val="0"/>
          <w:color w:val="auto"/>
          <w:sz w:val="32"/>
          <w:szCs w:val="32"/>
          <w:shd w:val="clear" w:fill="FFFFFF"/>
          <w:lang w:eastAsia="zh-CN"/>
        </w:rPr>
        <w:t>》</w:t>
      </w:r>
      <w:r>
        <w:rPr>
          <w:rFonts w:hint="eastAsia" w:ascii="仿宋_GB2312" w:hAnsi="仿宋_GB2312" w:eastAsia="仿宋_GB2312" w:cs="仿宋_GB2312"/>
          <w:b w:val="0"/>
          <w:bCs w:val="0"/>
          <w:color w:val="auto"/>
          <w:sz w:val="32"/>
          <w:szCs w:val="32"/>
          <w:lang w:val="en-US" w:eastAsia="zh-CN"/>
        </w:rPr>
        <w:t>（残联厅函[2021]107号）《中国残联办公厅关于在主题教育中深入开展为行动不便重度残疾人“上门评残”工作的通知》（残联厅函[2023]164号）《关于转发&lt;中国残联办公厅关于在主题教育中深入开展为行动不便重度残疾人“上门评残”工作的通知&gt;的通知》（宛残联[2023]29号）。</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Style w:val="13"/>
          <w:rFonts w:hint="eastAsia" w:ascii="楷体_GB2312" w:hAnsi="楷体_GB2312" w:eastAsia="楷体_GB2312" w:cs="楷体_GB2312"/>
          <w:b w:val="0"/>
          <w:bCs w:val="0"/>
          <w:color w:val="auto"/>
          <w:sz w:val="32"/>
          <w:szCs w:val="32"/>
          <w:shd w:val="clear" w:fill="FFFFFF"/>
          <w:lang w:val="en-US" w:eastAsia="zh-CN"/>
        </w:rPr>
      </w:pPr>
      <w:r>
        <w:rPr>
          <w:rStyle w:val="13"/>
          <w:rFonts w:hint="eastAsia" w:ascii="楷体_GB2312" w:hAnsi="楷体_GB2312" w:eastAsia="楷体_GB2312" w:cs="楷体_GB2312"/>
          <w:b w:val="0"/>
          <w:bCs w:val="0"/>
          <w:color w:val="auto"/>
          <w:sz w:val="32"/>
          <w:szCs w:val="32"/>
          <w:shd w:val="clear" w:fill="FFFFFF"/>
          <w:lang w:val="en-US" w:eastAsia="zh-CN"/>
        </w:rPr>
        <w:t>二、服务对象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Style w:val="13"/>
          <w:rFonts w:hint="eastAsia" w:ascii="仿宋_GB2312" w:hAnsi="仿宋_GB2312" w:eastAsia="仿宋_GB2312" w:cs="仿宋_GB2312"/>
          <w:b w:val="0"/>
          <w:bCs w:val="0"/>
          <w:color w:val="auto"/>
          <w:sz w:val="32"/>
          <w:szCs w:val="32"/>
          <w:shd w:val="clear" w:fill="FFFFFF"/>
          <w:lang w:eastAsia="zh-CN"/>
        </w:rPr>
      </w:pPr>
      <w:r>
        <w:rPr>
          <w:rFonts w:hint="eastAsia" w:ascii="仿宋_GB2312" w:hAnsi="仿宋_GB2312" w:eastAsia="仿宋_GB2312" w:cs="仿宋_GB2312"/>
          <w:b w:val="0"/>
          <w:bCs w:val="0"/>
          <w:color w:val="auto"/>
          <w:sz w:val="32"/>
          <w:szCs w:val="32"/>
          <w:shd w:val="clear" w:fill="FFFFFF"/>
        </w:rPr>
        <w:t>开展残疾评定上门服务的对象主要是行动不便且有办理残疾人证意愿的</w:t>
      </w:r>
      <w:r>
        <w:rPr>
          <w:rFonts w:hint="eastAsia" w:ascii="仿宋_GB2312" w:hAnsi="仿宋_GB2312" w:eastAsia="仿宋_GB2312" w:cs="仿宋_GB2312"/>
          <w:b w:val="0"/>
          <w:bCs w:val="0"/>
          <w:color w:val="auto"/>
          <w:sz w:val="32"/>
          <w:szCs w:val="32"/>
          <w:shd w:val="clear" w:fill="FFFFFF"/>
          <w:lang w:eastAsia="zh-CN"/>
        </w:rPr>
        <w:t>困难</w:t>
      </w:r>
      <w:r>
        <w:rPr>
          <w:rFonts w:hint="eastAsia" w:ascii="仿宋_GB2312" w:hAnsi="仿宋_GB2312" w:eastAsia="仿宋_GB2312" w:cs="仿宋_GB2312"/>
          <w:b w:val="0"/>
          <w:bCs w:val="0"/>
          <w:color w:val="auto"/>
          <w:sz w:val="32"/>
          <w:szCs w:val="32"/>
          <w:shd w:val="clear" w:fill="FFFFFF"/>
        </w:rPr>
        <w:t>重度残疾人。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Style w:val="13"/>
          <w:rFonts w:hint="eastAsia" w:ascii="楷体_GB2312" w:hAnsi="楷体_GB2312" w:eastAsia="楷体_GB2312" w:cs="楷体_GB2312"/>
          <w:b w:val="0"/>
          <w:bCs w:val="0"/>
          <w:color w:val="auto"/>
          <w:sz w:val="32"/>
          <w:szCs w:val="32"/>
          <w:shd w:val="clear" w:fill="FFFFFF"/>
          <w:lang w:val="en-US" w:eastAsia="zh-CN"/>
        </w:rPr>
      </w:pPr>
      <w:r>
        <w:rPr>
          <w:rStyle w:val="13"/>
          <w:rFonts w:hint="eastAsia" w:ascii="楷体_GB2312" w:hAnsi="楷体_GB2312" w:eastAsia="楷体_GB2312" w:cs="楷体_GB2312"/>
          <w:b w:val="0"/>
          <w:bCs w:val="0"/>
          <w:color w:val="auto"/>
          <w:sz w:val="32"/>
          <w:szCs w:val="32"/>
          <w:shd w:val="clear" w:fill="FFFFFF"/>
          <w:lang w:val="en-US" w:eastAsia="zh-CN"/>
        </w:rPr>
        <w:t>三、实施原则及服务流程</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Style w:val="13"/>
          <w:rFonts w:hint="eastAsia" w:ascii="仿宋_GB2312" w:hAnsi="仿宋_GB2312" w:eastAsia="仿宋_GB2312" w:cs="仿宋_GB2312"/>
          <w:b w:val="0"/>
          <w:bCs w:val="0"/>
          <w:color w:val="auto"/>
          <w:sz w:val="32"/>
          <w:szCs w:val="32"/>
          <w:shd w:val="clear" w:fill="FFFFFF"/>
          <w:lang w:val="en-US" w:eastAsia="zh-CN"/>
        </w:rPr>
      </w:pPr>
      <w:r>
        <w:rPr>
          <w:rStyle w:val="13"/>
          <w:rFonts w:hint="eastAsia" w:ascii="仿宋_GB2312" w:hAnsi="仿宋_GB2312" w:eastAsia="仿宋_GB2312" w:cs="仿宋_GB2312"/>
          <w:b w:val="0"/>
          <w:bCs w:val="0"/>
          <w:color w:val="auto"/>
          <w:sz w:val="32"/>
          <w:szCs w:val="32"/>
          <w:shd w:val="clear" w:fill="FFFFFF"/>
          <w:lang w:val="en-US" w:eastAsia="zh-CN"/>
        </w:rPr>
        <w:t>1、实施原则</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Style w:val="13"/>
          <w:rFonts w:hint="eastAsia" w:ascii="仿宋_GB2312" w:hAnsi="仿宋_GB2312" w:eastAsia="仿宋_GB2312" w:cs="仿宋_GB2312"/>
          <w:b w:val="0"/>
          <w:bCs w:val="0"/>
          <w:color w:val="auto"/>
          <w:sz w:val="32"/>
          <w:szCs w:val="32"/>
          <w:shd w:val="clear" w:fill="FFFFFF"/>
          <w:lang w:eastAsia="zh-CN"/>
        </w:rPr>
      </w:pPr>
      <w:r>
        <w:rPr>
          <w:rStyle w:val="13"/>
          <w:rFonts w:hint="eastAsia" w:ascii="仿宋_GB2312" w:hAnsi="仿宋_GB2312" w:eastAsia="仿宋_GB2312" w:cs="仿宋_GB2312"/>
          <w:b w:val="0"/>
          <w:bCs w:val="0"/>
          <w:color w:val="auto"/>
          <w:sz w:val="32"/>
          <w:szCs w:val="32"/>
          <w:shd w:val="clear" w:fill="FFFFFF"/>
          <w:lang w:val="en-US" w:eastAsia="zh-CN"/>
        </w:rPr>
        <w:t>（1）自愿申请原则。</w:t>
      </w:r>
      <w:r>
        <w:rPr>
          <w:rStyle w:val="13"/>
          <w:rFonts w:hint="eastAsia" w:ascii="仿宋_GB2312" w:hAnsi="仿宋_GB2312" w:eastAsia="仿宋_GB2312" w:cs="仿宋_GB2312"/>
          <w:b w:val="0"/>
          <w:bCs w:val="0"/>
          <w:color w:val="auto"/>
          <w:sz w:val="32"/>
          <w:szCs w:val="32"/>
          <w:shd w:val="clear" w:fill="FFFFFF"/>
          <w:lang w:eastAsia="zh-CN"/>
        </w:rPr>
        <w:t>办证申请</w:t>
      </w:r>
      <w:r>
        <w:rPr>
          <w:rStyle w:val="13"/>
          <w:rFonts w:hint="eastAsia" w:ascii="仿宋_GB2312" w:hAnsi="仿宋_GB2312" w:eastAsia="仿宋_GB2312" w:cs="仿宋_GB2312"/>
          <w:b w:val="0"/>
          <w:bCs w:val="0"/>
          <w:color w:val="auto"/>
          <w:sz w:val="32"/>
          <w:szCs w:val="32"/>
          <w:shd w:val="clear" w:fill="FFFFFF"/>
          <w:lang w:val="en-US" w:eastAsia="zh-CN"/>
        </w:rPr>
        <w:t>和</w:t>
      </w:r>
      <w:r>
        <w:rPr>
          <w:rStyle w:val="13"/>
          <w:rFonts w:hint="eastAsia" w:ascii="仿宋_GB2312" w:hAnsi="仿宋_GB2312" w:eastAsia="仿宋_GB2312" w:cs="仿宋_GB2312"/>
          <w:b w:val="0"/>
          <w:bCs w:val="0"/>
          <w:color w:val="auto"/>
          <w:sz w:val="32"/>
          <w:szCs w:val="32"/>
          <w:shd w:val="clear" w:fill="FFFFFF"/>
          <w:lang w:eastAsia="zh-CN"/>
        </w:rPr>
        <w:t>残疾等级升级由残疾本人或监护人自愿申请，应充分尊重其意愿。</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Style w:val="13"/>
          <w:rFonts w:hint="eastAsia" w:ascii="仿宋_GB2312" w:hAnsi="仿宋_GB2312" w:eastAsia="仿宋_GB2312" w:cs="仿宋_GB2312"/>
          <w:b w:val="0"/>
          <w:bCs w:val="0"/>
          <w:color w:val="auto"/>
          <w:sz w:val="32"/>
          <w:szCs w:val="32"/>
          <w:shd w:val="clear" w:fill="FFFFFF"/>
          <w:lang w:eastAsia="zh-CN"/>
        </w:rPr>
      </w:pPr>
      <w:r>
        <w:rPr>
          <w:rStyle w:val="13"/>
          <w:rFonts w:hint="eastAsia" w:ascii="仿宋_GB2312" w:hAnsi="仿宋_GB2312" w:eastAsia="仿宋_GB2312" w:cs="仿宋_GB2312"/>
          <w:b w:val="0"/>
          <w:bCs w:val="0"/>
          <w:color w:val="auto"/>
          <w:sz w:val="32"/>
          <w:szCs w:val="32"/>
          <w:shd w:val="clear" w:fill="FFFFFF"/>
          <w:lang w:val="en-US" w:eastAsia="zh-CN"/>
        </w:rPr>
        <w:t>（2）</w:t>
      </w:r>
      <w:r>
        <w:rPr>
          <w:rStyle w:val="13"/>
          <w:rFonts w:hint="eastAsia" w:ascii="仿宋_GB2312" w:hAnsi="仿宋_GB2312" w:eastAsia="仿宋_GB2312" w:cs="仿宋_GB2312"/>
          <w:b w:val="0"/>
          <w:bCs w:val="0"/>
          <w:color w:val="auto"/>
          <w:sz w:val="32"/>
          <w:szCs w:val="32"/>
          <w:shd w:val="clear" w:fill="FFFFFF"/>
          <w:lang w:eastAsia="zh-CN"/>
        </w:rPr>
        <w:t>属地管理原则。</w:t>
      </w:r>
      <w:r>
        <w:rPr>
          <w:rFonts w:hint="eastAsia" w:ascii="仿宋_GB2312" w:hAnsi="仿宋_GB2312" w:eastAsia="仿宋_GB2312" w:cs="仿宋_GB2312"/>
          <w:b w:val="0"/>
          <w:bCs w:val="0"/>
          <w:color w:val="auto"/>
          <w:sz w:val="32"/>
          <w:szCs w:val="32"/>
          <w:shd w:val="clear" w:fill="FFFFFF"/>
        </w:rPr>
        <w:t>对于残疾人证申请人居住过于分散，上门评定确有不便的，可以</w:t>
      </w:r>
      <w:r>
        <w:rPr>
          <w:rFonts w:hint="eastAsia" w:ascii="仿宋_GB2312" w:hAnsi="仿宋_GB2312" w:eastAsia="仿宋_GB2312" w:cs="仿宋_GB2312"/>
          <w:b w:val="0"/>
          <w:bCs w:val="0"/>
          <w:color w:val="auto"/>
          <w:sz w:val="32"/>
          <w:szCs w:val="32"/>
          <w:shd w:val="clear" w:fill="FFFFFF"/>
          <w:lang w:eastAsia="zh-CN"/>
        </w:rPr>
        <w:t>根据实际情况，</w:t>
      </w:r>
      <w:r>
        <w:rPr>
          <w:rFonts w:hint="eastAsia" w:ascii="仿宋_GB2312" w:hAnsi="仿宋_GB2312" w:eastAsia="仿宋_GB2312" w:cs="仿宋_GB2312"/>
          <w:b w:val="0"/>
          <w:bCs w:val="0"/>
          <w:color w:val="auto"/>
          <w:sz w:val="32"/>
          <w:szCs w:val="32"/>
          <w:shd w:val="clear" w:fill="FFFFFF"/>
        </w:rPr>
        <w:t>安排到村（居）委会、乡（镇）</w:t>
      </w:r>
      <w:r>
        <w:rPr>
          <w:rFonts w:hint="eastAsia" w:ascii="仿宋_GB2312" w:hAnsi="仿宋_GB2312" w:eastAsia="仿宋_GB2312" w:cs="仿宋_GB2312"/>
          <w:b w:val="0"/>
          <w:bCs w:val="0"/>
          <w:color w:val="auto"/>
          <w:sz w:val="32"/>
          <w:szCs w:val="32"/>
          <w:shd w:val="clear" w:fill="FFFFFF"/>
          <w:lang w:eastAsia="zh-CN"/>
        </w:rPr>
        <w:t>残联、</w:t>
      </w:r>
      <w:r>
        <w:rPr>
          <w:rFonts w:hint="eastAsia" w:ascii="仿宋_GB2312" w:hAnsi="仿宋_GB2312" w:eastAsia="仿宋_GB2312" w:cs="仿宋_GB2312"/>
          <w:b w:val="0"/>
          <w:bCs w:val="0"/>
          <w:color w:val="auto"/>
          <w:sz w:val="32"/>
          <w:szCs w:val="32"/>
          <w:shd w:val="clear" w:fill="FFFFFF"/>
        </w:rPr>
        <w:t>卫生院等</w:t>
      </w:r>
      <w:r>
        <w:rPr>
          <w:rFonts w:hint="eastAsia" w:ascii="仿宋_GB2312" w:hAnsi="仿宋_GB2312" w:eastAsia="仿宋_GB2312" w:cs="仿宋_GB2312"/>
          <w:b w:val="0"/>
          <w:bCs w:val="0"/>
          <w:color w:val="auto"/>
          <w:sz w:val="32"/>
          <w:szCs w:val="32"/>
          <w:shd w:val="clear" w:fill="FFFFFF"/>
          <w:lang w:eastAsia="zh-CN"/>
        </w:rPr>
        <w:t>地方</w:t>
      </w:r>
      <w:r>
        <w:rPr>
          <w:rFonts w:hint="eastAsia" w:ascii="仿宋_GB2312" w:hAnsi="仿宋_GB2312" w:eastAsia="仿宋_GB2312" w:cs="仿宋_GB2312"/>
          <w:b w:val="0"/>
          <w:bCs w:val="0"/>
          <w:color w:val="auto"/>
          <w:sz w:val="32"/>
          <w:szCs w:val="32"/>
          <w:shd w:val="clear" w:fill="FFFFFF"/>
        </w:rPr>
        <w:t>进行集中评定。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Chars="0" w:right="0" w:firstLine="640" w:firstLineChars="200"/>
        <w:jc w:val="left"/>
        <w:textAlignment w:val="auto"/>
        <w:rPr>
          <w:rStyle w:val="13"/>
          <w:rFonts w:hint="eastAsia" w:ascii="仿宋_GB2312" w:hAnsi="仿宋_GB2312" w:eastAsia="仿宋_GB2312" w:cs="仿宋_GB2312"/>
          <w:b w:val="0"/>
          <w:bCs w:val="0"/>
          <w:color w:val="auto"/>
          <w:sz w:val="32"/>
          <w:szCs w:val="32"/>
          <w:shd w:val="clear" w:fill="FFFFFF"/>
          <w:lang w:val="en-US" w:eastAsia="zh-CN"/>
        </w:rPr>
      </w:pPr>
      <w:r>
        <w:rPr>
          <w:rStyle w:val="13"/>
          <w:rFonts w:hint="eastAsia" w:ascii="仿宋_GB2312" w:hAnsi="仿宋_GB2312" w:eastAsia="仿宋_GB2312" w:cs="仿宋_GB2312"/>
          <w:b w:val="0"/>
          <w:bCs w:val="0"/>
          <w:color w:val="auto"/>
          <w:sz w:val="32"/>
          <w:szCs w:val="32"/>
          <w:shd w:val="clear" w:fill="FFFFFF"/>
          <w:lang w:val="en-US" w:eastAsia="zh-CN"/>
        </w:rPr>
        <w:t>2、服务流程</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Chars="0" w:right="0" w:firstLine="640" w:firstLineChars="200"/>
        <w:jc w:val="left"/>
        <w:textAlignment w:val="auto"/>
        <w:rPr>
          <w:rStyle w:val="13"/>
          <w:rFonts w:hint="eastAsia" w:ascii="仿宋_GB2312" w:hAnsi="仿宋_GB2312" w:eastAsia="仿宋_GB2312" w:cs="仿宋_GB2312"/>
          <w:b w:val="0"/>
          <w:bCs w:val="0"/>
          <w:color w:val="auto"/>
          <w:sz w:val="32"/>
          <w:szCs w:val="32"/>
          <w:shd w:val="clear" w:fill="FFFFFF"/>
          <w:lang w:val="en-US" w:eastAsia="zh-CN"/>
        </w:rPr>
      </w:pPr>
      <w:r>
        <w:rPr>
          <w:rStyle w:val="13"/>
          <w:rFonts w:hint="eastAsia" w:ascii="仿宋_GB2312" w:hAnsi="仿宋_GB2312" w:eastAsia="仿宋_GB2312" w:cs="仿宋_GB2312"/>
          <w:b w:val="0"/>
          <w:bCs w:val="0"/>
          <w:color w:val="auto"/>
          <w:sz w:val="32"/>
          <w:szCs w:val="32"/>
          <w:shd w:val="clear" w:fill="FFFFFF"/>
          <w:lang w:val="en-US" w:eastAsia="zh-CN"/>
        </w:rPr>
        <w:t>（1）残疾人证申请人（或监护人）向村（社区）提出申请（书面申请或电话申请），必要时可直接向县残联反馈。</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Chars="0" w:right="0" w:firstLine="640" w:firstLineChars="200"/>
        <w:jc w:val="left"/>
        <w:textAlignment w:val="auto"/>
        <w:rPr>
          <w:rStyle w:val="13"/>
          <w:rFonts w:hint="eastAsia" w:ascii="仿宋_GB2312" w:hAnsi="仿宋_GB2312" w:eastAsia="仿宋_GB2312" w:cs="仿宋_GB2312"/>
          <w:b w:val="0"/>
          <w:bCs w:val="0"/>
          <w:color w:val="auto"/>
          <w:sz w:val="32"/>
          <w:szCs w:val="32"/>
          <w:shd w:val="clear" w:fill="FFFFFF"/>
          <w:lang w:val="en-US" w:eastAsia="zh-CN"/>
        </w:rPr>
      </w:pPr>
      <w:r>
        <w:rPr>
          <w:rStyle w:val="13"/>
          <w:rFonts w:hint="eastAsia" w:ascii="仿宋_GB2312" w:hAnsi="仿宋_GB2312" w:eastAsia="仿宋_GB2312" w:cs="仿宋_GB2312"/>
          <w:b w:val="0"/>
          <w:bCs w:val="0"/>
          <w:color w:val="auto"/>
          <w:sz w:val="32"/>
          <w:szCs w:val="32"/>
          <w:shd w:val="clear" w:fill="FFFFFF"/>
          <w:lang w:val="en-US" w:eastAsia="zh-CN"/>
        </w:rPr>
        <w:t>（2）村（社区）提出初审意见，乡镇（街道）提出审核意见。符合上门服务的，及时报送县级残联。不符合上门服务情形的，及时反馈给申请人。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Chars="0" w:right="0" w:firstLine="640" w:firstLineChars="200"/>
        <w:jc w:val="left"/>
        <w:textAlignment w:val="auto"/>
        <w:rPr>
          <w:rStyle w:val="13"/>
          <w:rFonts w:hint="eastAsia" w:ascii="仿宋_GB2312" w:hAnsi="仿宋_GB2312" w:eastAsia="仿宋_GB2312" w:cs="仿宋_GB2312"/>
          <w:b w:val="0"/>
          <w:bCs w:val="0"/>
          <w:color w:val="auto"/>
          <w:sz w:val="32"/>
          <w:szCs w:val="32"/>
          <w:shd w:val="clear" w:fill="FFFFFF"/>
          <w:lang w:val="en-US" w:eastAsia="zh-CN"/>
        </w:rPr>
      </w:pPr>
      <w:r>
        <w:rPr>
          <w:rStyle w:val="13"/>
          <w:rFonts w:hint="eastAsia" w:ascii="仿宋_GB2312" w:hAnsi="仿宋_GB2312" w:eastAsia="仿宋_GB2312" w:cs="仿宋_GB2312"/>
          <w:b w:val="0"/>
          <w:bCs w:val="0"/>
          <w:color w:val="auto"/>
          <w:sz w:val="32"/>
          <w:szCs w:val="32"/>
          <w:shd w:val="clear" w:fill="FFFFFF"/>
          <w:lang w:val="en-US" w:eastAsia="zh-CN"/>
        </w:rPr>
        <w:t>（3）县级残联根据乡镇（街道）报送的情况，协调卫生健康部门、鉴定医院抽调符合鉴定资质的专业骨干，组织开展上门评定或集中评定。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Chars="0" w:right="0"/>
        <w:jc w:val="center"/>
        <w:textAlignment w:val="auto"/>
        <w:rPr>
          <w:rStyle w:val="13"/>
          <w:rFonts w:hint="eastAsia" w:ascii="黑体" w:hAnsi="黑体" w:eastAsia="黑体" w:cs="黑体"/>
          <w:b w:val="0"/>
          <w:bCs w:val="0"/>
          <w:color w:val="auto"/>
          <w:sz w:val="32"/>
          <w:szCs w:val="32"/>
          <w:shd w:val="clear" w:fill="FFFFFF"/>
          <w:lang w:val="en-US" w:eastAsia="zh-CN"/>
        </w:rPr>
      </w:pPr>
      <w:r>
        <w:rPr>
          <w:rStyle w:val="13"/>
          <w:rFonts w:hint="eastAsia" w:ascii="黑体" w:hAnsi="黑体" w:eastAsia="黑体" w:cs="黑体"/>
          <w:b w:val="0"/>
          <w:bCs w:val="0"/>
          <w:color w:val="auto"/>
          <w:sz w:val="32"/>
          <w:szCs w:val="32"/>
          <w:shd w:val="clear" w:fill="FFFFFF"/>
          <w:lang w:val="en-US" w:eastAsia="zh-CN"/>
        </w:rPr>
        <w:t>第三部分  残疾人康复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N/>
        <w:bidi w:val="0"/>
        <w:adjustRightInd/>
        <w:snapToGrid/>
        <w:spacing w:before="0" w:beforeAutospacing="0" w:after="0" w:afterAutospacing="0" w:line="560" w:lineRule="exact"/>
        <w:ind w:leftChars="0" w:right="0" w:firstLine="640" w:firstLineChars="200"/>
        <w:jc w:val="left"/>
        <w:rPr>
          <w:rStyle w:val="13"/>
          <w:rFonts w:hint="eastAsia" w:ascii="仿宋_GB2312" w:hAnsi="仿宋_GB2312" w:eastAsia="仿宋_GB2312" w:cs="仿宋_GB2312"/>
          <w:b w:val="0"/>
          <w:bCs w:val="0"/>
          <w:color w:val="auto"/>
          <w:sz w:val="32"/>
          <w:szCs w:val="32"/>
          <w:shd w:val="clear" w:fill="FFFFFF"/>
          <w:lang w:val="en-US" w:eastAsia="zh-CN"/>
        </w:rPr>
      </w:pPr>
      <w:r>
        <w:rPr>
          <w:rStyle w:val="13"/>
          <w:rFonts w:hint="eastAsia" w:ascii="仿宋_GB2312" w:hAnsi="仿宋_GB2312" w:eastAsia="仿宋_GB2312" w:cs="仿宋_GB2312"/>
          <w:b w:val="0"/>
          <w:bCs w:val="0"/>
          <w:color w:val="auto"/>
          <w:sz w:val="32"/>
          <w:szCs w:val="32"/>
          <w:shd w:val="clear" w:fill="FFFFFF"/>
          <w:lang w:val="en-US" w:eastAsia="zh-CN"/>
        </w:rPr>
        <w:t>各级人民政府和有关部门应当采取措施，为残疾人康复创造条件，建立和完善残疾人康复服务体系，并分阶段实施重点康复项目，帮助残疾人恢复或者补偿功能，增强其参与社会生活的能力。康复工作应当从实际出发，将现代康复技术与我国传统康复技术相结合；以社区康复为基础，康复机构为骨干，残疾人家庭为依托；以实用、易行、受益广的康复内容为重点，优先开展残疾儿童抢救性治疗和康复；发展符合康复要求的科学技术，鼓励自主创新，加强康复新技术的研究、开发和应用，为残疾人提供有效的康复服务。各级人民政府鼓励和扶持社会力量兴办残疾人康复机构。</w:t>
      </w:r>
    </w:p>
    <w:p>
      <w:pPr>
        <w:keepNext w:val="0"/>
        <w:keepLines w:val="0"/>
        <w:pageBreakBefore w:val="0"/>
        <w:kinsoku/>
        <w:wordWrap/>
        <w:overflowPunct/>
        <w:topLinePunct w:val="0"/>
        <w:autoSpaceDE/>
        <w:autoSpaceDN/>
        <w:bidi w:val="0"/>
        <w:adjustRightInd/>
        <w:snapToGrid/>
        <w:spacing w:line="560" w:lineRule="exact"/>
        <w:ind w:leftChars="0" w:right="0"/>
        <w:jc w:val="center"/>
        <w:textAlignment w:val="auto"/>
        <w:rPr>
          <w:rStyle w:val="13"/>
          <w:rFonts w:hint="eastAsia" w:ascii="黑体" w:hAnsi="黑体" w:eastAsia="黑体" w:cs="黑体"/>
          <w:b w:val="0"/>
          <w:bCs w:val="0"/>
          <w:color w:val="auto"/>
          <w:kern w:val="0"/>
          <w:sz w:val="32"/>
          <w:szCs w:val="32"/>
          <w:shd w:val="clear" w:fill="FFFFFF"/>
          <w:lang w:val="en-US" w:eastAsia="zh-CN" w:bidi="ar"/>
        </w:rPr>
      </w:pPr>
      <w:r>
        <w:rPr>
          <w:rStyle w:val="13"/>
          <w:rFonts w:hint="eastAsia" w:ascii="黑体" w:hAnsi="黑体" w:eastAsia="黑体" w:cs="黑体"/>
          <w:b w:val="0"/>
          <w:bCs w:val="0"/>
          <w:color w:val="auto"/>
          <w:kern w:val="0"/>
          <w:sz w:val="32"/>
          <w:szCs w:val="32"/>
          <w:shd w:val="clear" w:fill="FFFFFF"/>
          <w:lang w:val="en-US" w:eastAsia="zh-CN" w:bidi="ar"/>
        </w:rPr>
        <w:t>儿童康复救助</w:t>
      </w:r>
    </w:p>
    <w:p>
      <w:pPr>
        <w:keepNext w:val="0"/>
        <w:keepLines w:val="0"/>
        <w:pageBreakBefore w:val="0"/>
        <w:kinsoku/>
        <w:wordWrap/>
        <w:overflowPunct/>
        <w:topLinePunct w:val="0"/>
        <w:autoSpaceDE/>
        <w:autoSpaceDN/>
        <w:bidi w:val="0"/>
        <w:adjustRightInd/>
        <w:snapToGrid/>
        <w:spacing w:line="560" w:lineRule="exact"/>
        <w:ind w:leftChars="0" w:right="0" w:firstLine="640" w:firstLineChars="200"/>
        <w:jc w:val="both"/>
        <w:textAlignment w:val="auto"/>
        <w:rPr>
          <w:rStyle w:val="13"/>
          <w:rFonts w:hint="eastAsia" w:ascii="仿宋_GB2312" w:hAnsi="仿宋_GB2312" w:eastAsia="仿宋_GB2312" w:cs="仿宋_GB2312"/>
          <w:b w:val="0"/>
          <w:bCs w:val="0"/>
          <w:color w:val="auto"/>
          <w:kern w:val="0"/>
          <w:sz w:val="32"/>
          <w:szCs w:val="32"/>
          <w:shd w:val="clear" w:fill="FFFFFF"/>
          <w:lang w:val="en-US" w:eastAsia="zh-CN" w:bidi="ar"/>
        </w:rPr>
      </w:pPr>
      <w:r>
        <w:rPr>
          <w:rFonts w:hint="eastAsia" w:ascii="仿宋_GB2312" w:hAnsi="仿宋_GB2312" w:eastAsia="仿宋_GB2312" w:cs="仿宋_GB2312"/>
          <w:sz w:val="32"/>
          <w:szCs w:val="32"/>
          <w:lang w:val="en-US" w:eastAsia="zh-CN"/>
        </w:rPr>
        <w:t>实施残疾儿童康复救助是2023年河南省政府“十大民生实事”单列第七项民生实事。</w:t>
      </w:r>
    </w:p>
    <w:p>
      <w:pPr>
        <w:pStyle w:val="21"/>
        <w:keepNext w:val="0"/>
        <w:keepLines w:val="0"/>
        <w:pageBreakBefore w:val="0"/>
        <w:kinsoku/>
        <w:wordWrap/>
        <w:overflowPunct/>
        <w:topLinePunct w:val="0"/>
        <w:autoSpaceDE/>
        <w:autoSpaceDN/>
        <w:bidi w:val="0"/>
        <w:adjustRightInd/>
        <w:snapToGrid/>
        <w:spacing w:before="0" w:line="560" w:lineRule="exact"/>
        <w:ind w:left="0" w:leftChars="0" w:right="0" w:firstLine="640" w:firstLineChars="200"/>
        <w:textAlignment w:val="auto"/>
        <w:rPr>
          <w:rStyle w:val="13"/>
          <w:rFonts w:hint="eastAsia" w:ascii="仿宋_GB2312" w:hAnsi="仿宋_GB2312" w:eastAsia="仿宋_GB2312" w:cs="仿宋_GB2312"/>
          <w:b w:val="0"/>
          <w:bCs w:val="0"/>
          <w:color w:val="auto"/>
          <w:kern w:val="0"/>
          <w:sz w:val="32"/>
          <w:szCs w:val="32"/>
          <w:shd w:val="clear" w:fill="FFFFFF"/>
          <w:lang w:val="en-US" w:eastAsia="zh-CN" w:bidi="ar"/>
        </w:rPr>
      </w:pPr>
      <w:r>
        <w:rPr>
          <w:rStyle w:val="13"/>
          <w:rFonts w:hint="eastAsia" w:ascii="仿宋_GB2312" w:hAnsi="仿宋_GB2312" w:eastAsia="仿宋_GB2312" w:cs="仿宋_GB2312"/>
          <w:b w:val="0"/>
          <w:bCs w:val="0"/>
          <w:color w:val="auto"/>
          <w:kern w:val="0"/>
          <w:sz w:val="32"/>
          <w:szCs w:val="32"/>
          <w:shd w:val="clear" w:fill="FFFFFF"/>
          <w:lang w:val="en-US" w:eastAsia="zh-CN" w:bidi="ar"/>
        </w:rPr>
        <w:t>一、救助范围：</w:t>
      </w:r>
    </w:p>
    <w:p>
      <w:pPr>
        <w:keepNext w:val="0"/>
        <w:keepLines w:val="0"/>
        <w:pageBreakBefore w:val="0"/>
        <w:kinsoku/>
        <w:wordWrap/>
        <w:overflowPunct/>
        <w:topLinePunct w:val="0"/>
        <w:autoSpaceDE/>
        <w:autoSpaceDN/>
        <w:bidi w:val="0"/>
        <w:adjustRightInd/>
        <w:snapToGrid/>
        <w:spacing w:line="560" w:lineRule="exact"/>
        <w:ind w:leftChars="0" w:right="0" w:firstLine="640" w:firstLineChars="200"/>
        <w:textAlignment w:val="auto"/>
        <w:rPr>
          <w:rStyle w:val="13"/>
          <w:rFonts w:hint="eastAsia" w:ascii="仿宋_GB2312" w:hAnsi="仿宋_GB2312" w:eastAsia="仿宋_GB2312" w:cs="仿宋_GB2312"/>
          <w:b w:val="0"/>
          <w:bCs w:val="0"/>
          <w:color w:val="auto"/>
          <w:kern w:val="0"/>
          <w:sz w:val="32"/>
          <w:szCs w:val="32"/>
          <w:shd w:val="clear" w:fill="FFFFFF"/>
          <w:lang w:val="en-US" w:eastAsia="zh-CN" w:bidi="ar"/>
        </w:rPr>
      </w:pPr>
      <w:r>
        <w:rPr>
          <w:rStyle w:val="13"/>
          <w:rFonts w:hint="eastAsia" w:ascii="仿宋_GB2312" w:hAnsi="仿宋_GB2312" w:eastAsia="仿宋_GB2312" w:cs="仿宋_GB2312"/>
          <w:b w:val="0"/>
          <w:bCs w:val="0"/>
          <w:color w:val="auto"/>
          <w:kern w:val="0"/>
          <w:sz w:val="32"/>
          <w:szCs w:val="32"/>
          <w:shd w:val="clear" w:fill="FFFFFF"/>
          <w:lang w:val="en-US" w:eastAsia="zh-CN" w:bidi="ar"/>
        </w:rPr>
        <w:t>本辖区具有常住户口或居住证，监护人有康复意愿，能够按照相关要求配合做好康复训练，并经医疗机构诊断，有康复训练需求，具有康复潜力，身体状况稳定的 0-14岁（7-14岁需要持残疾证）视力、听力、言语、肢体、智力等残疾儿童和孤独症儿童（已使用省级救助、社会公益救助等救助款的无法同时申请儿童康复救助）。</w:t>
      </w:r>
    </w:p>
    <w:p>
      <w:pPr>
        <w:pStyle w:val="21"/>
        <w:keepNext w:val="0"/>
        <w:keepLines w:val="0"/>
        <w:pageBreakBefore w:val="0"/>
        <w:kinsoku/>
        <w:wordWrap/>
        <w:overflowPunct/>
        <w:topLinePunct w:val="0"/>
        <w:autoSpaceDE/>
        <w:autoSpaceDN/>
        <w:bidi w:val="0"/>
        <w:adjustRightInd/>
        <w:snapToGrid/>
        <w:spacing w:before="0" w:line="560" w:lineRule="exact"/>
        <w:ind w:left="0" w:leftChars="0" w:right="0" w:firstLine="640" w:firstLineChars="200"/>
        <w:textAlignment w:val="auto"/>
        <w:rPr>
          <w:rStyle w:val="13"/>
          <w:rFonts w:hint="eastAsia" w:ascii="仿宋_GB2312" w:hAnsi="仿宋_GB2312" w:eastAsia="仿宋_GB2312" w:cs="仿宋_GB2312"/>
          <w:b w:val="0"/>
          <w:bCs w:val="0"/>
          <w:color w:val="auto"/>
          <w:kern w:val="0"/>
          <w:sz w:val="32"/>
          <w:szCs w:val="32"/>
          <w:shd w:val="clear" w:fill="FFFFFF"/>
          <w:lang w:val="en-US" w:eastAsia="zh-CN" w:bidi="ar"/>
        </w:rPr>
      </w:pPr>
      <w:r>
        <w:rPr>
          <w:rStyle w:val="13"/>
          <w:rFonts w:hint="eastAsia" w:ascii="仿宋_GB2312" w:hAnsi="仿宋_GB2312" w:eastAsia="仿宋_GB2312" w:cs="仿宋_GB2312"/>
          <w:b w:val="0"/>
          <w:bCs w:val="0"/>
          <w:color w:val="auto"/>
          <w:kern w:val="0"/>
          <w:sz w:val="32"/>
          <w:szCs w:val="32"/>
          <w:shd w:val="clear" w:fill="FFFFFF"/>
          <w:lang w:val="en-US" w:eastAsia="zh-CN" w:bidi="ar"/>
        </w:rPr>
        <w:t>二、救助内容和标准</w:t>
      </w:r>
    </w:p>
    <w:p>
      <w:pPr>
        <w:pStyle w:val="2"/>
        <w:keepNext w:val="0"/>
        <w:keepLines w:val="0"/>
        <w:pageBreakBefore w:val="0"/>
        <w:kinsoku/>
        <w:wordWrap/>
        <w:overflowPunct/>
        <w:topLinePunct w:val="0"/>
        <w:autoSpaceDE/>
        <w:autoSpaceDN/>
        <w:bidi w:val="0"/>
        <w:adjustRightInd/>
        <w:snapToGrid/>
        <w:spacing w:after="0" w:line="560" w:lineRule="exact"/>
        <w:ind w:leftChars="0" w:right="0" w:firstLine="640" w:firstLineChars="200"/>
        <w:textAlignment w:val="auto"/>
        <w:rPr>
          <w:rStyle w:val="13"/>
          <w:rFonts w:hint="eastAsia" w:ascii="仿宋_GB2312" w:hAnsi="仿宋_GB2312" w:eastAsia="仿宋_GB2312" w:cs="仿宋_GB2312"/>
          <w:b w:val="0"/>
          <w:bCs w:val="0"/>
          <w:color w:val="auto"/>
          <w:kern w:val="0"/>
          <w:sz w:val="32"/>
          <w:szCs w:val="32"/>
          <w:shd w:val="clear" w:fill="FFFFFF"/>
          <w:lang w:val="en-US" w:eastAsia="zh-CN" w:bidi="ar"/>
        </w:rPr>
      </w:pPr>
      <w:r>
        <w:rPr>
          <w:rStyle w:val="13"/>
          <w:rFonts w:hint="eastAsia" w:ascii="仿宋_GB2312" w:hAnsi="仿宋_GB2312" w:eastAsia="仿宋_GB2312" w:cs="仿宋_GB2312"/>
          <w:b w:val="0"/>
          <w:bCs w:val="0"/>
          <w:color w:val="auto"/>
          <w:kern w:val="0"/>
          <w:sz w:val="32"/>
          <w:szCs w:val="32"/>
          <w:shd w:val="clear" w:fill="FFFFFF"/>
          <w:lang w:val="en-US" w:eastAsia="zh-CN" w:bidi="ar"/>
        </w:rPr>
        <w:t>1.手术。对配置基本型人工耳蜗手术每人一次性补助 12000 元（含人工耳蜗术后调机费），同时可享受一个周期的康复训练费补助 16000 元。</w:t>
      </w:r>
    </w:p>
    <w:p>
      <w:pPr>
        <w:pStyle w:val="2"/>
        <w:keepNext w:val="0"/>
        <w:keepLines w:val="0"/>
        <w:pageBreakBefore w:val="0"/>
        <w:kinsoku/>
        <w:wordWrap/>
        <w:overflowPunct/>
        <w:topLinePunct w:val="0"/>
        <w:autoSpaceDE/>
        <w:autoSpaceDN/>
        <w:bidi w:val="0"/>
        <w:adjustRightInd/>
        <w:snapToGrid/>
        <w:spacing w:after="0" w:line="560" w:lineRule="exact"/>
        <w:ind w:leftChars="0" w:right="0" w:firstLine="640" w:firstLineChars="200"/>
        <w:textAlignment w:val="auto"/>
        <w:rPr>
          <w:rStyle w:val="13"/>
          <w:rFonts w:hint="eastAsia" w:ascii="仿宋_GB2312" w:hAnsi="仿宋_GB2312" w:eastAsia="仿宋_GB2312" w:cs="仿宋_GB2312"/>
          <w:b w:val="0"/>
          <w:bCs w:val="0"/>
          <w:color w:val="auto"/>
          <w:kern w:val="0"/>
          <w:sz w:val="32"/>
          <w:szCs w:val="32"/>
          <w:shd w:val="clear" w:fill="FFFFFF"/>
          <w:lang w:val="en-US" w:eastAsia="zh-CN" w:bidi="ar"/>
        </w:rPr>
      </w:pPr>
      <w:r>
        <w:rPr>
          <w:rStyle w:val="13"/>
          <w:rFonts w:hint="eastAsia" w:ascii="仿宋_GB2312" w:hAnsi="仿宋_GB2312" w:eastAsia="仿宋_GB2312" w:cs="仿宋_GB2312"/>
          <w:b w:val="0"/>
          <w:bCs w:val="0"/>
          <w:color w:val="auto"/>
          <w:kern w:val="0"/>
          <w:sz w:val="32"/>
          <w:szCs w:val="32"/>
          <w:shd w:val="clear" w:fill="FFFFFF"/>
          <w:lang w:val="en-US" w:eastAsia="zh-CN" w:bidi="ar"/>
        </w:rPr>
        <w:t>2.辅助器具适配。助听器平均补助标准 4800 元／人（其中含 2 台全数字助听器，适配服务费 1200 元）。假肢、矫形器平均补助标准为 5000 元／人。</w:t>
      </w:r>
    </w:p>
    <w:p>
      <w:pPr>
        <w:pStyle w:val="2"/>
        <w:keepNext w:val="0"/>
        <w:keepLines w:val="0"/>
        <w:pageBreakBefore w:val="0"/>
        <w:kinsoku/>
        <w:wordWrap/>
        <w:overflowPunct/>
        <w:topLinePunct w:val="0"/>
        <w:autoSpaceDE/>
        <w:autoSpaceDN/>
        <w:bidi w:val="0"/>
        <w:adjustRightInd/>
        <w:snapToGrid/>
        <w:spacing w:after="0" w:line="560" w:lineRule="exact"/>
        <w:ind w:leftChars="0" w:right="0" w:firstLine="640" w:firstLineChars="200"/>
        <w:textAlignment w:val="auto"/>
        <w:rPr>
          <w:rStyle w:val="13"/>
          <w:rFonts w:hint="eastAsia" w:ascii="仿宋_GB2312" w:hAnsi="仿宋_GB2312" w:eastAsia="仿宋_GB2312" w:cs="仿宋_GB2312"/>
          <w:b w:val="0"/>
          <w:bCs w:val="0"/>
          <w:color w:val="auto"/>
          <w:kern w:val="0"/>
          <w:sz w:val="32"/>
          <w:szCs w:val="32"/>
          <w:shd w:val="clear" w:fill="FFFFFF"/>
          <w:lang w:val="en-US" w:eastAsia="zh-CN" w:bidi="ar"/>
        </w:rPr>
      </w:pPr>
      <w:r>
        <w:rPr>
          <w:rStyle w:val="13"/>
          <w:rFonts w:hint="eastAsia" w:ascii="仿宋_GB2312" w:hAnsi="仿宋_GB2312" w:eastAsia="仿宋_GB2312" w:cs="仿宋_GB2312"/>
          <w:b w:val="0"/>
          <w:bCs w:val="0"/>
          <w:color w:val="auto"/>
          <w:kern w:val="0"/>
          <w:sz w:val="32"/>
          <w:szCs w:val="32"/>
          <w:shd w:val="clear" w:fill="FFFFFF"/>
          <w:lang w:val="en-US" w:eastAsia="zh-CN" w:bidi="ar"/>
        </w:rPr>
        <w:t>3.康复训练。视力残疾儿童补助标准 1000 元／人／年。听力、言语、肢体、智力残疾儿童和孤独症残疾儿童补助标准为 16000 元／人／年。</w:t>
      </w:r>
    </w:p>
    <w:p>
      <w:pPr>
        <w:pStyle w:val="21"/>
        <w:keepNext w:val="0"/>
        <w:keepLines w:val="0"/>
        <w:pageBreakBefore w:val="0"/>
        <w:kinsoku/>
        <w:wordWrap/>
        <w:overflowPunct/>
        <w:topLinePunct w:val="0"/>
        <w:autoSpaceDE/>
        <w:autoSpaceDN/>
        <w:bidi w:val="0"/>
        <w:adjustRightInd/>
        <w:snapToGrid/>
        <w:spacing w:before="0" w:line="560" w:lineRule="exact"/>
        <w:ind w:left="0" w:leftChars="0" w:right="0" w:firstLine="640" w:firstLineChars="200"/>
        <w:textAlignment w:val="auto"/>
        <w:rPr>
          <w:rStyle w:val="13"/>
          <w:rFonts w:hint="eastAsia" w:ascii="仿宋_GB2312" w:hAnsi="仿宋_GB2312" w:eastAsia="仿宋_GB2312" w:cs="仿宋_GB2312"/>
          <w:b w:val="0"/>
          <w:bCs w:val="0"/>
          <w:color w:val="auto"/>
          <w:kern w:val="0"/>
          <w:sz w:val="32"/>
          <w:szCs w:val="32"/>
          <w:shd w:val="clear" w:fill="FFFFFF"/>
          <w:lang w:val="en-US" w:eastAsia="zh-CN" w:bidi="ar"/>
        </w:rPr>
      </w:pPr>
      <w:r>
        <w:rPr>
          <w:rStyle w:val="13"/>
          <w:rFonts w:hint="eastAsia" w:ascii="仿宋_GB2312" w:hAnsi="仿宋_GB2312" w:eastAsia="仿宋_GB2312" w:cs="仿宋_GB2312"/>
          <w:b w:val="0"/>
          <w:bCs w:val="0"/>
          <w:color w:val="auto"/>
          <w:kern w:val="0"/>
          <w:sz w:val="32"/>
          <w:szCs w:val="32"/>
          <w:shd w:val="clear" w:fill="FFFFFF"/>
          <w:lang w:val="en-US" w:eastAsia="zh-CN" w:bidi="ar"/>
        </w:rPr>
        <w:t>三、申请、转介办法</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leftChars="0" w:right="0" w:rightChars="0" w:firstLine="640" w:firstLineChars="200"/>
        <w:textAlignment w:val="auto"/>
        <w:rPr>
          <w:rStyle w:val="13"/>
          <w:rFonts w:hint="eastAsia" w:ascii="仿宋_GB2312" w:hAnsi="仿宋_GB2312" w:eastAsia="仿宋_GB2312" w:cs="仿宋_GB2312"/>
          <w:b w:val="0"/>
          <w:bCs w:val="0"/>
          <w:color w:val="auto"/>
          <w:kern w:val="0"/>
          <w:sz w:val="32"/>
          <w:szCs w:val="32"/>
          <w:shd w:val="clear" w:fill="FFFFFF"/>
          <w:lang w:val="en-US" w:eastAsia="zh-CN" w:bidi="ar"/>
        </w:rPr>
      </w:pPr>
      <w:r>
        <w:rPr>
          <w:rStyle w:val="13"/>
          <w:rFonts w:hint="eastAsia" w:ascii="仿宋_GB2312" w:hAnsi="仿宋_GB2312" w:eastAsia="仿宋_GB2312" w:cs="仿宋_GB2312"/>
          <w:b w:val="0"/>
          <w:bCs w:val="0"/>
          <w:color w:val="auto"/>
          <w:kern w:val="0"/>
          <w:sz w:val="32"/>
          <w:szCs w:val="32"/>
          <w:shd w:val="clear" w:fill="FFFFFF"/>
          <w:lang w:val="en-US" w:eastAsia="zh-CN" w:bidi="ar"/>
        </w:rPr>
        <w:t>1、监护人自主选择定点康复机构，确定定点康复机构后，携带《河南省残疾儿童康复救助申请备案表》、残疾儿童康复评估报告、残疾儿童康复救助协议书、残疾儿童免冠二寸照片、残疾儿童户口本复印件、残疾儿童监护人户口本（或身份证）复印件（7岁至14岁需递交残疾证复印件）六样材料前往县残联康复部申请。</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leftChars="0" w:right="0" w:rightChars="0" w:firstLine="640" w:firstLineChars="200"/>
        <w:textAlignment w:val="auto"/>
        <w:rPr>
          <w:rStyle w:val="13"/>
          <w:rFonts w:hint="eastAsia" w:ascii="仿宋_GB2312" w:hAnsi="仿宋_GB2312" w:eastAsia="仿宋_GB2312" w:cs="仿宋_GB2312"/>
          <w:b w:val="0"/>
          <w:bCs w:val="0"/>
          <w:color w:val="auto"/>
          <w:kern w:val="0"/>
          <w:sz w:val="32"/>
          <w:szCs w:val="32"/>
          <w:shd w:val="clear" w:fill="FFFFFF"/>
          <w:lang w:val="en-US" w:eastAsia="zh-CN" w:bidi="ar"/>
        </w:rPr>
      </w:pPr>
      <w:r>
        <w:rPr>
          <w:rStyle w:val="13"/>
          <w:rFonts w:hint="eastAsia" w:ascii="仿宋_GB2312" w:hAnsi="仿宋_GB2312" w:eastAsia="仿宋_GB2312" w:cs="仿宋_GB2312"/>
          <w:b w:val="0"/>
          <w:bCs w:val="0"/>
          <w:color w:val="auto"/>
          <w:kern w:val="0"/>
          <w:sz w:val="32"/>
          <w:szCs w:val="32"/>
          <w:shd w:val="clear" w:fill="FFFFFF"/>
          <w:lang w:val="en-US" w:eastAsia="zh-CN" w:bidi="ar"/>
        </w:rPr>
        <w:t>2、县级残联及时接受救助对象的自愿申请，录入康复系统，家长携带残联签字盖章材料及康复手册前往定点康复。</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leftChars="0" w:right="0" w:rightChars="0"/>
        <w:jc w:val="center"/>
        <w:textAlignment w:val="auto"/>
        <w:rPr>
          <w:rStyle w:val="13"/>
          <w:rFonts w:hint="eastAsia" w:ascii="黑体" w:hAnsi="黑体" w:eastAsia="黑体" w:cs="黑体"/>
          <w:b w:val="0"/>
          <w:bCs w:val="0"/>
          <w:color w:val="auto"/>
          <w:kern w:val="0"/>
          <w:sz w:val="32"/>
          <w:szCs w:val="32"/>
          <w:shd w:val="clear" w:fill="FFFFFF"/>
          <w:lang w:val="en-US" w:eastAsia="zh-CN" w:bidi="ar"/>
        </w:rPr>
      </w:pPr>
      <w:r>
        <w:rPr>
          <w:rStyle w:val="13"/>
          <w:rFonts w:hint="eastAsia" w:ascii="黑体" w:hAnsi="黑体" w:eastAsia="黑体" w:cs="黑体"/>
          <w:b w:val="0"/>
          <w:bCs w:val="0"/>
          <w:color w:val="auto"/>
          <w:kern w:val="0"/>
          <w:sz w:val="32"/>
          <w:szCs w:val="32"/>
          <w:shd w:val="clear" w:fill="FFFFFF"/>
          <w:lang w:val="en-US" w:eastAsia="zh-CN" w:bidi="ar"/>
        </w:rPr>
        <w:t>基本康复服务</w:t>
      </w:r>
    </w:p>
    <w:p>
      <w:pPr>
        <w:pStyle w:val="21"/>
        <w:keepNext w:val="0"/>
        <w:keepLines w:val="0"/>
        <w:pageBreakBefore w:val="0"/>
        <w:kinsoku/>
        <w:wordWrap/>
        <w:overflowPunct/>
        <w:topLinePunct w:val="0"/>
        <w:autoSpaceDE/>
        <w:autoSpaceDN/>
        <w:bidi w:val="0"/>
        <w:adjustRightInd/>
        <w:snapToGrid/>
        <w:spacing w:before="0" w:line="560" w:lineRule="exact"/>
        <w:ind w:left="0" w:leftChars="0" w:right="0" w:firstLine="640" w:firstLineChars="200"/>
        <w:textAlignment w:val="auto"/>
        <w:rPr>
          <w:rStyle w:val="13"/>
          <w:rFonts w:hint="eastAsia" w:ascii="仿宋_GB2312" w:hAnsi="仿宋_GB2312" w:eastAsia="仿宋_GB2312" w:cs="仿宋_GB2312"/>
          <w:b w:val="0"/>
          <w:bCs w:val="0"/>
          <w:color w:val="auto"/>
          <w:kern w:val="0"/>
          <w:sz w:val="32"/>
          <w:szCs w:val="32"/>
          <w:shd w:val="clear" w:fill="FFFFFF"/>
          <w:lang w:val="en-US" w:eastAsia="zh-CN" w:bidi="ar"/>
        </w:rPr>
      </w:pPr>
      <w:r>
        <w:rPr>
          <w:rStyle w:val="13"/>
          <w:rFonts w:hint="eastAsia" w:ascii="仿宋_GB2312" w:hAnsi="仿宋_GB2312" w:eastAsia="仿宋_GB2312" w:cs="仿宋_GB2312"/>
          <w:b w:val="0"/>
          <w:bCs w:val="0"/>
          <w:color w:val="auto"/>
          <w:kern w:val="0"/>
          <w:sz w:val="32"/>
          <w:szCs w:val="32"/>
          <w:shd w:val="clear" w:fill="FFFFFF"/>
          <w:lang w:val="en-US" w:eastAsia="zh-CN" w:bidi="ar"/>
        </w:rPr>
        <w:t>一、救助范围：为本辖区具有常住户口、残疾证、有康复意愿，能够按照相关要求配合的残疾人。</w:t>
      </w:r>
    </w:p>
    <w:p>
      <w:pPr>
        <w:pStyle w:val="21"/>
        <w:keepNext w:val="0"/>
        <w:keepLines w:val="0"/>
        <w:pageBreakBefore w:val="0"/>
        <w:kinsoku/>
        <w:wordWrap/>
        <w:overflowPunct/>
        <w:topLinePunct w:val="0"/>
        <w:autoSpaceDE/>
        <w:autoSpaceDN/>
        <w:bidi w:val="0"/>
        <w:adjustRightInd/>
        <w:snapToGrid/>
        <w:spacing w:before="0" w:line="560" w:lineRule="exact"/>
        <w:ind w:left="0" w:leftChars="0" w:right="0" w:firstLine="640" w:firstLineChars="200"/>
        <w:textAlignment w:val="auto"/>
        <w:rPr>
          <w:rStyle w:val="13"/>
          <w:rFonts w:hint="eastAsia" w:ascii="仿宋_GB2312" w:hAnsi="仿宋_GB2312" w:eastAsia="仿宋_GB2312" w:cs="仿宋_GB2312"/>
          <w:b w:val="0"/>
          <w:bCs w:val="0"/>
          <w:color w:val="auto"/>
          <w:kern w:val="0"/>
          <w:sz w:val="32"/>
          <w:szCs w:val="32"/>
          <w:shd w:val="clear" w:fill="FFFFFF"/>
          <w:lang w:val="en-US" w:eastAsia="zh-CN" w:bidi="ar"/>
        </w:rPr>
      </w:pPr>
      <w:r>
        <w:rPr>
          <w:rStyle w:val="13"/>
          <w:rFonts w:hint="eastAsia" w:ascii="仿宋_GB2312" w:hAnsi="仿宋_GB2312" w:eastAsia="仿宋_GB2312" w:cs="仿宋_GB2312"/>
          <w:b w:val="0"/>
          <w:bCs w:val="0"/>
          <w:color w:val="auto"/>
          <w:kern w:val="0"/>
          <w:sz w:val="32"/>
          <w:szCs w:val="32"/>
          <w:shd w:val="clear" w:fill="FFFFFF"/>
          <w:lang w:val="en-US" w:eastAsia="zh-CN" w:bidi="ar"/>
        </w:rPr>
        <w:t>二、救助内容和标准：由康复机构为残疾人提供支持性服务、康复指导等多种服务，120元/每人/每年。由残联用品用具部发放辅助用具。</w:t>
      </w:r>
    </w:p>
    <w:p>
      <w:pPr>
        <w:pStyle w:val="21"/>
        <w:keepNext w:val="0"/>
        <w:keepLines w:val="0"/>
        <w:pageBreakBefore w:val="0"/>
        <w:kinsoku/>
        <w:wordWrap/>
        <w:overflowPunct/>
        <w:topLinePunct w:val="0"/>
        <w:autoSpaceDE/>
        <w:autoSpaceDN/>
        <w:bidi w:val="0"/>
        <w:adjustRightInd/>
        <w:snapToGrid/>
        <w:spacing w:before="0" w:line="560" w:lineRule="exact"/>
        <w:ind w:left="0" w:leftChars="0" w:right="0" w:firstLine="640" w:firstLineChars="200"/>
        <w:textAlignment w:val="auto"/>
        <w:rPr>
          <w:rStyle w:val="13"/>
          <w:rFonts w:hint="eastAsia" w:ascii="仿宋_GB2312" w:hAnsi="仿宋_GB2312" w:eastAsia="仿宋_GB2312" w:cs="仿宋_GB2312"/>
          <w:b w:val="0"/>
          <w:bCs w:val="0"/>
          <w:color w:val="auto"/>
          <w:kern w:val="0"/>
          <w:sz w:val="32"/>
          <w:szCs w:val="32"/>
          <w:shd w:val="clear" w:fill="FFFFFF"/>
          <w:lang w:val="en-US" w:eastAsia="zh-CN" w:bidi="ar"/>
        </w:rPr>
      </w:pPr>
      <w:r>
        <w:rPr>
          <w:rStyle w:val="13"/>
          <w:rFonts w:hint="eastAsia" w:ascii="仿宋_GB2312" w:hAnsi="仿宋_GB2312" w:eastAsia="仿宋_GB2312" w:cs="仿宋_GB2312"/>
          <w:b w:val="0"/>
          <w:bCs w:val="0"/>
          <w:color w:val="auto"/>
          <w:kern w:val="0"/>
          <w:sz w:val="32"/>
          <w:szCs w:val="32"/>
          <w:shd w:val="clear" w:fill="FFFFFF"/>
          <w:lang w:val="en-US" w:eastAsia="zh-CN" w:bidi="ar"/>
        </w:rPr>
        <w:t>三、申请、转介办法：县残联每年开展动态更新，由乡残联进行残疾人需求调查，次年进行康复服务。</w:t>
      </w: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 xml:space="preserve"> 辅具适配</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适配</w:t>
      </w:r>
      <w:r>
        <w:rPr>
          <w:rFonts w:hint="eastAsia" w:ascii="黑体" w:hAnsi="黑体" w:eastAsia="黑体" w:cs="黑体"/>
          <w:color w:val="000000"/>
          <w:sz w:val="32"/>
          <w:szCs w:val="32"/>
        </w:rPr>
        <w:t>对象</w:t>
      </w:r>
      <w:r>
        <w:rPr>
          <w:rFonts w:hint="eastAsia" w:ascii="黑体" w:hAnsi="黑体" w:eastAsia="黑体" w:cs="黑体"/>
          <w:color w:val="000000"/>
          <w:sz w:val="32"/>
          <w:szCs w:val="32"/>
          <w:lang w:eastAsia="zh-CN"/>
        </w:rPr>
        <w:t>：</w:t>
      </w:r>
      <w:r>
        <w:rPr>
          <w:rFonts w:hint="eastAsia" w:ascii="仿宋_GB2312" w:hAnsi="仿宋_GB2312" w:eastAsia="仿宋_GB2312" w:cs="仿宋_GB2312"/>
          <w:color w:val="000000"/>
          <w:sz w:val="32"/>
          <w:szCs w:val="32"/>
        </w:rPr>
        <w:t>残疾人基本型辅具适配补贴对象为</w:t>
      </w:r>
      <w:r>
        <w:rPr>
          <w:rFonts w:hint="eastAsia" w:ascii="仿宋_GB2312" w:hAnsi="仿宋_GB2312" w:eastAsia="仿宋_GB2312" w:cs="仿宋_GB2312"/>
          <w:color w:val="000000"/>
          <w:sz w:val="32"/>
          <w:szCs w:val="32"/>
          <w:lang w:val="en-US" w:eastAsia="zh-CN"/>
        </w:rPr>
        <w:t>方城县</w:t>
      </w:r>
      <w:r>
        <w:rPr>
          <w:rFonts w:hint="eastAsia" w:ascii="仿宋_GB2312" w:hAnsi="仿宋_GB2312" w:eastAsia="仿宋_GB2312" w:cs="仿宋_GB2312"/>
          <w:color w:val="000000"/>
          <w:sz w:val="32"/>
          <w:szCs w:val="32"/>
        </w:rPr>
        <w:t>户籍，持有《中华人民共和国残疾人证》的7岁（含7岁）以上残疾人。重点补贴对象：低保、特困供养家庭残疾人，一户多残家庭残疾人，在校残疾学生等。</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color w:val="000000"/>
          <w:sz w:val="32"/>
          <w:szCs w:val="32"/>
          <w:lang w:eastAsia="zh-CN"/>
        </w:rPr>
        <w:t>适配依据：</w:t>
      </w:r>
      <w:r>
        <w:rPr>
          <w:rFonts w:hint="eastAsia" w:ascii="仿宋_GB2312" w:hAnsi="仿宋_GB2312" w:eastAsia="仿宋_GB2312" w:cs="仿宋_GB2312"/>
          <w:color w:val="000000"/>
          <w:sz w:val="32"/>
          <w:szCs w:val="32"/>
          <w:lang w:eastAsia="zh-CN"/>
        </w:rPr>
        <w:t>《方城县残疾人基本型辅助器具适配补贴实施细则（试行）》</w:t>
      </w:r>
      <w:r>
        <w:rPr>
          <w:rFonts w:hint="eastAsia" w:ascii="仿宋_GB2312" w:hAnsi="仿宋_GB2312" w:eastAsia="仿宋_GB2312" w:cs="仿宋_GB2312"/>
          <w:color w:val="000000"/>
          <w:sz w:val="32"/>
          <w:szCs w:val="32"/>
          <w:lang w:val="en-US" w:eastAsia="zh-CN"/>
        </w:rPr>
        <w:t>(方残联【2023】8号），今年5月份印发给各乡镇街道残联。</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2、</w:t>
      </w:r>
      <w:r>
        <w:rPr>
          <w:rFonts w:hint="eastAsia" w:ascii="黑体" w:hAnsi="黑体" w:eastAsia="黑体" w:cs="黑体"/>
          <w:b w:val="0"/>
          <w:bCs w:val="0"/>
          <w:color w:val="000000"/>
          <w:sz w:val="32"/>
          <w:szCs w:val="32"/>
        </w:rPr>
        <w:t>申请和审批流程</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申请材料：</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残疾人证原件；委托他人申请补贴的，应提供授权委托书和受托人有效证件。</w:t>
      </w:r>
    </w:p>
    <w:p>
      <w:pPr>
        <w:keepNext w:val="0"/>
        <w:keepLines w:val="0"/>
        <w:pageBreakBefore w:val="0"/>
        <w:widowControl w:val="0"/>
        <w:kinsoku/>
        <w:wordWrap/>
        <w:overflowPunct/>
        <w:topLinePunct w:val="0"/>
        <w:autoSpaceDE/>
        <w:autoSpaceDN/>
        <w:bidi w:val="0"/>
        <w:adjustRightInd/>
        <w:snapToGrid/>
        <w:spacing w:line="560" w:lineRule="exact"/>
        <w:ind w:leftChars="0" w:firstLine="6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申请流程：</w:t>
      </w:r>
      <w:r>
        <w:rPr>
          <w:rFonts w:hint="eastAsia" w:ascii="仿宋_GB2312" w:hAnsi="仿宋_GB2312" w:eastAsia="仿宋_GB2312" w:cs="仿宋_GB2312"/>
          <w:color w:val="000000"/>
          <w:sz w:val="32"/>
          <w:szCs w:val="32"/>
        </w:rPr>
        <w:t>残疾人（或委托人）持残疾人证等有效证明，到户籍所在地乡镇（街道）残联或县（市、区）残联提出申请，填写《南阳市残疾人基本型辅助器具适配补贴申请表》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进行适配发放</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Chars="0" w:firstLine="620"/>
        <w:textAlignment w:val="auto"/>
        <w:rPr>
          <w:rStyle w:val="13"/>
          <w:rFonts w:hint="eastAsia" w:ascii="仿宋" w:hAnsi="仿宋" w:eastAsia="仿宋" w:cs="仿宋"/>
          <w:b w:val="0"/>
          <w:bCs w:val="0"/>
          <w:color w:val="auto"/>
          <w:kern w:val="0"/>
          <w:sz w:val="32"/>
          <w:szCs w:val="32"/>
          <w:shd w:val="clear" w:fill="FFFFFF"/>
          <w:lang w:val="en-US" w:eastAsia="zh-CN" w:bidi="ar"/>
        </w:rPr>
      </w:pPr>
      <w:r>
        <w:rPr>
          <w:rFonts w:hint="eastAsia" w:ascii="仿宋_GB2312" w:hAnsi="仿宋_GB2312" w:eastAsia="仿宋_GB2312" w:cs="仿宋_GB2312"/>
          <w:color w:val="000000"/>
          <w:sz w:val="32"/>
          <w:szCs w:val="32"/>
          <w:lang w:val="en-US" w:eastAsia="zh-CN"/>
        </w:rPr>
        <w:t>助听器今年6～7月份已到各乡镇街道进行了适配服务。</w:t>
      </w:r>
    </w:p>
    <w:p>
      <w:pPr>
        <w:keepNext w:val="0"/>
        <w:keepLines w:val="0"/>
        <w:pageBreakBefore w:val="0"/>
        <w:kinsoku/>
        <w:wordWrap/>
        <w:overflowPunct/>
        <w:autoSpaceDN/>
        <w:bidi w:val="0"/>
        <w:adjustRightInd/>
        <w:snapToGrid/>
        <w:spacing w:line="560" w:lineRule="exact"/>
        <w:ind w:leftChars="0"/>
        <w:jc w:val="center"/>
        <w:rPr>
          <w:rFonts w:hint="eastAsia" w:ascii="黑体" w:hAnsi="黑体" w:eastAsia="黑体" w:cs="黑体"/>
          <w:b/>
          <w:sz w:val="32"/>
          <w:szCs w:val="32"/>
        </w:rPr>
      </w:pPr>
      <w:r>
        <w:rPr>
          <w:rFonts w:hint="eastAsia" w:ascii="黑体" w:hAnsi="黑体" w:eastAsia="黑体" w:cs="黑体"/>
          <w:b/>
          <w:sz w:val="32"/>
          <w:szCs w:val="32"/>
          <w:shd w:val="clear" w:color="auto" w:fill="FFFFFF"/>
          <w:lang w:val="en-US" w:eastAsia="zh-CN"/>
        </w:rPr>
        <w:t>第四部分</w:t>
      </w:r>
      <w:r>
        <w:rPr>
          <w:rFonts w:hint="eastAsia" w:ascii="黑体" w:hAnsi="黑体" w:eastAsia="黑体" w:cs="黑体"/>
        </w:rPr>
        <w:t xml:space="preserve"> </w:t>
      </w:r>
      <w:r>
        <w:rPr>
          <w:rFonts w:hint="eastAsia" w:ascii="黑体" w:hAnsi="黑体" w:eastAsia="黑体" w:cs="黑体"/>
          <w:b/>
          <w:sz w:val="32"/>
          <w:szCs w:val="32"/>
        </w:rPr>
        <w:t>残疾人技能培训</w:t>
      </w:r>
    </w:p>
    <w:p>
      <w:pPr>
        <w:pStyle w:val="22"/>
        <w:keepNext w:val="0"/>
        <w:keepLines w:val="0"/>
        <w:pageBreakBefore w:val="0"/>
        <w:kinsoku/>
        <w:wordWrap/>
        <w:overflowPunct/>
        <w:autoSpaceDN/>
        <w:bidi w:val="0"/>
        <w:adjustRightInd/>
        <w:snapToGrid/>
        <w:spacing w:line="560" w:lineRule="exact"/>
        <w:ind w:leftChars="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残疾人</w:t>
      </w:r>
      <w:r>
        <w:rPr>
          <w:rFonts w:hint="eastAsia" w:ascii="仿宋_GB2312" w:hAnsi="仿宋_GB2312" w:eastAsia="仿宋_GB2312" w:cs="仿宋_GB2312"/>
          <w:sz w:val="32"/>
          <w:szCs w:val="32"/>
          <w:lang w:eastAsia="zh-CN"/>
        </w:rPr>
        <w:t>技能</w:t>
      </w:r>
      <w:r>
        <w:rPr>
          <w:rFonts w:hint="eastAsia" w:ascii="仿宋_GB2312" w:hAnsi="仿宋_GB2312" w:eastAsia="仿宋_GB2312" w:cs="仿宋_GB2312"/>
          <w:sz w:val="32"/>
          <w:szCs w:val="32"/>
        </w:rPr>
        <w:t>培训是“人人持证，技能河南”行动的重要组成部分，“人人持证、技能河南”建设</w:t>
      </w:r>
      <w:r>
        <w:rPr>
          <w:rFonts w:hint="eastAsia" w:ascii="仿宋_GB2312" w:hAnsi="仿宋_GB2312" w:eastAsia="仿宋_GB2312" w:cs="仿宋_GB2312"/>
          <w:sz w:val="32"/>
          <w:szCs w:val="32"/>
          <w:lang w:eastAsia="zh-CN"/>
        </w:rPr>
        <w:t>是河南省十大民生实事之首。</w:t>
      </w:r>
      <w:r>
        <w:rPr>
          <w:rFonts w:hint="eastAsia" w:ascii="仿宋_GB2312" w:hAnsi="仿宋_GB2312" w:eastAsia="仿宋_GB2312" w:cs="仿宋_GB2312"/>
          <w:sz w:val="32"/>
          <w:szCs w:val="32"/>
        </w:rPr>
        <w:t>为做好“十四五”期间农村困难残疾人实用技术培训项目，切实提高困难残疾人家庭的发展和增收能力，进一步巩固残疾人脱贫攻坚成果，县残联委托培训机构对</w:t>
      </w:r>
      <w:r>
        <w:rPr>
          <w:rFonts w:hint="eastAsia" w:ascii="仿宋_GB2312" w:hAnsi="仿宋_GB2312" w:eastAsia="仿宋_GB2312" w:cs="仿宋_GB2312"/>
          <w:bCs/>
          <w:sz w:val="32"/>
          <w:szCs w:val="32"/>
        </w:rPr>
        <w:t>农村困难残疾人进行实用技术及</w:t>
      </w:r>
      <w:r>
        <w:rPr>
          <w:rFonts w:hint="eastAsia" w:ascii="仿宋_GB2312" w:hAnsi="仿宋_GB2312" w:eastAsia="仿宋_GB2312" w:cs="仿宋_GB2312"/>
          <w:sz w:val="32"/>
          <w:szCs w:val="32"/>
        </w:rPr>
        <w:t>残疾人</w:t>
      </w:r>
      <w:r>
        <w:rPr>
          <w:rFonts w:hint="eastAsia" w:ascii="仿宋_GB2312" w:hAnsi="仿宋_GB2312" w:eastAsia="仿宋_GB2312" w:cs="仿宋_GB2312"/>
          <w:bCs/>
          <w:sz w:val="32"/>
          <w:szCs w:val="32"/>
        </w:rPr>
        <w:t>职业技术培训培训。</w:t>
      </w:r>
    </w:p>
    <w:p>
      <w:pPr>
        <w:keepNext w:val="0"/>
        <w:keepLines w:val="0"/>
        <w:pageBreakBefore w:val="0"/>
        <w:kinsoku/>
        <w:wordWrap/>
        <w:overflowPunct/>
        <w:autoSpaceDE w:val="0"/>
        <w:autoSpaceDN/>
        <w:bidi w:val="0"/>
        <w:adjustRightInd/>
        <w:snapToGrid/>
        <w:spacing w:line="560"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职业技术培训对象范围：本辖区内持证残疾人，男性1964年（59岁）—2007（16岁）、女性1974年（49岁）—2007年（16岁）有劳动能力的残疾人或直系亲属。</w:t>
      </w:r>
    </w:p>
    <w:p>
      <w:pPr>
        <w:keepNext w:val="0"/>
        <w:keepLines w:val="0"/>
        <w:pageBreakBefore w:val="0"/>
        <w:kinsoku/>
        <w:wordWrap/>
        <w:overflowPunct/>
        <w:autoSpaceDE w:val="0"/>
        <w:autoSpaceDN/>
        <w:bidi w:val="0"/>
        <w:adjustRightInd/>
        <w:snapToGrid/>
        <w:spacing w:line="560"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农村困难残疾人实用技术培训对象范围：</w:t>
      </w:r>
    </w:p>
    <w:p>
      <w:pPr>
        <w:keepNext w:val="0"/>
        <w:keepLines w:val="0"/>
        <w:pageBreakBefore w:val="0"/>
        <w:kinsoku/>
        <w:wordWrap/>
        <w:overflowPunct/>
        <w:autoSpaceDE w:val="0"/>
        <w:autoSpaceDN/>
        <w:bidi w:val="0"/>
        <w:adjustRightInd/>
        <w:snapToGrid/>
        <w:spacing w:line="560"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1、农村享受低保残疾人，原建档立卡残疾人、特困救助供养残疾人等；</w:t>
      </w:r>
    </w:p>
    <w:p>
      <w:pPr>
        <w:keepNext w:val="0"/>
        <w:keepLines w:val="0"/>
        <w:pageBreakBefore w:val="0"/>
        <w:kinsoku/>
        <w:wordWrap/>
        <w:overflowPunct/>
        <w:autoSpaceDE w:val="0"/>
        <w:autoSpaceDN/>
        <w:bidi w:val="0"/>
        <w:adjustRightInd/>
        <w:snapToGrid/>
        <w:spacing w:line="560"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2、家庭人均收入低于当地低保标准1.5倍左右的农村低收入残疾人；</w:t>
      </w:r>
    </w:p>
    <w:p>
      <w:pPr>
        <w:keepNext w:val="0"/>
        <w:keepLines w:val="0"/>
        <w:pageBreakBefore w:val="0"/>
        <w:kinsoku/>
        <w:wordWrap/>
        <w:overflowPunct/>
        <w:autoSpaceDE w:val="0"/>
        <w:autoSpaceDN/>
        <w:bidi w:val="0"/>
        <w:adjustRightInd/>
        <w:snapToGrid/>
        <w:spacing w:line="560"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3、一户多残、</w:t>
      </w:r>
      <w:r>
        <w:rPr>
          <w:rFonts w:hint="eastAsia" w:ascii="仿宋_GB2312" w:hAnsi="仿宋_GB2312" w:eastAsia="仿宋_GB2312" w:cs="仿宋_GB2312"/>
          <w:sz w:val="32"/>
          <w:szCs w:val="32"/>
          <w:lang w:val="en-US" w:eastAsia="zh-CN"/>
        </w:rPr>
        <w:t>依</w:t>
      </w:r>
      <w:r>
        <w:rPr>
          <w:rFonts w:hint="eastAsia" w:ascii="仿宋_GB2312" w:hAnsi="仿宋_GB2312" w:eastAsia="仿宋_GB2312" w:cs="仿宋_GB2312"/>
          <w:sz w:val="32"/>
          <w:szCs w:val="32"/>
        </w:rPr>
        <w:t>老养残等特殊困难家庭中的残疾人；</w:t>
      </w:r>
    </w:p>
    <w:p>
      <w:pPr>
        <w:keepNext w:val="0"/>
        <w:keepLines w:val="0"/>
        <w:pageBreakBefore w:val="0"/>
        <w:kinsoku/>
        <w:wordWrap/>
        <w:overflowPunct/>
        <w:autoSpaceDE w:val="0"/>
        <w:autoSpaceDN/>
        <w:bidi w:val="0"/>
        <w:adjustRightInd/>
        <w:snapToGrid/>
        <w:spacing w:line="560"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4、经当地相关部门认定或村委会推荐的困难家庭中的残疾人；</w:t>
      </w:r>
    </w:p>
    <w:p>
      <w:pPr>
        <w:keepNext w:val="0"/>
        <w:keepLines w:val="0"/>
        <w:pageBreakBefore w:val="0"/>
        <w:kinsoku/>
        <w:wordWrap/>
        <w:overflowPunct/>
        <w:autoSpaceDE w:val="0"/>
        <w:autoSpaceDN/>
        <w:bidi w:val="0"/>
        <w:adjustRightInd/>
        <w:snapToGrid/>
        <w:spacing w:line="560"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5、以上情况中的重度残疾人家庭的一位成员。</w:t>
      </w:r>
    </w:p>
    <w:p>
      <w:pPr>
        <w:keepNext w:val="0"/>
        <w:keepLines w:val="0"/>
        <w:pageBreakBefore w:val="0"/>
        <w:kinsoku/>
        <w:wordWrap/>
        <w:overflowPunct/>
        <w:autoSpaceDE w:val="0"/>
        <w:autoSpaceDN/>
        <w:bidi w:val="0"/>
        <w:adjustRightInd/>
        <w:snapToGrid/>
        <w:spacing w:line="560" w:lineRule="exact"/>
        <w:ind w:left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第五部分：残疾人就业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N/>
        <w:bidi w:val="0"/>
        <w:adjustRightInd/>
        <w:snapToGrid/>
        <w:spacing w:before="0" w:beforeAutospacing="0" w:after="0" w:afterAutospacing="0" w:line="560" w:lineRule="exact"/>
        <w:ind w:left="0" w:leftChars="0" w:right="0" w:firstLine="42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华人民共和国残疾人保障法》规定，国家保障残疾人劳动的权利。各级人民政府应当对残疾人劳动就业统筹规划，为残疾人创造劳动就业条件。残疾人劳动就业，实行集中与分散相结合的方针，采取优惠政策和扶持保护措施，通过多渠道、多层次、多种形式，使残疾人劳动就业逐步普及、稳定、合理。政府和社会举办残疾人福利企业、盲人按摩机构和其他福利性单位，集中安排残疾人就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N/>
        <w:bidi w:val="0"/>
        <w:adjustRightInd/>
        <w:snapToGrid/>
        <w:spacing w:before="0" w:beforeAutospacing="0" w:after="0" w:afterAutospacing="0" w:line="560" w:lineRule="exact"/>
        <w:ind w:leftChars="0" w:right="0"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国家实行按比例安排残疾人就业制度。国家机关、社会团体、企业事业单位、民办非企业单位应当按照规定的比例安排残疾人就业，并为其选择适当的工种和岗位。达不到规定比例的，按照国家有关规定履行保障残疾人就业义务。国家鼓励用人单位超过规定比例安排残疾人就业。用人单位聘用残疾人比例达到1.6%，年审通过后可免交残疾人就业保障金。达不到比例的，需缴纳残保金。残保金实行分档征收政策用人单位安排残疾人就业比例达到 1%（含）以上，但低于我省规定比例1.6%的，按规定应缴费额的50%缴纳；用人单位安排残疾人就业比例在1%以下的，按规定应缴费额的 90%缴纳。</w:t>
      </w:r>
    </w:p>
    <w:p>
      <w:pPr>
        <w:keepNext w:val="0"/>
        <w:keepLines w:val="0"/>
        <w:pageBreakBefore w:val="0"/>
        <w:kinsoku/>
        <w:wordWrap/>
        <w:overflowPunct/>
        <w:autoSpaceDN/>
        <w:bidi w:val="0"/>
        <w:adjustRightInd/>
        <w:snapToGrid/>
        <w:spacing w:line="560" w:lineRule="exact"/>
        <w:ind w:leftChars="0"/>
        <w:jc w:val="center"/>
        <w:rPr>
          <w:rFonts w:hint="eastAsia" w:ascii="黑体" w:hAnsi="黑体" w:eastAsia="黑体" w:cs="黑体"/>
          <w:b/>
          <w:sz w:val="32"/>
          <w:szCs w:val="32"/>
          <w:shd w:val="clear" w:color="auto" w:fill="FFFFFF"/>
        </w:rPr>
      </w:pPr>
      <w:r>
        <w:rPr>
          <w:rFonts w:hint="eastAsia" w:ascii="黑体" w:hAnsi="黑体" w:eastAsia="黑体" w:cs="黑体"/>
          <w:b/>
          <w:sz w:val="32"/>
          <w:szCs w:val="32"/>
          <w:shd w:val="clear" w:color="auto" w:fill="FFFFFF"/>
          <w:lang w:val="en-US" w:eastAsia="zh-CN"/>
        </w:rPr>
        <w:t xml:space="preserve">第六部分  </w:t>
      </w:r>
      <w:r>
        <w:rPr>
          <w:rFonts w:hint="eastAsia" w:ascii="黑体" w:hAnsi="黑体" w:eastAsia="黑体" w:cs="黑体"/>
          <w:b/>
          <w:sz w:val="32"/>
          <w:szCs w:val="32"/>
          <w:shd w:val="clear" w:color="auto" w:fill="FFFFFF"/>
        </w:rPr>
        <w:t>残疾人“阳光家园”托养服务</w:t>
      </w:r>
    </w:p>
    <w:p>
      <w:pPr>
        <w:keepNext w:val="0"/>
        <w:keepLines w:val="0"/>
        <w:pageBreakBefore w:val="0"/>
        <w:kinsoku/>
        <w:wordWrap/>
        <w:overflowPunct/>
        <w:autoSpaceDN/>
        <w:bidi w:val="0"/>
        <w:adjustRightInd/>
        <w:snapToGrid/>
        <w:spacing w:line="560" w:lineRule="exact"/>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shd w:val="clear" w:color="auto" w:fill="FFFFFF"/>
        </w:rPr>
        <w:t>残疾人“阳光家园”托养服务是指为符合条件的智力、精神和重度肢体残疾人提供基本生活照料和护理、生活自理能力训练、社会适应能力辅导、职业康复和劳动技能训练、运动功能训练等方面的社会服务。服务形式分为三种：机构寄宿、日间照料和居家托养。服务对象：</w:t>
      </w:r>
      <w:r>
        <w:rPr>
          <w:rFonts w:hint="eastAsia" w:ascii="仿宋_GB2312" w:hAnsi="仿宋_GB2312" w:eastAsia="仿宋_GB2312" w:cs="仿宋_GB2312"/>
          <w:sz w:val="32"/>
          <w:szCs w:val="32"/>
        </w:rPr>
        <w:t>1、托养对象具有本县户籍；2、年龄男16至59周岁，女16至54周岁；3、持有第二代残疾人证的精神、智力和重度肢体残疾人。每年的目标任务数由省残联核定下发，县残联筛选符合条件的服务对象委托第三方合作机构进行服务。</w:t>
      </w:r>
    </w:p>
    <w:p>
      <w:pPr>
        <w:keepNext w:val="0"/>
        <w:keepLines w:val="0"/>
        <w:pageBreakBefore w:val="0"/>
        <w:kinsoku/>
        <w:wordWrap/>
        <w:overflowPunct/>
        <w:autoSpaceDN/>
        <w:bidi w:val="0"/>
        <w:adjustRightInd/>
        <w:snapToGrid/>
        <w:spacing w:line="560" w:lineRule="exact"/>
        <w:ind w:leftChars="0" w:firstLine="482" w:firstLineChars="150"/>
        <w:jc w:val="center"/>
        <w:rPr>
          <w:rFonts w:hint="eastAsia" w:ascii="黑体" w:hAnsi="黑体" w:eastAsia="黑体" w:cs="黑体"/>
          <w:b/>
          <w:sz w:val="32"/>
          <w:szCs w:val="32"/>
        </w:rPr>
      </w:pPr>
      <w:r>
        <w:rPr>
          <w:rFonts w:hint="eastAsia" w:ascii="黑体" w:hAnsi="黑体" w:eastAsia="黑体" w:cs="黑体"/>
          <w:b/>
          <w:sz w:val="32"/>
          <w:szCs w:val="32"/>
          <w:lang w:val="en-US" w:eastAsia="zh-CN"/>
        </w:rPr>
        <w:t>第七部分：</w:t>
      </w:r>
      <w:r>
        <w:rPr>
          <w:rFonts w:hint="eastAsia" w:ascii="黑体" w:hAnsi="黑体" w:eastAsia="黑体" w:cs="黑体"/>
          <w:b/>
          <w:sz w:val="32"/>
          <w:szCs w:val="32"/>
        </w:rPr>
        <w:t>残疾人两项补贴</w:t>
      </w:r>
    </w:p>
    <w:p>
      <w:pPr>
        <w:keepNext w:val="0"/>
        <w:keepLines w:val="0"/>
        <w:pageBreakBefore w:val="0"/>
        <w:kinsoku/>
        <w:wordWrap/>
        <w:overflowPunct/>
        <w:autoSpaceDN/>
        <w:bidi w:val="0"/>
        <w:adjustRightInd/>
        <w:snapToGrid/>
        <w:spacing w:line="560" w:lineRule="exact"/>
        <w:ind w:leftChars="0"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残疾人两项补贴政策指的是困难残疾人生活补贴和重度残疾人护理补贴，针对一、二级重度残疾人每人每月发放75元的护理补贴资金，针对低保家庭的一、二、三、四级残疾人每人每月发放75元的生活补贴资金。两项补贴的具体申请流程如下：</w:t>
      </w:r>
    </w:p>
    <w:p>
      <w:pPr>
        <w:keepNext w:val="0"/>
        <w:keepLines w:val="0"/>
        <w:pageBreakBefore w:val="0"/>
        <w:widowControl/>
        <w:kinsoku/>
        <w:wordWrap/>
        <w:overflowPunct/>
        <w:autoSpaceDN/>
        <w:bidi w:val="0"/>
        <w:adjustRightInd/>
        <w:snapToGrid/>
        <w:spacing w:line="560" w:lineRule="exact"/>
        <w:ind w:leftChars="0"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残疾人两项补贴政策从2016年1月起开始实施，符合条件的残疾人</w:t>
      </w:r>
      <w:r>
        <w:rPr>
          <w:rFonts w:hint="eastAsia" w:ascii="仿宋_GB2312" w:hAnsi="仿宋_GB2312" w:eastAsia="仿宋_GB2312" w:cs="仿宋_GB2312"/>
          <w:kern w:val="0"/>
          <w:sz w:val="32"/>
          <w:szCs w:val="32"/>
          <w:lang w:val="en-US" w:eastAsia="zh-CN"/>
        </w:rPr>
        <w:t>持</w:t>
      </w:r>
      <w:r>
        <w:rPr>
          <w:rFonts w:hint="eastAsia" w:ascii="仿宋_GB2312" w:hAnsi="仿宋_GB2312" w:eastAsia="仿宋_GB2312" w:cs="仿宋_GB2312"/>
          <w:kern w:val="0"/>
          <w:sz w:val="32"/>
          <w:szCs w:val="32"/>
        </w:rPr>
        <w:t>残疾证和身份证到户籍地的乡镇（街道）残联去申请后填写《申请表》，符合享受困难生活补贴的残疾人提供残疾人证、身份证、低保证、本人银行卡等复印件和照片各三张；符合享受重度护理补贴的残疾人提供残疾人证、身份证、本人银行卡等复印件和照片各三张。乡镇（街道）残联初审后每月10号前将上月申请残疾人两项补贴的人员资料报送到县残联审核。县残联审核无误后，转送县民政部门审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申请补贴资金向残疾人发放补贴。</w:t>
      </w:r>
    </w:p>
    <w:p>
      <w:pPr>
        <w:keepNext w:val="0"/>
        <w:keepLines w:val="0"/>
        <w:pageBreakBefore w:val="0"/>
        <w:kinsoku/>
        <w:wordWrap/>
        <w:overflowPunct/>
        <w:autoSpaceDN/>
        <w:bidi w:val="0"/>
        <w:adjustRightInd/>
        <w:snapToGrid/>
        <w:spacing w:line="560" w:lineRule="exact"/>
        <w:ind w:leftChars="0"/>
        <w:jc w:val="center"/>
        <w:rPr>
          <w:rFonts w:hint="eastAsia" w:ascii="黑体" w:hAnsi="黑体" w:eastAsia="黑体" w:cs="黑体"/>
          <w:b/>
          <w:sz w:val="32"/>
          <w:szCs w:val="32"/>
        </w:rPr>
      </w:pPr>
      <w:r>
        <w:rPr>
          <w:rFonts w:hint="eastAsia" w:ascii="黑体" w:hAnsi="黑体" w:eastAsia="黑体" w:cs="黑体"/>
          <w:b/>
          <w:sz w:val="32"/>
          <w:szCs w:val="32"/>
          <w:lang w:val="en-US" w:eastAsia="zh-CN"/>
        </w:rPr>
        <w:t xml:space="preserve">第八部分  </w:t>
      </w:r>
      <w:r>
        <w:rPr>
          <w:rFonts w:hint="eastAsia" w:ascii="黑体" w:hAnsi="黑体" w:eastAsia="黑体" w:cs="黑体"/>
          <w:b/>
          <w:sz w:val="32"/>
          <w:szCs w:val="32"/>
        </w:rPr>
        <w:t>残疾人大学生救助</w:t>
      </w:r>
    </w:p>
    <w:p>
      <w:pPr>
        <w:keepNext w:val="0"/>
        <w:keepLines w:val="0"/>
        <w:pageBreakBefore w:val="0"/>
        <w:kinsoku/>
        <w:wordWrap/>
        <w:overflowPunct/>
        <w:autoSpaceDE w:val="0"/>
        <w:autoSpaceDN/>
        <w:bidi w:val="0"/>
        <w:adjustRightInd/>
        <w:snapToGrid/>
        <w:spacing w:line="560" w:lineRule="exact"/>
        <w:ind w:leftChars="0" w:firstLine="640" w:firstLineChars="200"/>
        <w:rPr>
          <w:rFonts w:hint="eastAsia" w:ascii="黑体" w:hAnsi="黑体" w:eastAsia="黑体"/>
          <w:sz w:val="32"/>
          <w:szCs w:val="32"/>
        </w:rPr>
      </w:pPr>
      <w:r>
        <w:rPr>
          <w:rFonts w:hint="eastAsia" w:ascii="黑体" w:hAnsi="黑体" w:eastAsia="黑体"/>
          <w:sz w:val="32"/>
          <w:szCs w:val="32"/>
        </w:rPr>
        <w:t>资助对象：</w:t>
      </w:r>
      <w:r>
        <w:rPr>
          <w:rFonts w:hint="eastAsia" w:ascii="仿宋_GB2312" w:hAnsi="仿宋_GB2312" w:eastAsia="仿宋_GB2312" w:cs="仿宋_GB2312"/>
          <w:sz w:val="32"/>
          <w:szCs w:val="32"/>
        </w:rPr>
        <w:t>方城县应届残疾大学新生。</w:t>
      </w:r>
    </w:p>
    <w:p>
      <w:pPr>
        <w:keepNext w:val="0"/>
        <w:keepLines w:val="0"/>
        <w:pageBreakBefore w:val="0"/>
        <w:kinsoku/>
        <w:wordWrap/>
        <w:overflowPunct/>
        <w:autoSpaceDE w:val="0"/>
        <w:autoSpaceDN/>
        <w:bidi w:val="0"/>
        <w:adjustRightInd/>
        <w:snapToGrid/>
        <w:spacing w:line="560" w:lineRule="exact"/>
        <w:ind w:leftChars="0" w:firstLine="640" w:firstLineChars="200"/>
        <w:rPr>
          <w:rFonts w:hint="eastAsia" w:ascii="黑体" w:hAnsi="黑体" w:eastAsia="黑体"/>
          <w:sz w:val="32"/>
          <w:szCs w:val="32"/>
        </w:rPr>
      </w:pPr>
      <w:r>
        <w:rPr>
          <w:rFonts w:hint="eastAsia" w:ascii="黑体" w:hAnsi="黑体" w:eastAsia="黑体"/>
          <w:sz w:val="32"/>
          <w:szCs w:val="32"/>
        </w:rPr>
        <w:t>资助条件：</w:t>
      </w:r>
    </w:p>
    <w:p>
      <w:pPr>
        <w:keepNext w:val="0"/>
        <w:keepLines w:val="0"/>
        <w:pageBreakBefore w:val="0"/>
        <w:kinsoku/>
        <w:wordWrap/>
        <w:overflowPunct/>
        <w:autoSpaceDE w:val="0"/>
        <w:autoSpaceDN/>
        <w:bidi w:val="0"/>
        <w:adjustRightInd/>
        <w:snapToGrid/>
        <w:spacing w:line="560"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1、学生入学前系方城县辖区户籍；</w:t>
      </w:r>
    </w:p>
    <w:p>
      <w:pPr>
        <w:keepNext w:val="0"/>
        <w:keepLines w:val="0"/>
        <w:pageBreakBefore w:val="0"/>
        <w:kinsoku/>
        <w:wordWrap/>
        <w:overflowPunct/>
        <w:autoSpaceDE w:val="0"/>
        <w:autoSpaceDN/>
        <w:bidi w:val="0"/>
        <w:adjustRightInd/>
        <w:snapToGrid/>
        <w:spacing w:line="560"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2、学生本人持有第二代《中华人民共和国残疾人证》;</w:t>
      </w:r>
    </w:p>
    <w:p>
      <w:pPr>
        <w:keepNext w:val="0"/>
        <w:keepLines w:val="0"/>
        <w:pageBreakBefore w:val="0"/>
        <w:kinsoku/>
        <w:wordWrap/>
        <w:overflowPunct/>
        <w:autoSpaceDE w:val="0"/>
        <w:autoSpaceDN/>
        <w:bidi w:val="0"/>
        <w:adjustRightInd/>
        <w:snapToGrid/>
        <w:spacing w:line="560"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3、通过国家高招统一考试，升入普通高等院校或特殊教育学院接受正规国民教育的；</w:t>
      </w:r>
    </w:p>
    <w:p>
      <w:pPr>
        <w:keepNext w:val="0"/>
        <w:keepLines w:val="0"/>
        <w:pageBreakBefore w:val="0"/>
        <w:kinsoku/>
        <w:wordWrap/>
        <w:overflowPunct/>
        <w:autoSpaceDE w:val="0"/>
        <w:autoSpaceDN/>
        <w:bidi w:val="0"/>
        <w:adjustRightInd/>
        <w:snapToGrid/>
        <w:spacing w:line="560"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4、遵纪守法，品德良好，无违法违纪行为的。</w:t>
      </w:r>
    </w:p>
    <w:p>
      <w:pPr>
        <w:keepNext w:val="0"/>
        <w:keepLines w:val="0"/>
        <w:pageBreakBefore w:val="0"/>
        <w:kinsoku/>
        <w:wordWrap/>
        <w:overflowPunct/>
        <w:autoSpaceDE w:val="0"/>
        <w:autoSpaceDN/>
        <w:bidi w:val="0"/>
        <w:adjustRightInd/>
        <w:snapToGrid/>
        <w:spacing w:line="560" w:lineRule="exact"/>
        <w:ind w:leftChars="0" w:firstLine="640" w:firstLineChars="200"/>
        <w:rPr>
          <w:rFonts w:hint="eastAsia" w:ascii="仿宋_GB2312" w:hAnsi="仿宋_GB2312" w:eastAsia="仿宋_GB2312" w:cs="仿宋_GB2312"/>
          <w:sz w:val="32"/>
          <w:szCs w:val="32"/>
        </w:rPr>
      </w:pPr>
      <w:r>
        <w:rPr>
          <w:rFonts w:hint="eastAsia" w:ascii="黑体" w:hAnsi="黑体" w:eastAsia="黑体"/>
          <w:sz w:val="32"/>
          <w:szCs w:val="32"/>
        </w:rPr>
        <w:t>资助标准：</w:t>
      </w:r>
      <w:r>
        <w:rPr>
          <w:rFonts w:hint="eastAsia" w:ascii="仿宋_GB2312" w:hAnsi="仿宋_GB2312" w:eastAsia="仿宋_GB2312" w:cs="仿宋_GB2312"/>
          <w:sz w:val="32"/>
          <w:szCs w:val="32"/>
        </w:rPr>
        <w:t>对本年考入普通高等院校或特殊教育学院的残疾大学生给予一次性入学资助2000元。</w:t>
      </w:r>
    </w:p>
    <w:p>
      <w:pPr>
        <w:keepNext w:val="0"/>
        <w:keepLines w:val="0"/>
        <w:pageBreakBefore w:val="0"/>
        <w:kinsoku/>
        <w:wordWrap/>
        <w:overflowPunct/>
        <w:autoSpaceDE w:val="0"/>
        <w:autoSpaceDN/>
        <w:bidi w:val="0"/>
        <w:adjustRightInd/>
        <w:snapToGrid/>
        <w:spacing w:line="560" w:lineRule="exact"/>
        <w:ind w:leftChars="0" w:firstLine="640" w:firstLineChars="200"/>
        <w:rPr>
          <w:rFonts w:hint="eastAsia" w:ascii="黑体" w:hAnsi="黑体" w:eastAsia="黑体"/>
          <w:sz w:val="32"/>
          <w:szCs w:val="32"/>
        </w:rPr>
      </w:pPr>
      <w:r>
        <w:rPr>
          <w:rFonts w:hint="eastAsia" w:ascii="黑体" w:hAnsi="黑体" w:eastAsia="黑体"/>
          <w:sz w:val="32"/>
          <w:szCs w:val="32"/>
        </w:rPr>
        <w:t>办理流程：</w:t>
      </w:r>
    </w:p>
    <w:p>
      <w:pPr>
        <w:keepNext w:val="0"/>
        <w:keepLines w:val="0"/>
        <w:pageBreakBefore w:val="0"/>
        <w:kinsoku/>
        <w:wordWrap/>
        <w:overflowPunct/>
        <w:autoSpaceDE w:val="0"/>
        <w:autoSpaceDN/>
        <w:bidi w:val="0"/>
        <w:adjustRightInd/>
        <w:snapToGrid/>
        <w:spacing w:line="560"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1、残疾大学生持本人身份证、残疾人证、录取通知书、准考证、免冠2寸高考照片2张，向所县残联提出申请。</w:t>
      </w:r>
    </w:p>
    <w:p>
      <w:pPr>
        <w:keepNext w:val="0"/>
        <w:keepLines w:val="0"/>
        <w:pageBreakBefore w:val="0"/>
        <w:kinsoku/>
        <w:wordWrap/>
        <w:overflowPunct/>
        <w:autoSpaceDE w:val="0"/>
        <w:autoSpaceDN/>
        <w:bidi w:val="0"/>
        <w:adjustRightInd/>
        <w:snapToGrid/>
        <w:spacing w:line="560"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县残联对相关资料进行审核，符合资助条件的，留存本人身份证、残疾人证、录取通知书、准考证复印件各2份及免冠2寸高考照片2张，填写《南阳市残疾大学生入学资助申请表》《南阳市残联资助残疾大学生统计表》和《受助学生拨付资金信息统计表》，一式两份。</w:t>
      </w:r>
    </w:p>
    <w:p>
      <w:pPr>
        <w:keepNext w:val="0"/>
        <w:keepLines w:val="0"/>
        <w:pageBreakBefore w:val="0"/>
        <w:kinsoku/>
        <w:wordWrap/>
        <w:overflowPunct/>
        <w:autoSpaceDE w:val="0"/>
        <w:autoSpaceDN/>
        <w:bidi w:val="0"/>
        <w:adjustRightInd/>
        <w:snapToGrid/>
        <w:spacing w:line="560" w:lineRule="exact"/>
        <w:ind w:leftChars="0" w:firstLine="640" w:firstLineChars="200"/>
        <w:rPr>
          <w:rStyle w:val="13"/>
          <w:rFonts w:hint="default" w:ascii="仿宋" w:hAnsi="仿宋" w:eastAsia="仿宋" w:cs="仿宋"/>
          <w:b w:val="0"/>
          <w:bCs w:val="0"/>
          <w:color w:val="auto"/>
          <w:sz w:val="32"/>
          <w:szCs w:val="32"/>
          <w:shd w:val="clear" w:fill="FFFFFF"/>
          <w:lang w:val="en-US" w:eastAsia="zh-CN"/>
        </w:rPr>
      </w:pPr>
      <w:r>
        <w:rPr>
          <w:rFonts w:hint="eastAsia" w:ascii="仿宋_GB2312" w:hAnsi="仿宋_GB2312" w:eastAsia="仿宋_GB2312" w:cs="仿宋_GB2312"/>
          <w:sz w:val="32"/>
          <w:szCs w:val="32"/>
        </w:rPr>
        <w:t>3、市残联对上报资料进行复审，核定符合资助要求的人数，将资助资金直接拨付受助学生或其监护人提供的银行卡账户（银行卡</w:t>
      </w:r>
      <w:r>
        <w:rPr>
          <w:rFonts w:hint="eastAsia" w:ascii="仿宋" w:hAnsi="仿宋" w:eastAsia="仿宋"/>
          <w:sz w:val="32"/>
          <w:szCs w:val="32"/>
        </w:rPr>
        <w:t>卡号姓名需与资助学生本人或监护人姓名一致）。</w:t>
      </w:r>
    </w:p>
    <w:p>
      <w:pPr>
        <w:keepNext w:val="0"/>
        <w:keepLines w:val="0"/>
        <w:pageBreakBefore w:val="0"/>
        <w:widowControl w:val="0"/>
        <w:numPr>
          <w:ilvl w:val="0"/>
          <w:numId w:val="0"/>
        </w:numPr>
        <w:kinsoku/>
        <w:wordWrap/>
        <w:overflowPunct/>
        <w:topLinePunct/>
        <w:autoSpaceDN/>
        <w:bidi w:val="0"/>
        <w:adjustRightInd/>
        <w:snapToGrid/>
        <w:spacing w:before="0" w:after="0" w:line="560" w:lineRule="exact"/>
        <w:ind w:leftChars="0" w:right="0"/>
        <w:jc w:val="center"/>
        <w:textAlignment w:val="top"/>
        <w:outlineLvl w:val="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 xml:space="preserve">第九部分  </w:t>
      </w:r>
      <w:r>
        <w:rPr>
          <w:rFonts w:hint="eastAsia" w:ascii="黑体" w:hAnsi="黑体" w:eastAsia="黑体" w:cs="黑体"/>
          <w:b w:val="0"/>
          <w:bCs w:val="0"/>
          <w:color w:val="auto"/>
          <w:sz w:val="32"/>
          <w:szCs w:val="32"/>
          <w:lang w:eastAsia="zh-CN"/>
        </w:rPr>
        <w:t>困难重度残疾人家庭无障碍改造</w:t>
      </w:r>
    </w:p>
    <w:p>
      <w:pPr>
        <w:keepNext w:val="0"/>
        <w:keepLines w:val="0"/>
        <w:pageBreakBefore w:val="0"/>
        <w:widowControl w:val="0"/>
        <w:numPr>
          <w:ilvl w:val="0"/>
          <w:numId w:val="0"/>
        </w:numPr>
        <w:kinsoku/>
        <w:wordWrap/>
        <w:overflowPunct/>
        <w:topLinePunct/>
        <w:autoSpaceDN/>
        <w:bidi w:val="0"/>
        <w:adjustRightInd/>
        <w:snapToGrid/>
        <w:spacing w:before="0" w:after="0" w:line="560" w:lineRule="exact"/>
        <w:ind w:left="0" w:leftChars="0" w:right="0" w:firstLine="643" w:firstLineChars="200"/>
        <w:jc w:val="both"/>
        <w:textAlignment w:val="top"/>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sz w:val="32"/>
          <w:szCs w:val="32"/>
          <w:lang w:val="en-US" w:eastAsia="zh-CN"/>
        </w:rPr>
        <w:t>1.</w:t>
      </w:r>
      <w:r>
        <w:rPr>
          <w:rFonts w:hint="eastAsia" w:ascii="楷体_GB2312" w:hAnsi="楷体_GB2312" w:eastAsia="楷体_GB2312" w:cs="楷体_GB2312"/>
          <w:b/>
          <w:bCs/>
          <w:color w:val="auto"/>
          <w:sz w:val="32"/>
          <w:szCs w:val="32"/>
          <w:lang w:eastAsia="zh-CN"/>
        </w:rPr>
        <w:t>改造对象。</w:t>
      </w:r>
      <w:r>
        <w:rPr>
          <w:rFonts w:hint="eastAsia" w:ascii="仿宋_GB2312" w:hAnsi="仿宋_GB2312" w:eastAsia="仿宋_GB2312" w:cs="仿宋_GB2312"/>
          <w:sz w:val="32"/>
          <w:szCs w:val="32"/>
          <w:lang w:val="en-US" w:eastAsia="zh-CN"/>
        </w:rPr>
        <w:t>我市困难重度残疾人，“困难”是指“三类户”(脱贫不稳定户、边缘易致贫户、突发严重困难户)或享受城乡低保的残疾人；“重度”是指持有第二代《中华人民共和国残疾人证》,残疾等级为一级、二级的残疾人；实施无障碍改造的残疾人家庭应当拥有非临时租借的固定住房(有产权包括宅基地、长期居住或者公租房),住房具备改造条件；残疾人对无障碍设施依赖性强,有无障碍改造需求，以上条件原则上必须同时具备，方可进行改造。</w:t>
      </w:r>
    </w:p>
    <w:p>
      <w:pPr>
        <w:keepNext w:val="0"/>
        <w:keepLines w:val="0"/>
        <w:pageBreakBefore w:val="0"/>
        <w:widowControl w:val="0"/>
        <w:kinsoku/>
        <w:wordWrap/>
        <w:overflowPunct/>
        <w:topLinePunct/>
        <w:autoSpaceDN/>
        <w:bidi w:val="0"/>
        <w:adjustRightInd/>
        <w:snapToGrid/>
        <w:spacing w:before="0" w:after="0" w:line="560" w:lineRule="exact"/>
        <w:ind w:left="0" w:leftChars="0" w:right="0" w:firstLine="643" w:firstLineChars="200"/>
        <w:jc w:val="both"/>
        <w:textAlignment w:val="top"/>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sz w:val="32"/>
          <w:szCs w:val="32"/>
          <w:lang w:val="en-US" w:eastAsia="zh-CN"/>
        </w:rPr>
        <w:t>2.</w:t>
      </w:r>
      <w:r>
        <w:rPr>
          <w:rFonts w:hint="eastAsia" w:ascii="楷体_GB2312" w:hAnsi="楷体_GB2312" w:eastAsia="楷体_GB2312" w:cs="楷体_GB2312"/>
          <w:b/>
          <w:bCs/>
          <w:color w:val="auto"/>
          <w:sz w:val="32"/>
          <w:szCs w:val="32"/>
        </w:rPr>
        <w:t>改造内容</w:t>
      </w:r>
      <w:r>
        <w:rPr>
          <w:rFonts w:hint="eastAsia" w:ascii="楷体_GB2312" w:hAnsi="楷体_GB2312" w:eastAsia="楷体_GB2312" w:cs="楷体_GB2312"/>
          <w:b/>
          <w:bCs/>
          <w:color w:val="auto"/>
          <w:sz w:val="32"/>
          <w:szCs w:val="32"/>
          <w:lang w:eastAsia="zh-CN"/>
        </w:rPr>
        <w:t>。</w:t>
      </w:r>
      <w:r>
        <w:rPr>
          <w:rFonts w:hint="eastAsia" w:ascii="仿宋_GB2312" w:hAnsi="仿宋_GB2312" w:eastAsia="仿宋_GB2312" w:cs="仿宋_GB2312"/>
          <w:sz w:val="32"/>
          <w:szCs w:val="32"/>
          <w:lang w:val="en-US" w:eastAsia="zh-CN"/>
        </w:rPr>
        <w:t>主要包括改造类施工、基本辅助器具配备安装和改善类配建三大类，具体实施时根据残疾人的特点、需求与居住环境,充分尊重残疾人家庭意愿,与残疾人进行协商后进行个性化改造。（对视力、听力、智力残疾人家庭应偏重于辅助器具的配发）。</w:t>
      </w:r>
    </w:p>
    <w:p>
      <w:pPr>
        <w:keepNext w:val="0"/>
        <w:keepLines w:val="0"/>
        <w:pageBreakBefore w:val="0"/>
        <w:kinsoku/>
        <w:wordWrap/>
        <w:overflowPunct/>
        <w:autoSpaceDN/>
        <w:bidi w:val="0"/>
        <w:adjustRightInd/>
        <w:snapToGrid/>
        <w:spacing w:line="560" w:lineRule="exact"/>
        <w:ind w:leftChars="0" w:firstLine="643"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sz w:val="32"/>
          <w:szCs w:val="32"/>
          <w:lang w:val="en-US" w:eastAsia="zh-CN"/>
        </w:rPr>
        <w:t>3.</w:t>
      </w:r>
      <w:r>
        <w:rPr>
          <w:rFonts w:hint="eastAsia" w:ascii="楷体_GB2312" w:hAnsi="楷体_GB2312" w:eastAsia="楷体_GB2312" w:cs="楷体_GB2312"/>
          <w:b/>
          <w:bCs/>
          <w:color w:val="auto"/>
          <w:sz w:val="32"/>
          <w:szCs w:val="32"/>
        </w:rPr>
        <w:t>改造标准</w:t>
      </w:r>
      <w:r>
        <w:rPr>
          <w:rFonts w:hint="eastAsia" w:ascii="楷体_GB2312" w:hAnsi="楷体_GB2312" w:eastAsia="楷体_GB2312" w:cs="楷体_GB2312"/>
          <w:b/>
          <w:bCs/>
          <w:color w:val="auto"/>
          <w:sz w:val="32"/>
          <w:szCs w:val="32"/>
          <w:lang w:eastAsia="zh-CN"/>
        </w:rPr>
        <w:t>。</w:t>
      </w:r>
      <w:r>
        <w:rPr>
          <w:rFonts w:hint="eastAsia" w:ascii="仿宋_GB2312" w:hAnsi="仿宋_GB2312" w:eastAsia="仿宋_GB2312" w:cs="仿宋_GB2312"/>
          <w:sz w:val="32"/>
          <w:szCs w:val="32"/>
          <w:lang w:val="en-US" w:eastAsia="zh-CN"/>
        </w:rPr>
        <w:t>按照省残联、住建厅联合印发的《贫困残疾人家庭无障碍改造指导手册》执行，改造标准为户均3500 元；县（市、区）可以根据每户无障碍改造实际需求，灵活集约使用。</w:t>
      </w:r>
    </w:p>
    <w:p>
      <w:pPr>
        <w:keepNext w:val="0"/>
        <w:keepLines w:val="0"/>
        <w:pageBreakBefore w:val="0"/>
        <w:kinsoku/>
        <w:wordWrap/>
        <w:overflowPunct/>
        <w:autoSpaceDE w:val="0"/>
        <w:autoSpaceDN/>
        <w:bidi w:val="0"/>
        <w:adjustRightInd/>
        <w:snapToGrid/>
        <w:spacing w:line="560" w:lineRule="exact"/>
        <w:ind w:leftChars="0" w:firstLine="640" w:firstLineChars="200"/>
        <w:rPr>
          <w:rFonts w:hint="eastAsia" w:ascii="仿宋_GB2312" w:hAnsi="仿宋_GB2312" w:eastAsia="仿宋_GB2312" w:cs="仿宋_GB2312"/>
          <w:color w:val="auto"/>
          <w:sz w:val="30"/>
          <w:szCs w:val="30"/>
          <w:lang w:val="en-US" w:eastAsia="zh-CN" w:bidi="ar-SA"/>
        </w:rPr>
      </w:pPr>
      <w:r>
        <w:rPr>
          <w:rFonts w:hint="eastAsia" w:ascii="仿宋_GB2312" w:hAnsi="仿宋_GB2312" w:eastAsia="仿宋_GB2312" w:cs="仿宋_GB2312"/>
          <w:sz w:val="32"/>
          <w:szCs w:val="32"/>
          <w:lang w:val="en-US" w:eastAsia="zh-CN"/>
        </w:rPr>
        <w:t>目标：到 2025 年底，实现“三类户”重度残疾人家庭无障碍改造全覆盖，享受城乡低保的重度残疾人广覆盖。</w:t>
      </w:r>
    </w:p>
    <w:p>
      <w:pPr>
        <w:keepNext w:val="0"/>
        <w:keepLines w:val="0"/>
        <w:pageBreakBefore w:val="0"/>
        <w:kinsoku/>
        <w:wordWrap/>
        <w:overflowPunct/>
        <w:autoSpaceDN/>
        <w:bidi w:val="0"/>
        <w:adjustRightInd/>
        <w:snapToGrid/>
        <w:spacing w:line="560" w:lineRule="exact"/>
        <w:ind w:leftChars="0" w:firstLine="602" w:firstLineChars="200"/>
        <w:rPr>
          <w:rFonts w:hint="eastAsia" w:ascii="仿宋_GB2312" w:hAnsi="仿宋_GB2312" w:eastAsia="仿宋_GB2312" w:cs="仿宋_GB2312"/>
          <w:b/>
          <w:bCs/>
          <w:color w:val="auto"/>
          <w:sz w:val="30"/>
          <w:szCs w:val="30"/>
          <w:lang w:val="en-US" w:eastAsia="zh-CN"/>
        </w:rPr>
      </w:pPr>
    </w:p>
    <w:p>
      <w:pPr>
        <w:keepNext w:val="0"/>
        <w:keepLines w:val="0"/>
        <w:pageBreakBefore w:val="0"/>
        <w:kinsoku/>
        <w:wordWrap/>
        <w:overflowPunct/>
        <w:autoSpaceDN/>
        <w:bidi w:val="0"/>
        <w:adjustRightInd/>
        <w:snapToGrid/>
        <w:spacing w:line="560" w:lineRule="exact"/>
        <w:ind w:leftChars="0" w:firstLine="643" w:firstLineChars="200"/>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方城县残联政策解读咨询电话：</w:t>
      </w:r>
      <w:r>
        <w:rPr>
          <w:rFonts w:hint="eastAsia" w:ascii="楷体" w:hAnsi="楷体" w:eastAsia="楷体" w:cs="楷体"/>
          <w:b/>
          <w:bCs/>
          <w:color w:val="auto"/>
          <w:sz w:val="32"/>
          <w:szCs w:val="32"/>
        </w:rPr>
        <w:t>0377-</w:t>
      </w:r>
      <w:r>
        <w:rPr>
          <w:rFonts w:hint="eastAsia" w:ascii="楷体" w:hAnsi="楷体" w:eastAsia="楷体" w:cs="楷体"/>
          <w:b/>
          <w:bCs/>
          <w:color w:val="auto"/>
          <w:sz w:val="32"/>
          <w:szCs w:val="32"/>
          <w:lang w:val="en-US" w:eastAsia="zh-CN"/>
        </w:rPr>
        <w:t>83966635</w:t>
      </w:r>
    </w:p>
    <w:p>
      <w:pPr>
        <w:pStyle w:val="15"/>
        <w:keepNext w:val="0"/>
        <w:keepLines w:val="0"/>
        <w:pageBreakBefore w:val="0"/>
        <w:kinsoku/>
        <w:wordWrap/>
        <w:bidi w:val="0"/>
        <w:spacing w:line="560" w:lineRule="exact"/>
        <w:rPr>
          <w:sz w:val="44"/>
          <w:szCs w:val="44"/>
        </w:rPr>
      </w:pPr>
    </w:p>
    <w:p>
      <w:pPr>
        <w:pStyle w:val="15"/>
        <w:keepNext w:val="0"/>
        <w:keepLines w:val="0"/>
        <w:pageBreakBefore w:val="0"/>
        <w:kinsoku/>
        <w:wordWrap/>
        <w:bidi w:val="0"/>
        <w:spacing w:line="560" w:lineRule="exact"/>
        <w:rPr>
          <w:sz w:val="44"/>
          <w:szCs w:val="44"/>
        </w:rPr>
      </w:pPr>
    </w:p>
    <w:p>
      <w:pPr>
        <w:pStyle w:val="15"/>
        <w:keepNext w:val="0"/>
        <w:keepLines w:val="0"/>
        <w:pageBreakBefore w:val="0"/>
        <w:kinsoku/>
        <w:wordWrap/>
        <w:bidi w:val="0"/>
        <w:spacing w:line="560" w:lineRule="exact"/>
        <w:rPr>
          <w:sz w:val="44"/>
          <w:szCs w:val="44"/>
        </w:rPr>
      </w:pPr>
    </w:p>
    <w:p>
      <w:pPr>
        <w:pStyle w:val="15"/>
        <w:keepNext w:val="0"/>
        <w:keepLines w:val="0"/>
        <w:pageBreakBefore w:val="0"/>
        <w:kinsoku/>
        <w:wordWrap/>
        <w:bidi w:val="0"/>
        <w:spacing w:line="560" w:lineRule="exact"/>
        <w:rPr>
          <w:sz w:val="44"/>
          <w:szCs w:val="44"/>
        </w:rPr>
      </w:pPr>
    </w:p>
    <w:p>
      <w:pPr>
        <w:pStyle w:val="15"/>
        <w:keepNext w:val="0"/>
        <w:keepLines w:val="0"/>
        <w:pageBreakBefore w:val="0"/>
        <w:kinsoku/>
        <w:wordWrap/>
        <w:bidi w:val="0"/>
        <w:spacing w:line="560" w:lineRule="exact"/>
        <w:rPr>
          <w:sz w:val="44"/>
          <w:szCs w:val="44"/>
        </w:rPr>
      </w:pPr>
    </w:p>
    <w:p>
      <w:pPr>
        <w:pStyle w:val="15"/>
        <w:keepNext w:val="0"/>
        <w:keepLines w:val="0"/>
        <w:pageBreakBefore w:val="0"/>
        <w:kinsoku/>
        <w:wordWrap/>
        <w:bidi w:val="0"/>
        <w:spacing w:line="560" w:lineRule="exact"/>
        <w:rPr>
          <w:sz w:val="44"/>
          <w:szCs w:val="44"/>
        </w:rPr>
      </w:pPr>
    </w:p>
    <w:p>
      <w:pPr>
        <w:pStyle w:val="15"/>
        <w:keepNext w:val="0"/>
        <w:keepLines w:val="0"/>
        <w:pageBreakBefore w:val="0"/>
        <w:kinsoku/>
        <w:wordWrap/>
        <w:bidi w:val="0"/>
        <w:spacing w:line="560" w:lineRule="exact"/>
        <w:rPr>
          <w:sz w:val="44"/>
          <w:szCs w:val="44"/>
        </w:rPr>
      </w:pPr>
    </w:p>
    <w:p>
      <w:pPr>
        <w:pStyle w:val="15"/>
        <w:keepNext w:val="0"/>
        <w:keepLines w:val="0"/>
        <w:pageBreakBefore w:val="0"/>
        <w:kinsoku/>
        <w:wordWrap/>
        <w:bidi w:val="0"/>
        <w:spacing w:line="560" w:lineRule="exact"/>
        <w:rPr>
          <w:sz w:val="44"/>
          <w:szCs w:val="44"/>
        </w:rPr>
      </w:pPr>
    </w:p>
    <w:p>
      <w:pPr>
        <w:pStyle w:val="15"/>
        <w:keepNext w:val="0"/>
        <w:keepLines w:val="0"/>
        <w:pageBreakBefore w:val="0"/>
        <w:kinsoku/>
        <w:wordWrap/>
        <w:bidi w:val="0"/>
        <w:spacing w:line="560" w:lineRule="exact"/>
        <w:rPr>
          <w:sz w:val="44"/>
          <w:szCs w:val="44"/>
        </w:rPr>
      </w:pPr>
    </w:p>
    <w:p>
      <w:pPr>
        <w:pStyle w:val="15"/>
        <w:keepNext w:val="0"/>
        <w:keepLines w:val="0"/>
        <w:pageBreakBefore w:val="0"/>
        <w:kinsoku/>
        <w:wordWrap/>
        <w:bidi w:val="0"/>
        <w:spacing w:line="560" w:lineRule="exact"/>
        <w:rPr>
          <w:sz w:val="44"/>
          <w:szCs w:val="44"/>
        </w:rPr>
      </w:pPr>
    </w:p>
    <w:p>
      <w:pPr>
        <w:pStyle w:val="15"/>
        <w:keepNext w:val="0"/>
        <w:keepLines w:val="0"/>
        <w:pageBreakBefore w:val="0"/>
        <w:kinsoku/>
        <w:wordWrap/>
        <w:bidi w:val="0"/>
        <w:spacing w:line="560" w:lineRule="exact"/>
        <w:rPr>
          <w:sz w:val="44"/>
          <w:szCs w:val="44"/>
        </w:rPr>
      </w:pPr>
    </w:p>
    <w:p>
      <w:pPr>
        <w:pStyle w:val="15"/>
        <w:keepNext w:val="0"/>
        <w:keepLines w:val="0"/>
        <w:pageBreakBefore w:val="0"/>
        <w:kinsoku/>
        <w:wordWrap/>
        <w:bidi w:val="0"/>
        <w:spacing w:line="560" w:lineRule="exact"/>
        <w:jc w:val="center"/>
        <w:rPr>
          <w:rFonts w:hint="eastAsia" w:ascii="方正小标宋简体" w:hAnsi="方正小标宋简体" w:eastAsia="方正小标宋简体" w:cs="方正小标宋简体"/>
          <w:sz w:val="44"/>
          <w:szCs w:val="44"/>
        </w:rPr>
      </w:pPr>
    </w:p>
    <w:p>
      <w:pPr>
        <w:pStyle w:val="15"/>
        <w:keepNext w:val="0"/>
        <w:keepLines w:val="0"/>
        <w:pageBreakBefore w:val="0"/>
        <w:kinsoku/>
        <w:wordWrap/>
        <w:bidi w:val="0"/>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饮水安全政策</w:t>
      </w:r>
      <w:r>
        <w:rPr>
          <w:rFonts w:hint="eastAsia" w:ascii="方正小标宋简体" w:hAnsi="方正小标宋简体" w:eastAsia="方正小标宋简体" w:cs="方正小标宋简体"/>
          <w:sz w:val="44"/>
          <w:szCs w:val="44"/>
          <w:lang w:val="en-US" w:eastAsia="zh-CN"/>
        </w:rPr>
        <w:t>解读</w:t>
      </w:r>
    </w:p>
    <w:p>
      <w:pPr>
        <w:keepNext w:val="0"/>
        <w:keepLines w:val="0"/>
        <w:pageBreakBefore w:val="0"/>
        <w:widowControl w:val="0"/>
        <w:kinsoku/>
        <w:wordWrap/>
        <w:overflowPunct/>
        <w:topLinePunct/>
        <w:bidi w:val="0"/>
        <w:adjustRightInd/>
        <w:snapToGrid/>
        <w:spacing w:line="560" w:lineRule="exact"/>
        <w:ind w:firstLine="640" w:firstLineChars="200"/>
        <w:jc w:val="both"/>
        <w:textAlignment w:val="top"/>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w:t>
      </w:r>
      <w:bookmarkStart w:id="52" w:name="_Toc8700"/>
      <w:bookmarkStart w:id="53" w:name="_Toc20215706"/>
      <w:bookmarkStart w:id="54" w:name="_Toc2273"/>
      <w:bookmarkStart w:id="55" w:name="_Toc24845"/>
      <w:bookmarkStart w:id="56" w:name="_Toc20082"/>
      <w:bookmarkStart w:id="57" w:name="_Toc14167"/>
      <w:bookmarkStart w:id="58" w:name="_Toc19719879"/>
      <w:bookmarkStart w:id="59" w:name="_Toc11694"/>
      <w:bookmarkStart w:id="60" w:name="_Toc16047"/>
      <w:r>
        <w:rPr>
          <w:rFonts w:hint="eastAsia" w:ascii="黑体" w:hAnsi="黑体" w:eastAsia="黑体" w:cs="黑体"/>
          <w:color w:val="auto"/>
          <w:sz w:val="32"/>
          <w:szCs w:val="32"/>
          <w:highlight w:val="none"/>
          <w:lang w:val="en-US" w:eastAsia="zh-CN"/>
        </w:rPr>
        <w:t>农村饮水安全</w:t>
      </w:r>
      <w:bookmarkEnd w:id="52"/>
      <w:bookmarkEnd w:id="53"/>
      <w:bookmarkEnd w:id="54"/>
      <w:bookmarkEnd w:id="55"/>
      <w:bookmarkEnd w:id="56"/>
      <w:bookmarkEnd w:id="57"/>
      <w:bookmarkEnd w:id="58"/>
      <w:bookmarkEnd w:id="59"/>
      <w:bookmarkEnd w:id="60"/>
    </w:p>
    <w:p>
      <w:pPr>
        <w:keepNext w:val="0"/>
        <w:keepLines w:val="0"/>
        <w:pageBreakBefore w:val="0"/>
        <w:widowControl w:val="0"/>
        <w:kinsoku/>
        <w:wordWrap/>
        <w:overflowPunct/>
        <w:topLinePunct/>
        <w:bidi w:val="0"/>
        <w:adjustRightInd/>
        <w:snapToGrid/>
        <w:spacing w:line="560" w:lineRule="exact"/>
        <w:ind w:firstLine="640" w:firstLineChars="200"/>
        <w:jc w:val="both"/>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农村饮水安全系指农村居民能及时取得足量够用的生活饮用水，且长期饮用不影响人身健康。</w:t>
      </w:r>
    </w:p>
    <w:p>
      <w:pPr>
        <w:keepNext w:val="0"/>
        <w:keepLines w:val="0"/>
        <w:pageBreakBefore w:val="0"/>
        <w:widowControl w:val="0"/>
        <w:numPr>
          <w:ilvl w:val="0"/>
          <w:numId w:val="3"/>
        </w:numPr>
        <w:kinsoku/>
        <w:wordWrap/>
        <w:overflowPunct/>
        <w:topLinePunct/>
        <w:bidi w:val="0"/>
        <w:adjustRightInd/>
        <w:snapToGrid/>
        <w:spacing w:line="560" w:lineRule="exact"/>
        <w:ind w:firstLine="640" w:firstLineChars="200"/>
        <w:jc w:val="both"/>
        <w:textAlignment w:val="top"/>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农村饮水安全工程</w:t>
      </w:r>
    </w:p>
    <w:p>
      <w:pPr>
        <w:keepNext w:val="0"/>
        <w:keepLines w:val="0"/>
        <w:pageBreakBefore w:val="0"/>
        <w:widowControl w:val="0"/>
        <w:kinsoku/>
        <w:wordWrap/>
        <w:overflowPunct/>
        <w:topLinePunct/>
        <w:bidi w:val="0"/>
        <w:adjustRightInd/>
        <w:snapToGrid/>
        <w:spacing w:line="560" w:lineRule="exact"/>
        <w:ind w:firstLine="640" w:firstLineChars="200"/>
        <w:jc w:val="both"/>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 xml:space="preserve">向县（市）以下（不含县城城区）的乡镇、村庄、学校、农村场、林场等居民区及分散户供水的工程，主要满足农村居民日常生活用水需要。又称农村供水工程或村镇供水工程，包括集中式供水工程和分散式供水工程两类。 </w:t>
      </w:r>
    </w:p>
    <w:p>
      <w:pPr>
        <w:keepNext w:val="0"/>
        <w:keepLines w:val="0"/>
        <w:pageBreakBefore w:val="0"/>
        <w:widowControl w:val="0"/>
        <w:kinsoku/>
        <w:wordWrap/>
        <w:overflowPunct/>
        <w:topLinePunct/>
        <w:bidi w:val="0"/>
        <w:adjustRightInd/>
        <w:snapToGrid/>
        <w:spacing w:line="560" w:lineRule="exact"/>
        <w:ind w:firstLine="640" w:firstLineChars="200"/>
        <w:jc w:val="both"/>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1、集中式供水工程：设计供水人口大于等于20人的工程，分为千吨万人供水工程（设计供水规模大于等于1000吨/天或设计供水人口大于等于1万人）和千吨万人以下供水工程（设计供水规模小于1000吨/天且设计供水人口大于等于20人小于1万人）。</w:t>
      </w:r>
    </w:p>
    <w:p>
      <w:pPr>
        <w:keepNext w:val="0"/>
        <w:keepLines w:val="0"/>
        <w:pageBreakBefore w:val="0"/>
        <w:widowControl w:val="0"/>
        <w:kinsoku/>
        <w:wordWrap/>
        <w:overflowPunct/>
        <w:topLinePunct/>
        <w:bidi w:val="0"/>
        <w:adjustRightInd/>
        <w:snapToGrid/>
        <w:spacing w:line="560" w:lineRule="exact"/>
        <w:ind w:firstLine="640" w:firstLineChars="200"/>
        <w:jc w:val="both"/>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 xml:space="preserve">2、分散式供水工程：设计供水人口小于20人的工程。 </w:t>
      </w:r>
    </w:p>
    <w:p>
      <w:pPr>
        <w:keepNext w:val="0"/>
        <w:keepLines w:val="0"/>
        <w:pageBreakBefore w:val="0"/>
        <w:widowControl w:val="0"/>
        <w:numPr>
          <w:ilvl w:val="0"/>
          <w:numId w:val="3"/>
        </w:numPr>
        <w:kinsoku/>
        <w:wordWrap/>
        <w:overflowPunct/>
        <w:topLinePunct/>
        <w:bidi w:val="0"/>
        <w:adjustRightInd/>
        <w:snapToGrid/>
        <w:spacing w:line="560" w:lineRule="exact"/>
        <w:ind w:firstLine="640" w:firstLineChars="200"/>
        <w:jc w:val="both"/>
        <w:textAlignment w:val="top"/>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农村饮水安全评价依据</w:t>
      </w:r>
    </w:p>
    <w:p>
      <w:pPr>
        <w:keepNext w:val="0"/>
        <w:keepLines w:val="0"/>
        <w:pageBreakBefore w:val="0"/>
        <w:widowControl w:val="0"/>
        <w:kinsoku/>
        <w:wordWrap/>
        <w:overflowPunct/>
        <w:topLinePunct/>
        <w:bidi w:val="0"/>
        <w:adjustRightInd/>
        <w:snapToGrid/>
        <w:spacing w:line="560" w:lineRule="exact"/>
        <w:ind w:firstLine="640" w:firstLineChars="200"/>
        <w:jc w:val="both"/>
        <w:textAlignment w:val="top"/>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val="en-US" w:eastAsia="zh-CN" w:bidi="ar-SA"/>
        </w:rPr>
        <w:t>农村饮水安全评价执行《农村饮水安全评价准则》（T/CHES 18-2018）（以下简称《准则》）。是2018年3月29日由中国水利学会发布的团体标准，规定了我国农村饮水安全评价指标、评价标准和方法，2018年6月1日起实施。2018年8月，水利部、国务院扶贫办、国家卫生健康委联合印发了《关于坚决打赢农村饮水安全脱贫攻坚战的通知》（水农﹝2018﹞188号），明确指出各地可直接使用《准则》。</w:t>
      </w:r>
    </w:p>
    <w:p>
      <w:pPr>
        <w:keepNext w:val="0"/>
        <w:keepLines w:val="0"/>
        <w:pageBreakBefore w:val="0"/>
        <w:widowControl w:val="0"/>
        <w:numPr>
          <w:ilvl w:val="0"/>
          <w:numId w:val="3"/>
        </w:numPr>
        <w:kinsoku/>
        <w:wordWrap/>
        <w:overflowPunct/>
        <w:topLinePunct/>
        <w:bidi w:val="0"/>
        <w:adjustRightInd/>
        <w:snapToGrid/>
        <w:spacing w:line="560" w:lineRule="exact"/>
        <w:ind w:firstLine="640" w:firstLineChars="200"/>
        <w:jc w:val="both"/>
        <w:textAlignment w:val="top"/>
        <w:rPr>
          <w:rFonts w:hint="eastAsia" w:ascii="黑体" w:hAnsi="黑体" w:eastAsia="黑体" w:cs="黑体"/>
          <w:color w:val="auto"/>
          <w:sz w:val="32"/>
          <w:szCs w:val="32"/>
          <w:lang w:val="en-US" w:eastAsia="zh-CN" w:bidi="ar-SA"/>
        </w:rPr>
      </w:pPr>
      <w:r>
        <w:rPr>
          <w:rFonts w:hint="eastAsia" w:ascii="黑体" w:hAnsi="黑体" w:eastAsia="黑体" w:cs="黑体"/>
          <w:color w:val="auto"/>
          <w:sz w:val="32"/>
          <w:szCs w:val="32"/>
          <w:highlight w:val="none"/>
          <w:lang w:val="en-US" w:eastAsia="zh-CN"/>
        </w:rPr>
        <w:t>农村饮水安全评价指标、标准和方法</w:t>
      </w:r>
    </w:p>
    <w:p>
      <w:pPr>
        <w:keepNext w:val="0"/>
        <w:keepLines w:val="0"/>
        <w:pageBreakBefore w:val="0"/>
        <w:widowControl w:val="0"/>
        <w:kinsoku/>
        <w:wordWrap/>
        <w:overflowPunct/>
        <w:topLinePunct/>
        <w:bidi w:val="0"/>
        <w:adjustRightInd/>
        <w:snapToGrid/>
        <w:spacing w:line="560" w:lineRule="exact"/>
        <w:ind w:firstLine="640" w:firstLineChars="200"/>
        <w:jc w:val="both"/>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农村饮水安全评价指标包括水质、水量、用水方便程度、供水保证率4项指标。全部基本达标就可以评价为饮水安全。</w:t>
      </w:r>
      <w:bookmarkStart w:id="61" w:name="_Toc1474"/>
    </w:p>
    <w:p>
      <w:pPr>
        <w:keepNext w:val="0"/>
        <w:keepLines w:val="0"/>
        <w:pageBreakBefore w:val="0"/>
        <w:widowControl w:val="0"/>
        <w:kinsoku/>
        <w:wordWrap/>
        <w:overflowPunct/>
        <w:topLinePunct/>
        <w:bidi w:val="0"/>
        <w:adjustRightInd/>
        <w:snapToGrid/>
        <w:spacing w:line="560" w:lineRule="exact"/>
        <w:ind w:firstLine="640" w:firstLineChars="200"/>
        <w:jc w:val="both"/>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highlight w:val="none"/>
          <w:lang w:val="en-US" w:eastAsia="zh-CN" w:bidi="ar-SA"/>
        </w:rPr>
        <w:t>1、水质</w:t>
      </w:r>
      <w:bookmarkEnd w:id="61"/>
      <w:r>
        <w:rPr>
          <w:rFonts w:hint="eastAsia" w:ascii="仿宋_GB2312" w:hAnsi="仿宋_GB2312" w:eastAsia="仿宋_GB2312" w:cs="仿宋_GB2312"/>
          <w:color w:val="auto"/>
          <w:sz w:val="32"/>
          <w:szCs w:val="32"/>
          <w:highlight w:val="none"/>
          <w:lang w:val="en-US" w:eastAsia="zh-CN" w:bidi="ar-SA"/>
        </w:rPr>
        <w:t>：</w:t>
      </w:r>
      <w:r>
        <w:rPr>
          <w:rFonts w:hint="eastAsia" w:ascii="仿宋_GB2312" w:hAnsi="仿宋_GB2312" w:eastAsia="仿宋_GB2312" w:cs="仿宋_GB2312"/>
          <w:color w:val="auto"/>
          <w:sz w:val="32"/>
          <w:szCs w:val="32"/>
          <w:lang w:val="en-US" w:eastAsia="zh-CN" w:bidi="ar-SA"/>
        </w:rPr>
        <w:t>水质检测指标由我国强制性国家标准《生活饮用水卫生标准》(GB5749-2022)规定，该标准代替(GB5749-2006)，2022年3月15日发布，2023年4月1日起实施。标准规定生活饮用水水质应符合5个基本要求：水中不应含有病原微生物；水中化学物质、放射性物质不应危害人体健康；水的感官性状良好；应经消毒处理。水质指标97项，有常规指标43项和扩展指标54项，包含微生物指标（菌落总数、总大肠菌群）、毒理指标（砷、氟化物和硝酸盐）、感官性状指标（浑浊度、肉眼可见物、色度、臭和味）、一般化学指标（pH、铁、锰、氯化物、硫酸盐、溶解性总固体、总硬度、高锰酸盐指数、氨氮）、放射性指标、消毒剂余量指标。一般只做常规指标检测，对于长期保持稳定达标的上述部分水质指标可不进行检测；对分散供水工程，用水户有煮沸饮用习惯的地区，可不评价微生物指标；不存在放射性指标污染风险地区，可不评价微生物指标。</w:t>
      </w:r>
    </w:p>
    <w:p>
      <w:pPr>
        <w:keepNext w:val="0"/>
        <w:keepLines w:val="0"/>
        <w:pageBreakBefore w:val="0"/>
        <w:widowControl w:val="0"/>
        <w:numPr>
          <w:ilvl w:val="0"/>
          <w:numId w:val="0"/>
        </w:numPr>
        <w:kinsoku/>
        <w:wordWrap/>
        <w:overflowPunct/>
        <w:topLinePunct/>
        <w:bidi w:val="0"/>
        <w:adjustRightInd/>
        <w:snapToGrid/>
        <w:spacing w:line="560" w:lineRule="exact"/>
        <w:ind w:firstLine="640" w:firstLineChars="200"/>
        <w:jc w:val="both"/>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1）集中式供水工程，需由县级及以上的卫健、水利等部门的水质检测机构和有CMA（中国计量认证）资质的第三方水质检测机构正式出具的水质检测报告作为水质评价依据。检测单位需分别在丰水期和枯水期对供水工程出厂水及未梢水水质取样检测。</w:t>
      </w:r>
    </w:p>
    <w:p>
      <w:pPr>
        <w:keepNext w:val="0"/>
        <w:keepLines w:val="0"/>
        <w:pageBreakBefore w:val="0"/>
        <w:widowControl w:val="0"/>
        <w:numPr>
          <w:ilvl w:val="0"/>
          <w:numId w:val="0"/>
        </w:numPr>
        <w:kinsoku/>
        <w:wordWrap/>
        <w:overflowPunct/>
        <w:topLinePunct/>
        <w:bidi w:val="0"/>
        <w:adjustRightInd/>
        <w:snapToGrid/>
        <w:spacing w:line="560" w:lineRule="exact"/>
        <w:ind w:firstLine="640" w:firstLineChars="200"/>
        <w:jc w:val="both"/>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（2）千吨万人供水工程水质检测结果符合《生活饮用水卫生标准》(GB5749-2022)规定为达标；千吨万人以下供水工程水质检测结果符合《生活饮用水卫生标准》(GB5749-2022)宽限规定为达标。</w:t>
      </w:r>
    </w:p>
    <w:p>
      <w:pPr>
        <w:keepNext w:val="0"/>
        <w:keepLines w:val="0"/>
        <w:pageBreakBefore w:val="0"/>
        <w:widowControl w:val="0"/>
        <w:numPr>
          <w:ilvl w:val="0"/>
          <w:numId w:val="0"/>
        </w:numPr>
        <w:kinsoku/>
        <w:wordWrap/>
        <w:overflowPunct/>
        <w:topLinePunct/>
        <w:bidi w:val="0"/>
        <w:adjustRightInd/>
        <w:snapToGrid/>
        <w:spacing w:line="560" w:lineRule="exact"/>
        <w:ind w:firstLine="640" w:firstLineChars="200"/>
        <w:jc w:val="both"/>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3）对于分散式供水的用水户，可采用“望、闻、问、尝”等简便适宜方法进行水质现场评价，饮用水中无肉眼可见杂质、无异色异味、用水户长期饮用无不良反应可评价这基本达标。“望”，用透明度较高的容器盛水后对着光线观察有无悬浮在水中的细微物质，静置后容器底部是否有沉淀物。“闻”，用容器从水龙头接水，了解煮水时是否有异味。“问”，询问用水户对水质的评价，饮用后口感，有无明显不良反应。询问饮用水是否烧开喝、是否有净水装置等。“尝”，品尝，描述评价口感。不良反应，指饮用水常年饮用产生有害身体（如腹泻等）的反应；也可进行水质检测，结果符合《生活饮用水卫生标准》(GB5749-2022)宽限规定为达标。</w:t>
      </w:r>
    </w:p>
    <w:p>
      <w:pPr>
        <w:keepNext w:val="0"/>
        <w:keepLines w:val="0"/>
        <w:pageBreakBefore w:val="0"/>
        <w:widowControl w:val="0"/>
        <w:numPr>
          <w:ilvl w:val="0"/>
          <w:numId w:val="0"/>
        </w:numPr>
        <w:kinsoku/>
        <w:wordWrap/>
        <w:overflowPunct/>
        <w:topLinePunct/>
        <w:bidi w:val="0"/>
        <w:adjustRightInd/>
        <w:snapToGrid/>
        <w:spacing w:line="560" w:lineRule="exact"/>
        <w:ind w:firstLine="640" w:firstLineChars="200"/>
        <w:jc w:val="both"/>
        <w:textAlignment w:val="top"/>
        <w:rPr>
          <w:rFonts w:hint="eastAsia" w:ascii="仿宋_GB2312" w:hAnsi="仿宋_GB2312" w:eastAsia="仿宋_GB2312" w:cs="仿宋_GB2312"/>
          <w:color w:val="auto"/>
          <w:sz w:val="32"/>
          <w:szCs w:val="32"/>
          <w:lang w:val="en-US" w:eastAsia="zh-CN" w:bidi="ar-SA"/>
        </w:rPr>
      </w:pPr>
      <w:bookmarkStart w:id="62" w:name="_Toc26334"/>
      <w:bookmarkStart w:id="63" w:name="_Toc27549"/>
      <w:bookmarkStart w:id="64" w:name="_Toc9381"/>
      <w:bookmarkStart w:id="65" w:name="_Toc20847"/>
      <w:bookmarkStart w:id="66" w:name="_Toc24704"/>
      <w:bookmarkStart w:id="67" w:name="_Toc29984"/>
      <w:bookmarkStart w:id="68" w:name="_Toc19719889"/>
      <w:bookmarkStart w:id="69" w:name="_Toc20215728"/>
      <w:bookmarkStart w:id="70" w:name="_Toc28377"/>
      <w:r>
        <w:rPr>
          <w:rFonts w:hint="eastAsia" w:ascii="仿宋_GB2312" w:hAnsi="仿宋_GB2312" w:eastAsia="仿宋_GB2312" w:cs="仿宋_GB2312"/>
          <w:color w:val="auto"/>
          <w:sz w:val="32"/>
          <w:szCs w:val="32"/>
          <w:lang w:val="en-US" w:eastAsia="zh-CN" w:bidi="ar-SA"/>
        </w:rPr>
        <w:t>（4）水烧开有水垢是不是饮水不安全？</w:t>
      </w:r>
      <w:bookmarkEnd w:id="62"/>
      <w:bookmarkEnd w:id="63"/>
      <w:bookmarkEnd w:id="64"/>
      <w:bookmarkEnd w:id="65"/>
      <w:bookmarkEnd w:id="66"/>
      <w:bookmarkEnd w:id="67"/>
      <w:bookmarkEnd w:id="68"/>
      <w:bookmarkEnd w:id="69"/>
      <w:bookmarkEnd w:id="70"/>
    </w:p>
    <w:p>
      <w:pPr>
        <w:keepNext w:val="0"/>
        <w:keepLines w:val="0"/>
        <w:pageBreakBefore w:val="0"/>
        <w:widowControl w:val="0"/>
        <w:numPr>
          <w:ilvl w:val="0"/>
          <w:numId w:val="0"/>
        </w:numPr>
        <w:kinsoku/>
        <w:wordWrap/>
        <w:overflowPunct/>
        <w:topLinePunct/>
        <w:bidi w:val="0"/>
        <w:adjustRightInd/>
        <w:snapToGrid/>
        <w:spacing w:line="560" w:lineRule="exact"/>
        <w:ind w:firstLine="640" w:firstLineChars="200"/>
        <w:jc w:val="both"/>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水烧开后有水垢表明水中硬度比较高，水质是否达标应以饮用水中总硬度含量是否符合《生活饮用水卫生标准》（GB5749-2022）规定限值作为评价依据。总硬度是指溶解在水中钙镁离子的含量，也是人体必需的微量元素，一般情况下，饮用水中总硬度大于200mg/L时，烧开后就会出现水垢，但在标准规定限值450㎎/L范围以内时，不影响人体健康。</w:t>
      </w:r>
    </w:p>
    <w:p>
      <w:pPr>
        <w:keepNext w:val="0"/>
        <w:keepLines w:val="0"/>
        <w:pageBreakBefore w:val="0"/>
        <w:numPr>
          <w:ilvl w:val="0"/>
          <w:numId w:val="0"/>
        </w:numPr>
        <w:kinsoku/>
        <w:wordWrap/>
        <w:bidi w:val="0"/>
        <w:adjustRightInd w:val="0"/>
        <w:snapToGrid w:val="0"/>
        <w:spacing w:line="560" w:lineRule="exact"/>
        <w:ind w:firstLine="640" w:firstLineChars="200"/>
        <w:jc w:val="left"/>
        <w:rPr>
          <w:rFonts w:hint="eastAsia" w:ascii="仿宋_GB2312" w:hAnsi="仿宋_GB2312" w:eastAsia="仿宋_GB2312" w:cs="仿宋_GB2312"/>
          <w:color w:val="auto"/>
          <w:sz w:val="32"/>
          <w:szCs w:val="32"/>
          <w:lang w:val="en-US" w:eastAsia="zh-CN" w:bidi="ar-SA"/>
        </w:rPr>
      </w:pPr>
      <w:bookmarkStart w:id="71" w:name="_Toc12431"/>
      <w:r>
        <w:rPr>
          <w:rFonts w:hint="eastAsia" w:ascii="仿宋_GB2312" w:hAnsi="仿宋_GB2312" w:eastAsia="仿宋_GB2312" w:cs="仿宋_GB2312"/>
          <w:color w:val="auto"/>
          <w:sz w:val="32"/>
          <w:szCs w:val="32"/>
          <w:highlight w:val="none"/>
          <w:lang w:val="en-US" w:eastAsia="zh-CN" w:bidi="ar-SA"/>
        </w:rPr>
        <w:t>2、水量</w:t>
      </w:r>
      <w:bookmarkEnd w:id="71"/>
      <w:r>
        <w:rPr>
          <w:rFonts w:hint="eastAsia" w:ascii="仿宋_GB2312" w:hAnsi="仿宋_GB2312" w:eastAsia="仿宋_GB2312" w:cs="仿宋_GB2312"/>
          <w:color w:val="auto"/>
          <w:sz w:val="32"/>
          <w:szCs w:val="32"/>
          <w:highlight w:val="none"/>
          <w:lang w:val="en-US" w:eastAsia="zh-CN" w:bidi="ar-SA"/>
        </w:rPr>
        <w:t>：</w:t>
      </w:r>
      <w:r>
        <w:rPr>
          <w:rFonts w:hint="eastAsia" w:ascii="仿宋_GB2312" w:hAnsi="仿宋_GB2312" w:eastAsia="仿宋_GB2312" w:cs="仿宋_GB2312"/>
          <w:color w:val="auto"/>
          <w:sz w:val="32"/>
          <w:szCs w:val="32"/>
          <w:lang w:val="en-US" w:eastAsia="zh-CN" w:bidi="ar-SA"/>
        </w:rPr>
        <w:t>指生活饮用水水量，为居民喝水、煮饭、洗菜等家庭生活必需饮用水量和散养畜禽等用水量。不包括农业灌溉、二三产业和规模化养殖畜禽用水量。对于我们方城县所处区域，每人每天可获取水量不低于20升为基本达标。可根据工程实际供水能力与供水人数测算，也可根据一定时间内水窖、水罐等分散式储水设施设备的储水量或能获取的水量与供水人数测算，并结合用水户问询等方式评价。</w:t>
      </w:r>
    </w:p>
    <w:p>
      <w:pPr>
        <w:keepNext w:val="0"/>
        <w:keepLines w:val="0"/>
        <w:pageBreakBefore w:val="0"/>
        <w:numPr>
          <w:ilvl w:val="0"/>
          <w:numId w:val="0"/>
        </w:numPr>
        <w:kinsoku/>
        <w:wordWrap/>
        <w:bidi w:val="0"/>
        <w:adjustRightInd w:val="0"/>
        <w:snapToGrid w:val="0"/>
        <w:spacing w:line="560" w:lineRule="exact"/>
        <w:ind w:firstLine="640" w:firstLineChars="200"/>
        <w:jc w:val="left"/>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在具体评价时，如果每人每天可获取的生活饮用水水量难以明确界定，符合下述情况都可视为水量满足要求。 对于水龙头入户且24小时供水，或在水龙头入户、定时供水以及水龙头尚未入户，但用水户日常取水的水井、水窖或家中水缸等储水设施有水并能满足日常生活饮用水量的需求，也可视为水量满足要求。</w:t>
      </w:r>
    </w:p>
    <w:p>
      <w:pPr>
        <w:keepNext w:val="0"/>
        <w:keepLines w:val="0"/>
        <w:pageBreakBefore w:val="0"/>
        <w:widowControl w:val="0"/>
        <w:numPr>
          <w:ilvl w:val="0"/>
          <w:numId w:val="0"/>
        </w:numPr>
        <w:kinsoku/>
        <w:wordWrap/>
        <w:overflowPunct/>
        <w:topLinePunct/>
        <w:bidi w:val="0"/>
        <w:adjustRightInd/>
        <w:snapToGrid/>
        <w:spacing w:line="560" w:lineRule="exact"/>
        <w:ind w:firstLine="640" w:firstLineChars="200"/>
        <w:jc w:val="both"/>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（1）供水工程入户且24小时连续供水，只要打开水龙头能够正常出水；</w:t>
      </w:r>
    </w:p>
    <w:p>
      <w:pPr>
        <w:keepNext w:val="0"/>
        <w:keepLines w:val="0"/>
        <w:pageBreakBefore w:val="0"/>
        <w:widowControl w:val="0"/>
        <w:numPr>
          <w:ilvl w:val="0"/>
          <w:numId w:val="0"/>
        </w:numPr>
        <w:kinsoku/>
        <w:wordWrap/>
        <w:overflowPunct/>
        <w:topLinePunct/>
        <w:bidi w:val="0"/>
        <w:adjustRightInd/>
        <w:snapToGrid/>
        <w:spacing w:line="560" w:lineRule="exact"/>
        <w:ind w:firstLine="640" w:firstLineChars="200"/>
        <w:jc w:val="both"/>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（2）供水工程入户，采取定时分区供水，用水户家中储水桶（缸）等基本没有缺过水，能满足日常生活饮用水量的需求；</w:t>
      </w:r>
    </w:p>
    <w:p>
      <w:pPr>
        <w:keepNext w:val="0"/>
        <w:keepLines w:val="0"/>
        <w:pageBreakBefore w:val="0"/>
        <w:widowControl w:val="0"/>
        <w:kinsoku/>
        <w:wordWrap/>
        <w:overflowPunct/>
        <w:topLinePunct/>
        <w:bidi w:val="0"/>
        <w:adjustRightInd/>
        <w:snapToGrid/>
        <w:spacing w:line="560" w:lineRule="exact"/>
        <w:ind w:firstLine="640" w:firstLineChars="200"/>
        <w:jc w:val="both"/>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（3）集中供水点供水，用水户家中水桶（缸、窖）等储水设施设备等基本没有缺过水，能满足日常生活饮用水量的需求；</w:t>
      </w:r>
    </w:p>
    <w:p>
      <w:pPr>
        <w:keepNext w:val="0"/>
        <w:keepLines w:val="0"/>
        <w:pageBreakBefore w:val="0"/>
        <w:widowControl w:val="0"/>
        <w:kinsoku/>
        <w:wordWrap/>
        <w:overflowPunct/>
        <w:topLinePunct/>
        <w:bidi w:val="0"/>
        <w:adjustRightInd/>
        <w:snapToGrid/>
        <w:spacing w:line="560" w:lineRule="exact"/>
        <w:ind w:firstLine="640" w:firstLineChars="200"/>
        <w:jc w:val="both"/>
        <w:textAlignment w:val="top"/>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bidi="ar-SA"/>
        </w:rPr>
        <w:t>（4）分散供水，用水户家中的自备井或日常取水的水井、水窖有水或家中水桶（缸、窖）等储水设施设备等基本没有缺过水，能满足日常生活饮用水量的需求；</w:t>
      </w:r>
    </w:p>
    <w:p>
      <w:pPr>
        <w:keepNext w:val="0"/>
        <w:keepLines w:val="0"/>
        <w:pageBreakBefore w:val="0"/>
        <w:widowControl w:val="0"/>
        <w:kinsoku/>
        <w:wordWrap/>
        <w:overflowPunct/>
        <w:topLinePunct/>
        <w:bidi w:val="0"/>
        <w:adjustRightInd/>
        <w:snapToGrid/>
        <w:spacing w:line="560" w:lineRule="exact"/>
        <w:ind w:firstLine="640" w:firstLineChars="200"/>
        <w:jc w:val="both"/>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（5）特殊情况下（严重干旱、冰冻等极端天气），在此期间，当地政府或供水单位等采取送水车送水，或用水户储水、使用自备水源等方式应急供水，只要符合《准则》要求，可视为水量基本达标。</w:t>
      </w:r>
    </w:p>
    <w:p>
      <w:pPr>
        <w:keepNext w:val="0"/>
        <w:keepLines w:val="0"/>
        <w:pageBreakBefore w:val="0"/>
        <w:widowControl w:val="0"/>
        <w:kinsoku/>
        <w:wordWrap/>
        <w:overflowPunct/>
        <w:topLinePunct/>
        <w:bidi w:val="0"/>
        <w:adjustRightInd/>
        <w:snapToGrid/>
        <w:spacing w:line="560" w:lineRule="exact"/>
        <w:ind w:firstLine="640" w:firstLineChars="200"/>
        <w:jc w:val="both"/>
        <w:textAlignment w:val="top"/>
        <w:rPr>
          <w:rFonts w:hint="eastAsia" w:ascii="仿宋_GB2312" w:hAnsi="仿宋_GB2312" w:eastAsia="仿宋_GB2312" w:cs="仿宋_GB2312"/>
          <w:color w:val="auto"/>
          <w:sz w:val="32"/>
          <w:szCs w:val="32"/>
          <w:lang w:val="en-US" w:eastAsia="zh-CN" w:bidi="ar-SA"/>
        </w:rPr>
      </w:pPr>
      <w:bookmarkStart w:id="72" w:name="_Toc26092"/>
      <w:r>
        <w:rPr>
          <w:rFonts w:hint="eastAsia" w:ascii="仿宋_GB2312" w:hAnsi="仿宋_GB2312" w:eastAsia="仿宋_GB2312" w:cs="仿宋_GB2312"/>
          <w:color w:val="auto"/>
          <w:sz w:val="32"/>
          <w:szCs w:val="32"/>
          <w:highlight w:val="none"/>
          <w:lang w:val="en-US" w:eastAsia="zh-CN" w:bidi="ar-SA"/>
        </w:rPr>
        <w:t>3、用水方便程度</w:t>
      </w:r>
      <w:bookmarkEnd w:id="72"/>
      <w:r>
        <w:rPr>
          <w:rFonts w:hint="eastAsia" w:ascii="仿宋_GB2312" w:hAnsi="仿宋_GB2312" w:eastAsia="仿宋_GB2312" w:cs="仿宋_GB2312"/>
          <w:color w:val="auto"/>
          <w:sz w:val="32"/>
          <w:szCs w:val="32"/>
          <w:highlight w:val="none"/>
          <w:lang w:val="en-US" w:eastAsia="zh-CN" w:bidi="ar-SA"/>
        </w:rPr>
        <w:t>：</w:t>
      </w:r>
      <w:r>
        <w:rPr>
          <w:rFonts w:hint="eastAsia" w:ascii="仿宋_GB2312" w:hAnsi="仿宋_GB2312" w:eastAsia="仿宋_GB2312" w:cs="仿宋_GB2312"/>
          <w:color w:val="auto"/>
          <w:sz w:val="32"/>
          <w:szCs w:val="32"/>
          <w:lang w:val="en-US" w:eastAsia="zh-CN" w:bidi="ar-SA"/>
        </w:rPr>
        <w:t>指用水户获得饮用水的便利程度，通常以供水是否入户，以及人力或简易交通工具取水往返时间或距离来评价。《准则》规定：人力取水往返时间不超过10分钟，或取水水平距离不超过400米、垂直距离不超过40米为达标；人力取水往返时间不超过20分钟，或取水水平距离不超过800米、垂直距离不超过80米为基本达标。</w:t>
      </w:r>
    </w:p>
    <w:p>
      <w:pPr>
        <w:keepNext w:val="0"/>
        <w:keepLines w:val="0"/>
        <w:pageBreakBefore w:val="0"/>
        <w:widowControl w:val="0"/>
        <w:kinsoku/>
        <w:wordWrap/>
        <w:overflowPunct/>
        <w:topLinePunct/>
        <w:bidi w:val="0"/>
        <w:adjustRightInd/>
        <w:snapToGrid/>
        <w:spacing w:line="560" w:lineRule="exact"/>
        <w:ind w:firstLine="640" w:firstLineChars="200"/>
        <w:jc w:val="both"/>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（1）供水入户的用水户，即集中供水工程（设计供水人口大于等于20人的工程）供水管网入户（含小区或院子），用水方便程度评价为达标。</w:t>
      </w:r>
    </w:p>
    <w:p>
      <w:pPr>
        <w:keepNext w:val="0"/>
        <w:keepLines w:val="0"/>
        <w:pageBreakBefore w:val="0"/>
        <w:widowControl w:val="0"/>
        <w:kinsoku/>
        <w:wordWrap/>
        <w:overflowPunct/>
        <w:topLinePunct/>
        <w:bidi w:val="0"/>
        <w:adjustRightInd/>
        <w:snapToGrid/>
        <w:spacing w:line="560" w:lineRule="exact"/>
        <w:ind w:firstLine="640" w:firstLineChars="200"/>
        <w:jc w:val="both"/>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（2）如果供水管网已经铺设到用水户院子门口附近（通常30米以内），具备入户条件，但因用水户个人意愿、风俗习惯等情况，具备入户条件但未入户的，也可视为入户，评价为达标；</w:t>
      </w:r>
    </w:p>
    <w:p>
      <w:pPr>
        <w:keepNext w:val="0"/>
        <w:keepLines w:val="0"/>
        <w:pageBreakBefore w:val="0"/>
        <w:widowControl w:val="0"/>
        <w:kinsoku/>
        <w:wordWrap/>
        <w:overflowPunct/>
        <w:topLinePunct/>
        <w:bidi w:val="0"/>
        <w:adjustRightInd/>
        <w:snapToGrid/>
        <w:spacing w:line="560" w:lineRule="exact"/>
        <w:ind w:firstLine="640" w:firstLineChars="200"/>
        <w:jc w:val="both"/>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（3）对供水未入户的用水户，或者用水户到集中供水点等取水，只要人力取水往返时间或取水距离符合《准则》规定，可视为用水方便程度达标。</w:t>
      </w:r>
    </w:p>
    <w:p>
      <w:pPr>
        <w:keepNext w:val="0"/>
        <w:keepLines w:val="0"/>
        <w:pageBreakBefore w:val="0"/>
        <w:widowControl w:val="0"/>
        <w:kinsoku/>
        <w:wordWrap/>
        <w:overflowPunct/>
        <w:topLinePunct/>
        <w:bidi w:val="0"/>
        <w:adjustRightInd/>
        <w:snapToGrid/>
        <w:spacing w:line="560" w:lineRule="exact"/>
        <w:ind w:firstLine="640" w:firstLineChars="200"/>
        <w:jc w:val="both"/>
        <w:textAlignment w:val="top"/>
        <w:rPr>
          <w:rFonts w:hint="eastAsia" w:ascii="仿宋_GB2312" w:hAnsi="仿宋_GB2312" w:eastAsia="仿宋_GB2312" w:cs="仿宋_GB2312"/>
          <w:color w:val="auto"/>
          <w:sz w:val="32"/>
          <w:szCs w:val="32"/>
          <w:lang w:val="en-US" w:eastAsia="zh-CN" w:bidi="ar-SA"/>
        </w:rPr>
      </w:pPr>
      <w:bookmarkStart w:id="73" w:name="_Toc31455"/>
      <w:bookmarkStart w:id="74" w:name="_Toc16429"/>
      <w:bookmarkStart w:id="75" w:name="_Toc6561"/>
      <w:bookmarkStart w:id="76" w:name="_Toc31991"/>
      <w:bookmarkStart w:id="77" w:name="_Toc7422"/>
      <w:bookmarkStart w:id="78" w:name="_Toc29051"/>
      <w:bookmarkStart w:id="79" w:name="_Toc19719893"/>
      <w:bookmarkStart w:id="80" w:name="_Toc20215732"/>
      <w:bookmarkStart w:id="81" w:name="_Toc10466"/>
      <w:r>
        <w:rPr>
          <w:rFonts w:hint="eastAsia" w:ascii="仿宋_GB2312" w:hAnsi="仿宋_GB2312" w:eastAsia="仿宋_GB2312" w:cs="仿宋_GB2312"/>
          <w:color w:val="auto"/>
          <w:sz w:val="32"/>
          <w:szCs w:val="32"/>
          <w:lang w:val="en-US" w:eastAsia="zh-CN" w:bidi="ar-SA"/>
        </w:rPr>
        <w:t>（4）是不是用水户必须都要24小时供水？</w:t>
      </w:r>
      <w:bookmarkEnd w:id="73"/>
      <w:bookmarkEnd w:id="74"/>
      <w:bookmarkEnd w:id="75"/>
      <w:bookmarkEnd w:id="76"/>
      <w:bookmarkEnd w:id="77"/>
      <w:bookmarkEnd w:id="78"/>
      <w:bookmarkEnd w:id="79"/>
      <w:bookmarkEnd w:id="80"/>
      <w:bookmarkEnd w:id="81"/>
    </w:p>
    <w:p>
      <w:pPr>
        <w:keepNext w:val="0"/>
        <w:keepLines w:val="0"/>
        <w:pageBreakBefore w:val="0"/>
        <w:widowControl w:val="0"/>
        <w:kinsoku/>
        <w:wordWrap/>
        <w:overflowPunct/>
        <w:topLinePunct/>
        <w:bidi w:val="0"/>
        <w:adjustRightInd/>
        <w:snapToGrid/>
        <w:spacing w:line="560" w:lineRule="exact"/>
        <w:ind w:firstLine="640" w:firstLineChars="200"/>
        <w:jc w:val="both"/>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考虑到节约用水和节省能源的需要，农村供水可以是定时供水、分时供水。定时供水、分时供水时，用水户家中有储水蓄水设施，通过储水可以满足《准则》要求，都可视为供水有保障。</w:t>
      </w:r>
    </w:p>
    <w:p>
      <w:pPr>
        <w:keepNext w:val="0"/>
        <w:keepLines w:val="0"/>
        <w:pageBreakBefore w:val="0"/>
        <w:widowControl w:val="0"/>
        <w:kinsoku/>
        <w:wordWrap/>
        <w:overflowPunct/>
        <w:topLinePunct/>
        <w:bidi w:val="0"/>
        <w:adjustRightInd/>
        <w:snapToGrid/>
        <w:spacing w:line="560" w:lineRule="exact"/>
        <w:ind w:firstLine="640" w:firstLineChars="200"/>
        <w:jc w:val="both"/>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注意：不是必须供水入户，自来水入户后，不是必须24小时连续供水。</w:t>
      </w:r>
    </w:p>
    <w:p>
      <w:pPr>
        <w:keepNext w:val="0"/>
        <w:keepLines w:val="0"/>
        <w:pageBreakBefore w:val="0"/>
        <w:widowControl w:val="0"/>
        <w:kinsoku/>
        <w:wordWrap/>
        <w:overflowPunct/>
        <w:topLinePunct/>
        <w:bidi w:val="0"/>
        <w:adjustRightInd/>
        <w:snapToGrid/>
        <w:spacing w:line="560" w:lineRule="exact"/>
        <w:ind w:firstLine="640" w:firstLineChars="200"/>
        <w:jc w:val="both"/>
        <w:textAlignment w:val="top"/>
        <w:rPr>
          <w:rFonts w:hint="eastAsia" w:ascii="仿宋_GB2312" w:hAnsi="仿宋_GB2312" w:eastAsia="仿宋_GB2312" w:cs="仿宋_GB2312"/>
          <w:color w:val="auto"/>
          <w:sz w:val="32"/>
          <w:szCs w:val="32"/>
          <w:lang w:val="en-US" w:eastAsia="zh-CN" w:bidi="ar-SA"/>
        </w:rPr>
      </w:pPr>
      <w:bookmarkStart w:id="82" w:name="_Toc22137"/>
      <w:r>
        <w:rPr>
          <w:rFonts w:hint="eastAsia" w:ascii="仿宋_GB2312" w:hAnsi="仿宋_GB2312" w:eastAsia="仿宋_GB2312" w:cs="仿宋_GB2312"/>
          <w:color w:val="auto"/>
          <w:sz w:val="32"/>
          <w:szCs w:val="32"/>
          <w:highlight w:val="none"/>
          <w:lang w:val="en-US" w:eastAsia="zh-CN" w:bidi="ar-SA"/>
        </w:rPr>
        <w:t>4、供水保证率</w:t>
      </w:r>
      <w:bookmarkEnd w:id="82"/>
      <w:r>
        <w:rPr>
          <w:rFonts w:hint="eastAsia" w:ascii="仿宋_GB2312" w:hAnsi="仿宋_GB2312" w:eastAsia="仿宋_GB2312" w:cs="仿宋_GB2312"/>
          <w:color w:val="auto"/>
          <w:sz w:val="32"/>
          <w:szCs w:val="32"/>
          <w:highlight w:val="none"/>
          <w:lang w:val="en-US" w:eastAsia="zh-CN" w:bidi="ar-SA"/>
        </w:rPr>
        <w:t>：</w:t>
      </w:r>
      <w:r>
        <w:rPr>
          <w:rFonts w:hint="eastAsia" w:ascii="仿宋_GB2312" w:hAnsi="仿宋_GB2312" w:eastAsia="仿宋_GB2312" w:cs="仿宋_GB2312"/>
          <w:color w:val="auto"/>
          <w:sz w:val="32"/>
          <w:szCs w:val="32"/>
          <w:lang w:val="en-US" w:eastAsia="zh-CN" w:bidi="ar-SA"/>
        </w:rPr>
        <w:t>一年中实际供水量符合标准的天数与一年总天数的比值进行评价。一般一年累计停水断水（全天停水断水）和水量达不到规定标准的时间不超36天，供水保证率不低于90%可视为基本达标。</w:t>
      </w:r>
    </w:p>
    <w:p>
      <w:pPr>
        <w:keepNext w:val="0"/>
        <w:keepLines w:val="0"/>
        <w:pageBreakBefore w:val="0"/>
        <w:widowControl w:val="0"/>
        <w:kinsoku/>
        <w:wordWrap/>
        <w:overflowPunct/>
        <w:topLinePunct/>
        <w:bidi w:val="0"/>
        <w:adjustRightInd/>
        <w:snapToGrid/>
        <w:spacing w:line="560" w:lineRule="exact"/>
        <w:ind w:firstLine="640" w:firstLineChars="200"/>
        <w:jc w:val="both"/>
        <w:textAlignment w:val="top"/>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特殊情况下（因干旱、冰冻等极端天气造成水源水量不足、供水设施损坏，导致用水户季节性水量不足或临时断水；或因雨季浑浊等造成水质偶尔不好），在此期间通过当地政府或供水单位采取应急供水保障，采取送水车送水或用水户储水、使用自备水源等方式应急供水，以及用水户采取自挖井、手压井、自建水池、就近取水不超过20分钟或拉水送水等其他方式解决，只要符合《准则》要求，均可视为饮水有保障。</w:t>
      </w:r>
    </w:p>
    <w:p>
      <w:pPr>
        <w:keepNext w:val="0"/>
        <w:keepLines w:val="0"/>
        <w:pageBreakBefore w:val="0"/>
        <w:widowControl w:val="0"/>
        <w:kinsoku/>
        <w:wordWrap/>
        <w:overflowPunct/>
        <w:topLinePunct/>
        <w:bidi w:val="0"/>
        <w:adjustRightInd/>
        <w:snapToGrid/>
        <w:spacing w:line="560" w:lineRule="exact"/>
        <w:ind w:firstLine="640" w:firstLineChars="200"/>
        <w:jc w:val="both"/>
        <w:textAlignment w:val="top"/>
        <w:rPr>
          <w:rFonts w:hint="eastAsia" w:ascii="仿宋_GB2312" w:hAnsi="仿宋_GB2312" w:eastAsia="仿宋_GB2312" w:cs="仿宋_GB2312"/>
          <w:color w:val="auto"/>
          <w:sz w:val="32"/>
          <w:szCs w:val="32"/>
          <w:lang w:val="en-US" w:eastAsia="zh-CN" w:bidi="ar-SA"/>
        </w:rPr>
      </w:pPr>
    </w:p>
    <w:p>
      <w:pPr>
        <w:keepNext w:val="0"/>
        <w:keepLines w:val="0"/>
        <w:pageBreakBefore w:val="0"/>
        <w:widowControl w:val="0"/>
        <w:kinsoku/>
        <w:wordWrap/>
        <w:overflowPunct/>
        <w:topLinePunct/>
        <w:bidi w:val="0"/>
        <w:adjustRightInd/>
        <w:snapToGrid/>
        <w:spacing w:line="560" w:lineRule="exact"/>
        <w:ind w:firstLine="640" w:firstLineChars="200"/>
        <w:jc w:val="both"/>
        <w:textAlignment w:val="top"/>
        <w:rPr>
          <w:rFonts w:hint="eastAsia" w:ascii="仿宋_GB2312" w:hAnsi="仿宋_GB2312" w:eastAsia="仿宋_GB2312" w:cs="仿宋_GB2312"/>
          <w:color w:val="auto"/>
          <w:sz w:val="32"/>
          <w:szCs w:val="32"/>
          <w:lang w:val="en-US" w:eastAsia="zh-CN" w:bidi="ar-SA"/>
        </w:rPr>
      </w:pPr>
    </w:p>
    <w:p>
      <w:pPr>
        <w:keepNext w:val="0"/>
        <w:keepLines w:val="0"/>
        <w:pageBreakBefore w:val="0"/>
        <w:widowControl w:val="0"/>
        <w:kinsoku/>
        <w:wordWrap/>
        <w:overflowPunct/>
        <w:topLinePunct/>
        <w:bidi w:val="0"/>
        <w:adjustRightInd/>
        <w:snapToGrid/>
        <w:spacing w:line="560" w:lineRule="exact"/>
        <w:ind w:firstLine="640" w:firstLineChars="200"/>
        <w:jc w:val="both"/>
        <w:textAlignment w:val="top"/>
        <w:rPr>
          <w:rFonts w:hint="eastAsia" w:ascii="仿宋_GB2312" w:hAnsi="仿宋_GB2312" w:eastAsia="仿宋_GB2312" w:cs="仿宋_GB2312"/>
          <w:color w:val="auto"/>
          <w:sz w:val="32"/>
          <w:szCs w:val="32"/>
          <w:lang w:val="en-US" w:eastAsia="zh-CN" w:bidi="ar-SA"/>
        </w:rPr>
      </w:pPr>
    </w:p>
    <w:p>
      <w:pPr>
        <w:keepNext w:val="0"/>
        <w:keepLines w:val="0"/>
        <w:pageBreakBefore w:val="0"/>
        <w:widowControl w:val="0"/>
        <w:kinsoku/>
        <w:wordWrap/>
        <w:overflowPunct/>
        <w:topLinePunct/>
        <w:bidi w:val="0"/>
        <w:adjustRightInd/>
        <w:snapToGrid/>
        <w:spacing w:line="560" w:lineRule="exact"/>
        <w:ind w:firstLine="640" w:firstLineChars="200"/>
        <w:jc w:val="both"/>
        <w:textAlignment w:val="top"/>
        <w:rPr>
          <w:rFonts w:hint="eastAsia" w:ascii="仿宋_GB2312" w:hAnsi="仿宋_GB2312" w:eastAsia="仿宋_GB2312" w:cs="仿宋_GB2312"/>
          <w:color w:val="auto"/>
          <w:sz w:val="32"/>
          <w:szCs w:val="32"/>
          <w:lang w:val="en-US" w:eastAsia="zh-CN" w:bidi="ar-SA"/>
        </w:rPr>
      </w:pPr>
    </w:p>
    <w:p>
      <w:pPr>
        <w:keepNext w:val="0"/>
        <w:keepLines w:val="0"/>
        <w:pageBreakBefore w:val="0"/>
        <w:widowControl w:val="0"/>
        <w:kinsoku/>
        <w:wordWrap/>
        <w:overflowPunct/>
        <w:topLinePunct/>
        <w:bidi w:val="0"/>
        <w:adjustRightInd/>
        <w:snapToGrid/>
        <w:spacing w:line="560" w:lineRule="exact"/>
        <w:ind w:firstLine="640" w:firstLineChars="200"/>
        <w:jc w:val="both"/>
        <w:textAlignment w:val="top"/>
        <w:rPr>
          <w:rFonts w:hint="eastAsia" w:ascii="仿宋_GB2312" w:hAnsi="仿宋_GB2312" w:eastAsia="仿宋_GB2312" w:cs="仿宋_GB2312"/>
          <w:color w:val="auto"/>
          <w:sz w:val="32"/>
          <w:szCs w:val="32"/>
          <w:lang w:val="en-US" w:eastAsia="zh-CN" w:bidi="ar-SA"/>
        </w:rPr>
      </w:pPr>
    </w:p>
    <w:p>
      <w:pPr>
        <w:keepNext w:val="0"/>
        <w:keepLines w:val="0"/>
        <w:pageBreakBefore w:val="0"/>
        <w:widowControl w:val="0"/>
        <w:kinsoku/>
        <w:wordWrap/>
        <w:overflowPunct/>
        <w:topLinePunct/>
        <w:bidi w:val="0"/>
        <w:adjustRightInd/>
        <w:snapToGrid/>
        <w:spacing w:line="560" w:lineRule="exact"/>
        <w:ind w:firstLine="640" w:firstLineChars="200"/>
        <w:jc w:val="both"/>
        <w:textAlignment w:val="top"/>
        <w:rPr>
          <w:rFonts w:hint="eastAsia" w:ascii="仿宋_GB2312" w:hAnsi="仿宋_GB2312" w:eastAsia="仿宋_GB2312" w:cs="仿宋_GB2312"/>
          <w:color w:val="auto"/>
          <w:sz w:val="32"/>
          <w:szCs w:val="32"/>
          <w:lang w:val="en-US" w:eastAsia="zh-CN" w:bidi="ar-SA"/>
        </w:rPr>
      </w:pPr>
    </w:p>
    <w:p>
      <w:pPr>
        <w:keepNext w:val="0"/>
        <w:keepLines w:val="0"/>
        <w:pageBreakBefore w:val="0"/>
        <w:widowControl w:val="0"/>
        <w:kinsoku/>
        <w:wordWrap/>
        <w:overflowPunct/>
        <w:topLinePunct/>
        <w:bidi w:val="0"/>
        <w:adjustRightInd/>
        <w:snapToGrid/>
        <w:spacing w:line="560" w:lineRule="exact"/>
        <w:ind w:firstLine="640" w:firstLineChars="200"/>
        <w:jc w:val="both"/>
        <w:textAlignment w:val="top"/>
        <w:rPr>
          <w:rFonts w:hint="eastAsia" w:ascii="仿宋_GB2312" w:hAnsi="仿宋_GB2312" w:eastAsia="仿宋_GB2312" w:cs="仿宋_GB2312"/>
          <w:color w:val="auto"/>
          <w:sz w:val="32"/>
          <w:szCs w:val="32"/>
          <w:lang w:val="en-US" w:eastAsia="zh-CN" w:bidi="ar-SA"/>
        </w:rPr>
      </w:pPr>
    </w:p>
    <w:p>
      <w:pPr>
        <w:keepNext w:val="0"/>
        <w:keepLines w:val="0"/>
        <w:pageBreakBefore w:val="0"/>
        <w:widowControl w:val="0"/>
        <w:kinsoku/>
        <w:wordWrap/>
        <w:overflowPunct/>
        <w:topLinePunct/>
        <w:bidi w:val="0"/>
        <w:adjustRightInd/>
        <w:snapToGrid/>
        <w:spacing w:line="560" w:lineRule="exact"/>
        <w:ind w:firstLine="640" w:firstLineChars="200"/>
        <w:jc w:val="both"/>
        <w:textAlignment w:val="top"/>
        <w:rPr>
          <w:rFonts w:hint="eastAsia" w:ascii="仿宋_GB2312" w:hAnsi="仿宋_GB2312" w:eastAsia="仿宋_GB2312" w:cs="仿宋_GB2312"/>
          <w:color w:val="auto"/>
          <w:sz w:val="32"/>
          <w:szCs w:val="32"/>
          <w:lang w:val="en-US" w:eastAsia="zh-CN" w:bidi="ar-SA"/>
        </w:rPr>
      </w:pPr>
    </w:p>
    <w:p>
      <w:pPr>
        <w:keepNext w:val="0"/>
        <w:keepLines w:val="0"/>
        <w:pageBreakBefore w:val="0"/>
        <w:widowControl w:val="0"/>
        <w:kinsoku/>
        <w:wordWrap/>
        <w:overflowPunct/>
        <w:topLinePunct/>
        <w:bidi w:val="0"/>
        <w:adjustRightInd/>
        <w:snapToGrid/>
        <w:spacing w:line="560" w:lineRule="exact"/>
        <w:ind w:firstLine="640" w:firstLineChars="200"/>
        <w:jc w:val="both"/>
        <w:textAlignment w:val="top"/>
        <w:rPr>
          <w:rFonts w:hint="eastAsia" w:ascii="仿宋_GB2312" w:hAnsi="仿宋_GB2312" w:eastAsia="仿宋_GB2312" w:cs="仿宋_GB2312"/>
          <w:color w:val="auto"/>
          <w:sz w:val="32"/>
          <w:szCs w:val="32"/>
          <w:lang w:val="en-US" w:eastAsia="zh-CN" w:bidi="ar-SA"/>
        </w:rPr>
      </w:pPr>
    </w:p>
    <w:p>
      <w:pPr>
        <w:keepNext w:val="0"/>
        <w:keepLines w:val="0"/>
        <w:pageBreakBefore w:val="0"/>
        <w:widowControl w:val="0"/>
        <w:kinsoku/>
        <w:wordWrap/>
        <w:overflowPunct/>
        <w:topLinePunct/>
        <w:bidi w:val="0"/>
        <w:adjustRightInd/>
        <w:snapToGrid/>
        <w:spacing w:line="560" w:lineRule="exact"/>
        <w:ind w:firstLine="640" w:firstLineChars="200"/>
        <w:jc w:val="both"/>
        <w:textAlignment w:val="top"/>
        <w:rPr>
          <w:rFonts w:hint="eastAsia" w:ascii="仿宋_GB2312" w:hAnsi="仿宋_GB2312" w:eastAsia="仿宋_GB2312" w:cs="仿宋_GB2312"/>
          <w:color w:val="auto"/>
          <w:sz w:val="32"/>
          <w:szCs w:val="32"/>
          <w:lang w:val="en-US" w:eastAsia="zh-CN" w:bidi="ar-SA"/>
        </w:rPr>
      </w:pPr>
    </w:p>
    <w:p>
      <w:pPr>
        <w:keepNext w:val="0"/>
        <w:keepLines w:val="0"/>
        <w:pageBreakBefore w:val="0"/>
        <w:widowControl w:val="0"/>
        <w:kinsoku/>
        <w:wordWrap/>
        <w:overflowPunct/>
        <w:topLinePunct/>
        <w:bidi w:val="0"/>
        <w:adjustRightInd/>
        <w:snapToGrid/>
        <w:spacing w:line="560" w:lineRule="exact"/>
        <w:ind w:firstLine="640" w:firstLineChars="200"/>
        <w:jc w:val="both"/>
        <w:textAlignment w:val="top"/>
        <w:rPr>
          <w:rFonts w:hint="eastAsia" w:ascii="仿宋_GB2312" w:hAnsi="仿宋_GB2312" w:eastAsia="仿宋_GB2312" w:cs="仿宋_GB2312"/>
          <w:color w:val="auto"/>
          <w:sz w:val="32"/>
          <w:szCs w:val="32"/>
          <w:lang w:val="en-US" w:eastAsia="zh-CN" w:bidi="ar-SA"/>
        </w:rPr>
      </w:pPr>
    </w:p>
    <w:p>
      <w:pPr>
        <w:keepNext w:val="0"/>
        <w:keepLines w:val="0"/>
        <w:pageBreakBefore w:val="0"/>
        <w:widowControl w:val="0"/>
        <w:kinsoku/>
        <w:wordWrap/>
        <w:overflowPunct/>
        <w:topLinePunct/>
        <w:bidi w:val="0"/>
        <w:adjustRightInd/>
        <w:snapToGrid/>
        <w:spacing w:line="560" w:lineRule="exact"/>
        <w:ind w:firstLine="640" w:firstLineChars="200"/>
        <w:jc w:val="both"/>
        <w:textAlignment w:val="top"/>
        <w:rPr>
          <w:rFonts w:hint="eastAsia" w:ascii="仿宋_GB2312" w:hAnsi="仿宋_GB2312" w:eastAsia="仿宋_GB2312" w:cs="仿宋_GB2312"/>
          <w:color w:val="auto"/>
          <w:sz w:val="32"/>
          <w:szCs w:val="32"/>
          <w:lang w:val="en-US" w:eastAsia="zh-CN" w:bidi="ar-SA"/>
        </w:rPr>
      </w:pPr>
    </w:p>
    <w:p>
      <w:pPr>
        <w:keepNext w:val="0"/>
        <w:keepLines w:val="0"/>
        <w:pageBreakBefore w:val="0"/>
        <w:widowControl w:val="0"/>
        <w:kinsoku/>
        <w:wordWrap/>
        <w:overflowPunct/>
        <w:topLinePunct/>
        <w:bidi w:val="0"/>
        <w:adjustRightInd/>
        <w:snapToGrid/>
        <w:spacing w:line="560" w:lineRule="exact"/>
        <w:jc w:val="both"/>
        <w:textAlignment w:val="top"/>
        <w:rPr>
          <w:rFonts w:hint="eastAsia" w:ascii="仿宋_GB2312" w:hAnsi="仿宋_GB2312" w:eastAsia="仿宋_GB2312" w:cs="仿宋_GB2312"/>
          <w:color w:val="auto"/>
          <w:sz w:val="32"/>
          <w:szCs w:val="32"/>
          <w:lang w:val="en-US" w:eastAsia="zh-CN" w:bidi="ar-SA"/>
        </w:rPr>
      </w:pPr>
    </w:p>
    <w:p>
      <w:pPr>
        <w:keepNext w:val="0"/>
        <w:keepLines w:val="0"/>
        <w:pageBreakBefore w:val="0"/>
        <w:widowControl w:val="0"/>
        <w:kinsoku/>
        <w:wordWrap/>
        <w:overflowPunct/>
        <w:topLinePunct/>
        <w:bidi w:val="0"/>
        <w:adjustRightInd/>
        <w:snapToGrid/>
        <w:spacing w:line="560" w:lineRule="exact"/>
        <w:jc w:val="center"/>
        <w:textAlignment w:val="top"/>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危房改造政策</w:t>
      </w:r>
      <w:r>
        <w:rPr>
          <w:rFonts w:hint="eastAsia" w:ascii="方正小标宋简体" w:hAnsi="方正小标宋简体" w:eastAsia="方正小标宋简体" w:cs="方正小标宋简体"/>
          <w:sz w:val="44"/>
          <w:szCs w:val="44"/>
          <w:lang w:val="en-US" w:eastAsia="zh-CN"/>
        </w:rPr>
        <w:t>解读</w:t>
      </w:r>
    </w:p>
    <w:p>
      <w:pPr>
        <w:keepNext w:val="0"/>
        <w:keepLines w:val="0"/>
        <w:pageBreakBefore w:val="0"/>
        <w:widowControl w:val="0"/>
        <w:kinsoku/>
        <w:wordWrap/>
        <w:overflowPunct/>
        <w:topLinePunct/>
        <w:bidi w:val="0"/>
        <w:adjustRightInd/>
        <w:snapToGrid/>
        <w:spacing w:line="560" w:lineRule="exact"/>
        <w:jc w:val="center"/>
        <w:textAlignment w:val="top"/>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bidi w:val="0"/>
        <w:spacing w:line="560" w:lineRule="exact"/>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1、农村危房改造流程：由</w:t>
      </w:r>
      <w:r>
        <w:rPr>
          <w:rFonts w:hint="eastAsia" w:ascii="仿宋_GB2312" w:hAnsi="仿宋_GB2312" w:eastAsia="仿宋_GB2312" w:cs="仿宋_GB2312"/>
          <w:b w:val="0"/>
          <w:bCs w:val="0"/>
          <w:sz w:val="32"/>
          <w:szCs w:val="32"/>
        </w:rPr>
        <w:t>农</w:t>
      </w:r>
      <w:r>
        <w:rPr>
          <w:rFonts w:hint="eastAsia" w:ascii="仿宋_GB2312" w:hAnsi="仿宋_GB2312" w:eastAsia="仿宋_GB2312" w:cs="仿宋_GB2312"/>
          <w:sz w:val="32"/>
          <w:szCs w:val="32"/>
        </w:rPr>
        <w:t>户申请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lang w:eastAsia="zh-CN"/>
        </w:rPr>
        <w:t>对象认定，</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lang w:eastAsia="zh-CN"/>
        </w:rPr>
        <w:t>房屋鉴定，</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评议</w:t>
      </w:r>
      <w:r>
        <w:rPr>
          <w:rFonts w:hint="eastAsia" w:ascii="仿宋_GB2312" w:hAnsi="仿宋_GB2312" w:eastAsia="仿宋_GB2312" w:cs="仿宋_GB2312"/>
          <w:sz w:val="32"/>
          <w:szCs w:val="32"/>
        </w:rPr>
        <w:t>、乡（镇）审核、</w:t>
      </w:r>
      <w:r>
        <w:rPr>
          <w:rFonts w:hint="eastAsia" w:ascii="仿宋_GB2312" w:hAnsi="仿宋_GB2312" w:eastAsia="仿宋_GB2312" w:cs="仿宋_GB2312"/>
          <w:sz w:val="32"/>
          <w:szCs w:val="32"/>
          <w:lang w:eastAsia="zh-CN"/>
        </w:rPr>
        <w:t>公示、</w:t>
      </w:r>
      <w:r>
        <w:rPr>
          <w:rFonts w:hint="eastAsia" w:ascii="仿宋_GB2312" w:hAnsi="仿宋_GB2312" w:eastAsia="仿宋_GB2312" w:cs="仿宋_GB2312"/>
          <w:sz w:val="32"/>
          <w:szCs w:val="32"/>
        </w:rPr>
        <w:t>县级审批</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lang w:eastAsia="zh-CN"/>
        </w:rPr>
        <w:t>，组织实施，</w:t>
      </w:r>
      <w:r>
        <w:rPr>
          <w:rFonts w:hint="eastAsia" w:ascii="仿宋_GB2312" w:hAnsi="仿宋_GB2312" w:eastAsia="仿宋_GB2312" w:cs="仿宋_GB2312"/>
          <w:sz w:val="32"/>
          <w:szCs w:val="32"/>
          <w:lang w:val="en-US" w:eastAsia="zh-CN"/>
        </w:rPr>
        <w:t>最后进行</w:t>
      </w:r>
      <w:r>
        <w:rPr>
          <w:rFonts w:hint="eastAsia" w:ascii="仿宋_GB2312" w:hAnsi="仿宋_GB2312" w:eastAsia="仿宋_GB2312" w:cs="仿宋_GB2312"/>
          <w:sz w:val="32"/>
          <w:szCs w:val="32"/>
          <w:lang w:eastAsia="zh-CN"/>
        </w:rPr>
        <w:t>竣工验收和资金拨付</w:t>
      </w:r>
      <w:r>
        <w:rPr>
          <w:rFonts w:hint="eastAsia" w:ascii="仿宋_GB2312" w:hAnsi="仿宋_GB2312" w:eastAsia="仿宋_GB2312" w:cs="仿宋_GB2312"/>
          <w:sz w:val="32"/>
          <w:szCs w:val="32"/>
        </w:rPr>
        <w:t>等程序。</w:t>
      </w:r>
    </w:p>
    <w:p>
      <w:pPr>
        <w:keepNext w:val="0"/>
        <w:keepLines w:val="0"/>
        <w:pageBreakBefore w:val="0"/>
        <w:kinsoku/>
        <w:wordWrap/>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补助对象：</w:t>
      </w:r>
      <w:r>
        <w:rPr>
          <w:rFonts w:hint="eastAsia" w:ascii="仿宋_GB2312" w:hAnsi="仿宋_GB2312" w:eastAsia="仿宋_GB2312" w:cs="仿宋_GB2312"/>
          <w:sz w:val="32"/>
          <w:szCs w:val="32"/>
        </w:rPr>
        <w:t>农村住房安全保障对象主要是农村低收入群体，包括农村易返贫致贫户、农村低保户、农村分散供养特困人员，以及因病因灾因意外事故等刚性支出较大或收入大幅缩减导致基本生活出现严重困难家庭等。</w:t>
      </w:r>
    </w:p>
    <w:p>
      <w:pPr>
        <w:keepNext w:val="0"/>
        <w:keepLines w:val="0"/>
        <w:pageBreakBefore w:val="0"/>
        <w:kinsoku/>
        <w:wordWrap/>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住房鉴定（评定）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严格执行先确认身份信息，后鉴定危房等级的工作程序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对经鉴定（评定）住房确属C级、D级的农户或无房户列为年度农村危房改造对象。无房户指无自有房屋的农村低收入群体等重点对象，由农户本人申报、村级评议、乡镇审核、镇村两级公示等措施认定。</w:t>
      </w:r>
    </w:p>
    <w:p>
      <w:pPr>
        <w:keepNext w:val="0"/>
        <w:keepLines w:val="0"/>
        <w:pageBreakBefore w:val="0"/>
        <w:kinsoku/>
        <w:wordWrap/>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建房面积：</w:t>
      </w:r>
      <w:r>
        <w:rPr>
          <w:rFonts w:hint="eastAsia" w:ascii="仿宋_GB2312" w:hAnsi="仿宋_GB2312" w:eastAsia="仿宋_GB2312" w:cs="仿宋_GB2312"/>
          <w:sz w:val="32"/>
          <w:szCs w:val="32"/>
        </w:rPr>
        <w:t>拆除重建或选址新建的房屋面积，原则上1人户不低于20平方米、2人户不低于30平方米、3人不低于40平方米，3人以上户人均面积不低于13平方米。</w:t>
      </w:r>
    </w:p>
    <w:p>
      <w:pPr>
        <w:keepNext w:val="0"/>
        <w:keepLines w:val="0"/>
        <w:pageBreakBefore w:val="0"/>
        <w:kinsoku/>
        <w:wordWrap/>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补助标准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根据农户经济条件、房屋危险程度、改造方式和建设成本等因素，科学合理设定细化分类分级补助标准，维修加固原则上不高于1.5万元，拆除重建或选址新建原则上不高于5万元。2022年农村危房改造户均</w:t>
      </w:r>
      <w:r>
        <w:rPr>
          <w:rFonts w:hint="eastAsia" w:ascii="仿宋_GB2312" w:hAnsi="仿宋_GB2312" w:eastAsia="仿宋_GB2312" w:cs="仿宋_GB2312"/>
          <w:sz w:val="32"/>
          <w:szCs w:val="32"/>
          <w:lang w:eastAsia="zh-CN"/>
        </w:rPr>
        <w:t>补助标准</w:t>
      </w:r>
      <w:r>
        <w:rPr>
          <w:rFonts w:hint="eastAsia" w:ascii="仿宋_GB2312" w:hAnsi="仿宋_GB2312" w:eastAsia="仿宋_GB2312" w:cs="仿宋_GB2312"/>
          <w:sz w:val="32"/>
          <w:szCs w:val="32"/>
          <w:lang w:val="en-US" w:eastAsia="zh-CN"/>
        </w:rPr>
        <w:t>147300元（中央补助</w:t>
      </w:r>
      <w:r>
        <w:rPr>
          <w:rFonts w:hint="eastAsia" w:ascii="仿宋_GB2312" w:hAnsi="仿宋_GB2312" w:eastAsia="仿宋_GB2312" w:cs="仿宋_GB2312"/>
          <w:sz w:val="32"/>
          <w:szCs w:val="32"/>
        </w:rPr>
        <w:t>11730元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省级</w:t>
      </w:r>
      <w:r>
        <w:rPr>
          <w:rFonts w:hint="eastAsia" w:ascii="仿宋_GB2312" w:hAnsi="仿宋_GB2312" w:eastAsia="仿宋_GB2312" w:cs="仿宋_GB2312"/>
          <w:sz w:val="32"/>
          <w:szCs w:val="32"/>
          <w:lang w:eastAsia="zh-CN"/>
        </w:rPr>
        <w:t>补助</w:t>
      </w:r>
      <w:r>
        <w:rPr>
          <w:rFonts w:hint="eastAsia" w:ascii="仿宋_GB2312" w:hAnsi="仿宋_GB2312" w:eastAsia="仿宋_GB2312" w:cs="仿宋_GB2312"/>
          <w:sz w:val="32"/>
          <w:szCs w:val="32"/>
          <w:lang w:val="en-US" w:eastAsia="zh-CN"/>
        </w:rPr>
        <w:t>3000元）</w:t>
      </w:r>
      <w:r>
        <w:rPr>
          <w:rFonts w:hint="eastAsia" w:ascii="仿宋_GB2312" w:hAnsi="仿宋_GB2312" w:eastAsia="仿宋_GB2312" w:cs="仿宋_GB2312"/>
          <w:sz w:val="32"/>
          <w:szCs w:val="32"/>
        </w:rPr>
        <w:t>。</w:t>
      </w:r>
    </w:p>
    <w:p>
      <w:pPr>
        <w:keepNext w:val="0"/>
        <w:keepLines w:val="0"/>
        <w:pageBreakBefore w:val="0"/>
        <w:kinsoku/>
        <w:wordWrap/>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改造方式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通过农户自筹资金为主、政府予以适当补助方式实施农村危房改造，是农村低收入群体等重点对象住房安全保障的主要方式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原则上C级危房应实施维修加固，D级危房且无维修加固保留价值的应拆除重建，无房户可新建。</w:t>
      </w:r>
    </w:p>
    <w:p>
      <w:pPr>
        <w:keepNext w:val="0"/>
        <w:keepLines w:val="0"/>
        <w:pageBreakBefore w:val="0"/>
        <w:kinsoku/>
        <w:wordWrap/>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竣工验收：乡镇政府组织人员进行逐户验收。</w:t>
      </w:r>
    </w:p>
    <w:p>
      <w:pPr>
        <w:keepNext w:val="0"/>
        <w:keepLines w:val="0"/>
        <w:pageBreakBefore w:val="0"/>
        <w:kinsoku/>
        <w:wordWrap/>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8、建新拆旧：严格落实建新拆旧工作，乡镇（街道）</w:t>
      </w:r>
      <w:r>
        <w:rPr>
          <w:rFonts w:hint="eastAsia" w:ascii="仿宋_GB2312" w:hAnsi="仿宋_GB2312" w:eastAsia="仿宋_GB2312" w:cs="仿宋_GB2312"/>
          <w:sz w:val="32"/>
          <w:szCs w:val="32"/>
        </w:rPr>
        <w:t>督促村组做好群众思想工作，依法依规组织实施建新拆旧工作，在竣工验收通过后30日内拆除旧房，切实消除安全隐患</w:t>
      </w:r>
      <w:r>
        <w:rPr>
          <w:rFonts w:hint="eastAsia" w:ascii="仿宋_GB2312" w:hAnsi="仿宋_GB2312" w:eastAsia="仿宋_GB2312" w:cs="仿宋_GB2312"/>
          <w:sz w:val="32"/>
          <w:szCs w:val="32"/>
          <w:lang w:eastAsia="zh-CN"/>
        </w:rPr>
        <w:t>。</w:t>
      </w:r>
    </w:p>
    <w:p>
      <w:pPr>
        <w:keepNext w:val="0"/>
        <w:keepLines w:val="0"/>
        <w:pageBreakBefore w:val="0"/>
        <w:kinsoku/>
        <w:wordWrap/>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资金拨付：经验收合格后，由乡镇政府递交资金申请报告及到户资金花名册，县危改办汇总上报县政府批准，由县财政局直接拨付农户“一卡通”</w:t>
      </w:r>
      <w:r>
        <w:rPr>
          <w:rFonts w:hint="eastAsia" w:ascii="仿宋_GB2312" w:hAnsi="仿宋_GB2312" w:eastAsia="仿宋_GB2312" w:cs="仿宋_GB2312"/>
          <w:sz w:val="32"/>
          <w:szCs w:val="32"/>
        </w:rPr>
        <w:t>。</w:t>
      </w:r>
    </w:p>
    <w:p>
      <w:pPr>
        <w:keepNext w:val="0"/>
        <w:keepLines w:val="0"/>
        <w:pageBreakBefore w:val="0"/>
        <w:kinsoku/>
        <w:wordWrap/>
        <w:bidi w:val="0"/>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kinsoku/>
        <w:wordWrap/>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以上内容为</w:t>
      </w:r>
      <w:r>
        <w:rPr>
          <w:rFonts w:hint="eastAsia" w:ascii="仿宋_GB2312" w:hAnsi="仿宋_GB2312" w:eastAsia="仿宋_GB2312" w:cs="仿宋_GB2312"/>
          <w:sz w:val="32"/>
          <w:szCs w:val="32"/>
          <w:lang w:val="en-US" w:eastAsia="zh-CN"/>
        </w:rPr>
        <w:t>2022年危改政策，2023年危改政策还未下达，待下达后进行更新完善。</w:t>
      </w:r>
    </w:p>
    <w:p>
      <w:pPr>
        <w:keepNext w:val="0"/>
        <w:keepLines w:val="0"/>
        <w:pageBreakBefore w:val="0"/>
        <w:widowControl w:val="0"/>
        <w:kinsoku/>
        <w:wordWrap/>
        <w:overflowPunct/>
        <w:topLinePunct/>
        <w:bidi w:val="0"/>
        <w:adjustRightInd/>
        <w:snapToGrid/>
        <w:spacing w:line="240" w:lineRule="auto"/>
        <w:jc w:val="both"/>
        <w:textAlignment w:val="top"/>
        <w:rPr>
          <w:rFonts w:hint="eastAsia" w:ascii="方正小标宋简体" w:hAnsi="方正小标宋简体" w:eastAsia="方正小标宋简体" w:cs="方正小标宋简体"/>
          <w:sz w:val="44"/>
          <w:szCs w:val="44"/>
          <w:lang w:val="en-US" w:eastAsia="zh-CN"/>
        </w:rPr>
      </w:pPr>
    </w:p>
    <w:p>
      <w:pPr>
        <w:pStyle w:val="15"/>
        <w:jc w:val="both"/>
        <w:rPr>
          <w:rFonts w:hint="eastAsia" w:ascii="方正小标宋简体" w:hAnsi="方正小标宋简体" w:eastAsia="方正小标宋简体" w:cs="方正小标宋简体"/>
          <w:sz w:val="44"/>
          <w:szCs w:val="44"/>
          <w:lang w:val="en-US" w:eastAsia="zh-CN"/>
        </w:rPr>
      </w:pP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文星仿宋..嬀.">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sz w:val="32"/>
                              <w:szCs w:val="32"/>
                            </w:rPr>
                            <w:fldChar w:fldCharType="begin"/>
                          </w:r>
                          <w:r>
                            <w:rPr>
                              <w:sz w:val="32"/>
                              <w:szCs w:val="32"/>
                            </w:rPr>
                            <w:instrText xml:space="preserve"> PAGE  \* MERGEFORMAT </w:instrText>
                          </w:r>
                          <w:r>
                            <w:rPr>
                              <w:sz w:val="32"/>
                              <w:szCs w:val="32"/>
                            </w:rPr>
                            <w:fldChar w:fldCharType="separate"/>
                          </w:r>
                          <w:r>
                            <w:rPr>
                              <w:sz w:val="32"/>
                              <w:szCs w:val="32"/>
                            </w:rPr>
                            <w:t>- 3 -</w:t>
                          </w:r>
                          <w:r>
                            <w:rPr>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rPr>
                        <w:sz w:val="32"/>
                        <w:szCs w:val="32"/>
                      </w:rPr>
                      <w:fldChar w:fldCharType="begin"/>
                    </w:r>
                    <w:r>
                      <w:rPr>
                        <w:sz w:val="32"/>
                        <w:szCs w:val="32"/>
                      </w:rPr>
                      <w:instrText xml:space="preserve"> PAGE  \* MERGEFORMAT </w:instrText>
                    </w:r>
                    <w:r>
                      <w:rPr>
                        <w:sz w:val="32"/>
                        <w:szCs w:val="32"/>
                      </w:rPr>
                      <w:fldChar w:fldCharType="separate"/>
                    </w:r>
                    <w:r>
                      <w:rPr>
                        <w:sz w:val="32"/>
                        <w:szCs w:val="32"/>
                      </w:rPr>
                      <w:t>- 3 -</w:t>
                    </w:r>
                    <w:r>
                      <w:rPr>
                        <w:sz w:val="32"/>
                        <w:szCs w:val="32"/>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B5E37C"/>
    <w:multiLevelType w:val="singleLevel"/>
    <w:tmpl w:val="EBB5E37C"/>
    <w:lvl w:ilvl="0" w:tentative="0">
      <w:start w:val="1"/>
      <w:numFmt w:val="decimal"/>
      <w:suff w:val="nothing"/>
      <w:lvlText w:val="%1、"/>
      <w:lvlJc w:val="left"/>
    </w:lvl>
  </w:abstractNum>
  <w:abstractNum w:abstractNumId="1">
    <w:nsid w:val="4E37F1A0"/>
    <w:multiLevelType w:val="singleLevel"/>
    <w:tmpl w:val="4E37F1A0"/>
    <w:lvl w:ilvl="0" w:tentative="0">
      <w:start w:val="1"/>
      <w:numFmt w:val="decimal"/>
      <w:suff w:val="space"/>
      <w:lvlText w:val="%1."/>
      <w:lvlJc w:val="left"/>
    </w:lvl>
  </w:abstractNum>
  <w:abstractNum w:abstractNumId="2">
    <w:nsid w:val="5778C262"/>
    <w:multiLevelType w:val="singleLevel"/>
    <w:tmpl w:val="5778C262"/>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kYjhkZTM1MjFlZGY3YWYxMTE5MThkYzczMzhiMjIifQ=="/>
  </w:docVars>
  <w:rsids>
    <w:rsidRoot w:val="00000000"/>
    <w:rsid w:val="11661346"/>
    <w:rsid w:val="489567C2"/>
    <w:rsid w:val="56B03215"/>
    <w:rsid w:val="738B0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Body Text 21"/>
    <w:basedOn w:val="1"/>
    <w:next w:val="2"/>
    <w:qFormat/>
    <w:uiPriority w:val="0"/>
    <w:pPr>
      <w:spacing w:after="120" w:line="480" w:lineRule="auto"/>
    </w:pPr>
  </w:style>
  <w:style w:type="paragraph" w:styleId="4">
    <w:name w:val="Body Text Indent"/>
    <w:basedOn w:val="1"/>
    <w:qFormat/>
    <w:uiPriority w:val="99"/>
    <w:pPr>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paragraph" w:styleId="8">
    <w:name w:val="Body Text First Indent"/>
    <w:basedOn w:val="2"/>
    <w:unhideWhenUsed/>
    <w:qFormat/>
    <w:uiPriority w:val="99"/>
    <w:pPr>
      <w:ind w:firstLine="420" w:firstLineChars="100"/>
    </w:pPr>
  </w:style>
  <w:style w:type="paragraph" w:styleId="9">
    <w:name w:val="Body Text First Indent 2"/>
    <w:basedOn w:val="4"/>
    <w:next w:val="8"/>
    <w:qFormat/>
    <w:uiPriority w:val="99"/>
    <w:pPr>
      <w:spacing w:after="120"/>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customStyle="1" w:styleId="15">
    <w:name w:val="正文文本 21"/>
    <w:basedOn w:val="1"/>
    <w:qFormat/>
    <w:uiPriority w:val="0"/>
    <w:pPr>
      <w:spacing w:after="120" w:line="480" w:lineRule="auto"/>
    </w:pPr>
  </w:style>
  <w:style w:type="paragraph" w:customStyle="1" w:styleId="16">
    <w:name w:val="引文目录标题1"/>
    <w:basedOn w:val="1"/>
    <w:next w:val="1"/>
    <w:qFormat/>
    <w:uiPriority w:val="0"/>
    <w:rPr>
      <w:rFonts w:ascii="Cambria" w:hAnsi="Cambria" w:cs="黑体" w:eastAsiaTheme="minorEastAsia"/>
      <w:sz w:val="24"/>
      <w:szCs w:val="22"/>
    </w:rPr>
  </w:style>
  <w:style w:type="paragraph" w:customStyle="1" w:styleId="17">
    <w:name w:val="正文缩进 Char Char"/>
    <w:basedOn w:val="18"/>
    <w:qFormat/>
    <w:uiPriority w:val="0"/>
    <w:pPr>
      <w:ind w:firstLine="0"/>
    </w:pPr>
  </w:style>
  <w:style w:type="paragraph" w:customStyle="1" w:styleId="18">
    <w:name w:val="正文文本 Char Char"/>
    <w:basedOn w:val="19"/>
    <w:qFormat/>
    <w:uiPriority w:val="0"/>
    <w:pPr>
      <w:spacing w:before="0" w:after="120"/>
    </w:pPr>
  </w:style>
  <w:style w:type="paragraph" w:customStyle="1" w:styleId="19">
    <w:name w:val="正文 Char Char"/>
    <w:next w:val="1"/>
    <w:qFormat/>
    <w:uiPriority w:val="0"/>
    <w:pPr>
      <w:widowControl w:val="0"/>
      <w:jc w:val="both"/>
    </w:pPr>
    <w:rPr>
      <w:rFonts w:ascii="Calibri" w:hAnsi="Calibri" w:eastAsia="宋体" w:cs="宋体"/>
      <w:kern w:val="2"/>
      <w:sz w:val="21"/>
      <w:szCs w:val="24"/>
      <w:lang w:val="en-US" w:eastAsia="zh-CN" w:bidi="ar-SA"/>
    </w:rPr>
  </w:style>
  <w:style w:type="paragraph" w:customStyle="1" w:styleId="20">
    <w:name w:val="Default"/>
    <w:qFormat/>
    <w:uiPriority w:val="0"/>
    <w:pPr>
      <w:widowControl w:val="0"/>
      <w:autoSpaceDE w:val="0"/>
      <w:autoSpaceDN w:val="0"/>
      <w:adjustRightInd w:val="0"/>
    </w:pPr>
    <w:rPr>
      <w:rFonts w:hint="eastAsia" w:ascii="文星仿宋..嬀." w:hAnsi="文星仿宋..嬀." w:eastAsia="文星仿宋..嬀." w:cs="Times New Roman"/>
      <w:color w:val="000000"/>
      <w:sz w:val="24"/>
      <w:szCs w:val="22"/>
      <w:lang w:val="en-US" w:eastAsia="zh-CN" w:bidi="ar-SA"/>
    </w:rPr>
  </w:style>
  <w:style w:type="paragraph" w:customStyle="1" w:styleId="21">
    <w:name w:val="Heading 2"/>
    <w:basedOn w:val="1"/>
    <w:qFormat/>
    <w:uiPriority w:val="1"/>
    <w:pPr>
      <w:spacing w:before="190"/>
      <w:ind w:left="845"/>
      <w:outlineLvl w:val="2"/>
    </w:pPr>
    <w:rPr>
      <w:rFonts w:ascii="楷体" w:hAnsi="楷体" w:eastAsia="楷体" w:cs="楷体"/>
      <w:b/>
      <w:bCs/>
      <w:sz w:val="32"/>
      <w:szCs w:val="32"/>
    </w:rPr>
  </w:style>
  <w:style w:type="paragraph" w:customStyle="1" w:styleId="22">
    <w:name w:val="Normal"/>
    <w:qFormat/>
    <w:uiPriority w:val="0"/>
    <w:pPr>
      <w:spacing w:line="240" w:lineRule="auto"/>
      <w:ind w:firstLine="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27138</Words>
  <Characters>28176</Characters>
  <Lines>0</Lines>
  <Paragraphs>0</Paragraphs>
  <TotalTime>15</TotalTime>
  <ScaleCrop>false</ScaleCrop>
  <LinksUpToDate>false</LinksUpToDate>
  <CharactersWithSpaces>28247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勉</cp:lastModifiedBy>
  <cp:lastPrinted>2023-08-15T01:04:00Z</cp:lastPrinted>
  <dcterms:modified xsi:type="dcterms:W3CDTF">2023-10-18T08:53:04Z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82BDBB56C1BC447B863BBDCEEE624DBC_13</vt:lpwstr>
  </property>
</Properties>
</file>