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594" w:lineRule="exact"/>
        <w:jc w:val="center"/>
        <w:rPr>
          <w:rFonts w:hint="eastAsia" w:asciiTheme="minorEastAsia" w:hAnsiTheme="minorEastAsia" w:eastAsiaTheme="minorEastAsia" w:cstheme="minorEastAsia"/>
          <w:b/>
          <w:bCs/>
          <w:color w:val="000000"/>
          <w:sz w:val="32"/>
          <w:szCs w:val="32"/>
        </w:rPr>
      </w:pPr>
      <w:r>
        <w:rPr>
          <w:rFonts w:hint="eastAsia" w:asciiTheme="minorEastAsia" w:hAnsiTheme="minorEastAsia" w:eastAsiaTheme="minorEastAsia" w:cstheme="minorEastAsia"/>
          <w:b/>
          <w:bCs/>
          <w:color w:val="000000"/>
          <w:sz w:val="32"/>
          <w:szCs w:val="32"/>
          <w:lang w:val="en-US" w:eastAsia="zh-CN"/>
        </w:rPr>
        <w:t>202</w:t>
      </w:r>
      <w:r>
        <w:rPr>
          <w:rFonts w:hint="eastAsia" w:asciiTheme="minorEastAsia" w:hAnsiTheme="minorEastAsia" w:eastAsiaTheme="minorEastAsia" w:cstheme="minorEastAsia"/>
          <w:b/>
          <w:bCs/>
          <w:color w:val="000000"/>
          <w:sz w:val="32"/>
          <w:szCs w:val="32"/>
          <w:lang w:val="en-US" w:eastAsia="zh-CN"/>
        </w:rPr>
        <w:t>2</w:t>
      </w:r>
      <w:r>
        <w:rPr>
          <w:rFonts w:hint="eastAsia" w:asciiTheme="minorEastAsia" w:hAnsiTheme="minorEastAsia" w:eastAsiaTheme="minorEastAsia" w:cstheme="minorEastAsia"/>
          <w:b/>
          <w:bCs/>
          <w:color w:val="000000"/>
          <w:sz w:val="32"/>
          <w:szCs w:val="32"/>
          <w:lang w:val="en-US" w:eastAsia="zh-CN"/>
        </w:rPr>
        <w:t>年</w:t>
      </w:r>
      <w:r>
        <w:rPr>
          <w:rFonts w:hint="eastAsia" w:asciiTheme="minorEastAsia" w:hAnsiTheme="minorEastAsia" w:eastAsiaTheme="minorEastAsia" w:cstheme="minorEastAsia"/>
          <w:b/>
          <w:bCs/>
          <w:color w:val="000000"/>
          <w:sz w:val="32"/>
          <w:szCs w:val="32"/>
          <w:lang w:val="en-US" w:eastAsia="zh-CN"/>
        </w:rPr>
        <w:t>方城县</w:t>
      </w:r>
      <w:r>
        <w:rPr>
          <w:rFonts w:hint="eastAsia" w:asciiTheme="minorEastAsia" w:hAnsiTheme="minorEastAsia" w:eastAsiaTheme="minorEastAsia" w:cstheme="minorEastAsia"/>
          <w:b/>
          <w:bCs/>
          <w:color w:val="auto"/>
          <w:sz w:val="32"/>
          <w:szCs w:val="32"/>
          <w:lang w:val="en-US" w:eastAsia="zh-CN"/>
        </w:rPr>
        <w:t>玩具</w:t>
      </w:r>
      <w:r>
        <w:rPr>
          <w:rFonts w:hint="eastAsia" w:asciiTheme="minorEastAsia" w:hAnsiTheme="minorEastAsia" w:eastAsiaTheme="minorEastAsia" w:cstheme="minorEastAsia"/>
          <w:b/>
          <w:bCs/>
          <w:color w:val="000000"/>
          <w:sz w:val="32"/>
          <w:szCs w:val="32"/>
        </w:rPr>
        <w:t>产品质量监督抽查实施细则</w:t>
      </w:r>
    </w:p>
    <w:p>
      <w:pPr>
        <w:adjustRightInd w:val="0"/>
        <w:snapToGrid w:val="0"/>
        <w:spacing w:line="594" w:lineRule="exact"/>
        <w:jc w:val="center"/>
        <w:rPr>
          <w:rFonts w:hint="eastAsia" w:ascii="宋体" w:hAnsi="宋体" w:eastAsia="宋体" w:cs="宋体"/>
          <w:color w:val="000000"/>
          <w:sz w:val="21"/>
          <w:szCs w:val="21"/>
        </w:rPr>
      </w:pP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1 抽样方法</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以随机抽样的方式在被抽样生产者、销售者</w:t>
      </w:r>
      <w:bookmarkStart w:id="1" w:name="_GoBack"/>
      <w:bookmarkEnd w:id="1"/>
      <w:r>
        <w:rPr>
          <w:rFonts w:hint="eastAsia" w:ascii="宋体" w:hAnsi="宋体" w:eastAsia="宋体" w:cs="宋体"/>
          <w:color w:val="000000"/>
          <w:sz w:val="21"/>
          <w:szCs w:val="21"/>
        </w:rPr>
        <w:t>的待销产品中抽取。</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随机数一般可使用随机数表等方法产生。</w:t>
      </w:r>
    </w:p>
    <w:p>
      <w:pPr>
        <w:keepNext w:val="0"/>
        <w:keepLines w:val="0"/>
        <w:pageBreakBefore w:val="0"/>
        <w:widowControl w:val="0"/>
        <w:kinsoku/>
        <w:wordWrap/>
        <w:overflowPunct/>
        <w:topLinePunct w:val="0"/>
        <w:autoSpaceDE/>
        <w:autoSpaceDN/>
        <w:bidi w:val="0"/>
        <w:adjustRightInd/>
        <w:snapToGrid w:val="0"/>
        <w:spacing w:line="440" w:lineRule="exact"/>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eastAsia="zh-CN"/>
        </w:rPr>
        <w:t>每批次产品抽样数量为</w:t>
      </w:r>
      <w:r>
        <w:rPr>
          <w:rFonts w:hint="eastAsia" w:ascii="宋体" w:hAnsi="宋体" w:eastAsia="宋体" w:cs="宋体"/>
          <w:color w:val="000000"/>
          <w:sz w:val="21"/>
          <w:szCs w:val="21"/>
          <w:lang w:val="en-US" w:eastAsia="zh-CN"/>
        </w:rPr>
        <w:t>3个,其中2个为检验样品，1个为备用样品。</w:t>
      </w:r>
    </w:p>
    <w:p>
      <w:pPr>
        <w:keepNext w:val="0"/>
        <w:keepLines w:val="0"/>
        <w:pageBreakBefore w:val="0"/>
        <w:widowControl w:val="0"/>
        <w:kinsoku/>
        <w:wordWrap/>
        <w:overflowPunct/>
        <w:topLinePunct w:val="0"/>
        <w:autoSpaceDE/>
        <w:autoSpaceDN/>
        <w:bidi w:val="0"/>
        <w:adjustRightInd/>
        <w:snapToGrid w:val="0"/>
        <w:spacing w:line="440" w:lineRule="exact"/>
        <w:textAlignment w:val="auto"/>
        <w:rPr>
          <w:rFonts w:hint="eastAsia" w:ascii="宋体" w:hAnsi="宋体" w:eastAsia="宋体" w:cs="宋体"/>
          <w:b/>
          <w:bCs/>
          <w:color w:val="auto"/>
          <w:sz w:val="21"/>
          <w:szCs w:val="21"/>
        </w:rPr>
      </w:pPr>
      <w:r>
        <w:rPr>
          <w:rFonts w:hint="eastAsia" w:ascii="宋体" w:hAnsi="宋体" w:eastAsia="宋体" w:cs="宋体"/>
          <w:b/>
          <w:bCs/>
          <w:color w:val="000000"/>
          <w:sz w:val="21"/>
          <w:szCs w:val="21"/>
        </w:rPr>
        <w:t>2 检验依据</w:t>
      </w:r>
    </w:p>
    <w:p>
      <w:pPr>
        <w:keepNext w:val="0"/>
        <w:keepLines w:val="0"/>
        <w:pageBreakBefore w:val="0"/>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rPr>
      </w:pPr>
      <w:bookmarkStart w:id="0" w:name="_Hlk40347690"/>
      <w:r>
        <w:rPr>
          <w:rFonts w:hint="eastAsia" w:ascii="宋体" w:hAnsi="宋体" w:eastAsia="宋体" w:cs="宋体"/>
          <w:color w:val="auto"/>
          <w:sz w:val="21"/>
          <w:szCs w:val="21"/>
          <w:lang w:val="en-US" w:eastAsia="zh-CN"/>
        </w:rPr>
        <w:t>表1</w:t>
      </w:r>
      <w:r>
        <w:rPr>
          <w:rFonts w:hint="eastAsia" w:ascii="宋体" w:hAnsi="宋体" w:cs="宋体"/>
          <w:color w:val="auto"/>
          <w:sz w:val="21"/>
          <w:szCs w:val="21"/>
          <w:lang w:val="en-US" w:eastAsia="zh-CN"/>
        </w:rPr>
        <w:t>电</w:t>
      </w:r>
      <w:r>
        <w:rPr>
          <w:rFonts w:hint="eastAsia" w:ascii="宋体" w:hAnsi="宋体" w:eastAsia="宋体" w:cs="宋体"/>
          <w:color w:val="auto"/>
          <w:sz w:val="21"/>
          <w:szCs w:val="21"/>
        </w:rPr>
        <w:t>玩具</w:t>
      </w:r>
      <w:r>
        <w:rPr>
          <w:rFonts w:hint="eastAsia" w:ascii="宋体" w:hAnsi="宋体" w:eastAsia="宋体" w:cs="宋体"/>
          <w:color w:val="auto"/>
          <w:sz w:val="21"/>
          <w:szCs w:val="21"/>
          <w:lang w:val="en-US" w:eastAsia="zh-CN"/>
        </w:rPr>
        <w:t>检验项目</w:t>
      </w:r>
    </w:p>
    <w:tbl>
      <w:tblPr>
        <w:tblStyle w:val="12"/>
        <w:tblW w:w="855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3140"/>
        <w:gridCol w:w="2082"/>
        <w:gridCol w:w="24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00"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序号</w:t>
            </w:r>
          </w:p>
        </w:tc>
        <w:tc>
          <w:tcPr>
            <w:tcW w:w="3140"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检验项目</w:t>
            </w:r>
          </w:p>
        </w:tc>
        <w:tc>
          <w:tcPr>
            <w:tcW w:w="2082"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执行标准</w:t>
            </w:r>
          </w:p>
        </w:tc>
        <w:tc>
          <w:tcPr>
            <w:tcW w:w="2431"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00"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314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标识和说明</w:t>
            </w:r>
          </w:p>
        </w:tc>
        <w:tc>
          <w:tcPr>
            <w:tcW w:w="2082" w:type="dxa"/>
            <w:vMerge w:val="restart"/>
            <w:noWrap w:val="0"/>
            <w:vAlign w:val="center"/>
          </w:tcPr>
          <w:p>
            <w:pPr>
              <w:pStyle w:val="26"/>
              <w:spacing w:before="133"/>
              <w:ind w:left="111"/>
              <w:jc w:val="center"/>
              <w:rPr>
                <w:rFonts w:hint="eastAsia" w:ascii="宋体" w:hAnsi="宋体" w:eastAsia="宋体" w:cs="宋体"/>
                <w:color w:val="auto"/>
                <w:sz w:val="21"/>
                <w:szCs w:val="21"/>
              </w:rPr>
            </w:pPr>
            <w:r>
              <w:rPr>
                <w:rFonts w:hint="eastAsia" w:ascii="宋体" w:hAnsi="宋体" w:eastAsia="宋体" w:cs="宋体"/>
                <w:color w:val="auto"/>
                <w:sz w:val="21"/>
                <w:szCs w:val="21"/>
              </w:rPr>
              <w:t>GB 19865-2005</w:t>
            </w:r>
          </w:p>
        </w:tc>
        <w:tc>
          <w:tcPr>
            <w:tcW w:w="2431"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00"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2</w:t>
            </w:r>
          </w:p>
        </w:tc>
        <w:tc>
          <w:tcPr>
            <w:tcW w:w="314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输入功率</w:t>
            </w:r>
          </w:p>
        </w:tc>
        <w:tc>
          <w:tcPr>
            <w:tcW w:w="2082" w:type="dxa"/>
            <w:vMerge w:val="continue"/>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eastAsia="zh-CN"/>
              </w:rPr>
            </w:pPr>
          </w:p>
        </w:tc>
        <w:tc>
          <w:tcPr>
            <w:tcW w:w="2431"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00"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3</w:t>
            </w:r>
          </w:p>
        </w:tc>
        <w:tc>
          <w:tcPr>
            <w:tcW w:w="314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机械强度</w:t>
            </w:r>
          </w:p>
        </w:tc>
        <w:tc>
          <w:tcPr>
            <w:tcW w:w="2082" w:type="dxa"/>
            <w:vMerge w:val="continue"/>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eastAsia="zh-CN"/>
              </w:rPr>
            </w:pPr>
          </w:p>
        </w:tc>
        <w:tc>
          <w:tcPr>
            <w:tcW w:w="2431" w:type="dxa"/>
            <w:noWrap w:val="0"/>
            <w:vAlign w:val="center"/>
          </w:tcPr>
          <w:p>
            <w:pPr>
              <w:pStyle w:val="6"/>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00"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4</w:t>
            </w:r>
          </w:p>
        </w:tc>
        <w:tc>
          <w:tcPr>
            <w:tcW w:w="314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结构</w:t>
            </w:r>
          </w:p>
        </w:tc>
        <w:tc>
          <w:tcPr>
            <w:tcW w:w="2082" w:type="dxa"/>
            <w:vMerge w:val="continue"/>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eastAsia="zh-CN"/>
              </w:rPr>
            </w:pPr>
          </w:p>
        </w:tc>
        <w:tc>
          <w:tcPr>
            <w:tcW w:w="2431" w:type="dxa"/>
            <w:noWrap w:val="0"/>
            <w:vAlign w:val="center"/>
          </w:tcPr>
          <w:p>
            <w:pPr>
              <w:adjustRightInd w:val="0"/>
              <w:snapToGrid w:val="0"/>
              <w:jc w:val="center"/>
              <w:rPr>
                <w:rFonts w:hint="eastAsia" w:ascii="宋体" w:hAnsi="宋体" w:eastAsia="宋体" w:cs="宋体"/>
                <w:color w:val="auto"/>
                <w:sz w:val="21"/>
                <w:szCs w:val="21"/>
              </w:rPr>
            </w:pPr>
            <w:r>
              <w:rPr>
                <w:rFonts w:hint="eastAsia" w:ascii="宋体" w:hAnsi="宋体" w:eastAsia="宋体" w:cs="宋体"/>
                <w:color w:val="auto"/>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00" w:type="dxa"/>
            <w:noWrap w:val="0"/>
            <w:vAlign w:val="center"/>
          </w:tcPr>
          <w:p>
            <w:pPr>
              <w:keepNext w:val="0"/>
              <w:keepLines w:val="0"/>
              <w:widowControl/>
              <w:suppressLineNumbers w:val="0"/>
              <w:jc w:val="center"/>
              <w:textAlignment w:val="center"/>
              <w:rPr>
                <w:rFonts w:hint="eastAsia" w:ascii="宋体" w:hAnsi="宋体" w:eastAsia="宋体" w:cs="宋体"/>
                <w:color w:val="auto"/>
                <w:sz w:val="21"/>
                <w:szCs w:val="21"/>
                <w:lang w:val="en-US" w:eastAsia="zh-CN"/>
              </w:rPr>
            </w:pPr>
            <w:r>
              <w:rPr>
                <w:rFonts w:hint="eastAsia" w:ascii="宋体" w:hAnsi="宋体" w:eastAsia="宋体" w:cs="宋体"/>
                <w:i w:val="0"/>
                <w:iCs w:val="0"/>
                <w:color w:val="000000"/>
                <w:kern w:val="0"/>
                <w:sz w:val="21"/>
                <w:szCs w:val="21"/>
                <w:u w:val="none"/>
                <w:lang w:val="en-US" w:eastAsia="zh-CN" w:bidi="ar"/>
              </w:rPr>
              <w:t>5</w:t>
            </w:r>
          </w:p>
        </w:tc>
        <w:tc>
          <w:tcPr>
            <w:tcW w:w="314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软线和电线的保护</w:t>
            </w:r>
          </w:p>
        </w:tc>
        <w:tc>
          <w:tcPr>
            <w:tcW w:w="2082" w:type="dxa"/>
            <w:vMerge w:val="continue"/>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eastAsia="zh-CN"/>
              </w:rPr>
            </w:pPr>
          </w:p>
        </w:tc>
        <w:tc>
          <w:tcPr>
            <w:tcW w:w="2431"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rPr>
              <w:t>GB 19865-2005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90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3140"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lang w:val="zh-CN" w:eastAsia="zh-CN" w:bidi="zh-CN"/>
              </w:rPr>
            </w:pPr>
            <w:r>
              <w:rPr>
                <w:rFonts w:hint="eastAsia" w:ascii="宋体" w:hAnsi="宋体" w:eastAsia="宋体" w:cs="宋体"/>
                <w:i w:val="0"/>
                <w:iCs w:val="0"/>
                <w:color w:val="000000"/>
                <w:kern w:val="0"/>
                <w:sz w:val="21"/>
                <w:szCs w:val="21"/>
                <w:u w:val="none"/>
                <w:lang w:val="en-US" w:eastAsia="zh-CN" w:bidi="ar"/>
              </w:rPr>
              <w:t>螺钉和连接</w:t>
            </w:r>
          </w:p>
        </w:tc>
        <w:tc>
          <w:tcPr>
            <w:tcW w:w="2082" w:type="dxa"/>
            <w:vMerge w:val="continue"/>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lang w:eastAsia="zh-CN"/>
              </w:rPr>
            </w:pPr>
          </w:p>
        </w:tc>
        <w:tc>
          <w:tcPr>
            <w:tcW w:w="2431" w:type="dxa"/>
            <w:noWrap w:val="0"/>
            <w:vAlign w:val="center"/>
          </w:tcPr>
          <w:p>
            <w:pPr>
              <w:keepNext w:val="0"/>
              <w:keepLines w:val="0"/>
              <w:pageBreakBefore w:val="0"/>
              <w:kinsoku/>
              <w:wordWrap/>
              <w:overflowPunct/>
              <w:topLinePunct w:val="0"/>
              <w:autoSpaceDE/>
              <w:autoSpaceDN/>
              <w:bidi w:val="0"/>
              <w:snapToGrid w:val="0"/>
              <w:spacing w:line="240" w:lineRule="auto"/>
              <w:jc w:val="center"/>
              <w:textAlignment w:val="auto"/>
              <w:rPr>
                <w:rFonts w:hint="eastAsia" w:ascii="宋体" w:hAnsi="宋体" w:eastAsia="宋体" w:cs="宋体"/>
                <w:color w:val="auto"/>
                <w:kern w:val="2"/>
                <w:sz w:val="21"/>
                <w:szCs w:val="21"/>
                <w:lang w:val="en-US" w:eastAsia="zh-CN"/>
              </w:rPr>
            </w:pPr>
            <w:r>
              <w:rPr>
                <w:rFonts w:hint="eastAsia" w:ascii="宋体" w:hAnsi="宋体" w:eastAsia="宋体" w:cs="宋体"/>
                <w:color w:val="auto"/>
                <w:sz w:val="21"/>
                <w:szCs w:val="21"/>
              </w:rPr>
              <w:t>GB 19865-2005</w:t>
            </w:r>
          </w:p>
        </w:tc>
      </w:tr>
    </w:tbl>
    <w:p>
      <w:pPr>
        <w:keepNext w:val="0"/>
        <w:keepLines w:val="0"/>
        <w:pageBreakBefore w:val="0"/>
        <w:shd w:val="clea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lang w:val="en-US" w:eastAsia="zh-CN"/>
        </w:rPr>
      </w:pPr>
    </w:p>
    <w:p>
      <w:pPr>
        <w:keepNext w:val="0"/>
        <w:keepLines w:val="0"/>
        <w:pageBreakBefore w:val="0"/>
        <w:shd w:val="clear"/>
        <w:kinsoku/>
        <w:wordWrap/>
        <w:overflowPunct/>
        <w:topLinePunct w:val="0"/>
        <w:autoSpaceDE/>
        <w:autoSpaceDN/>
        <w:bidi w:val="0"/>
        <w:adjustRightInd w:val="0"/>
        <w:snapToGrid w:val="0"/>
        <w:spacing w:line="36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表2</w:t>
      </w:r>
      <w:r>
        <w:rPr>
          <w:rFonts w:hint="eastAsia" w:ascii="宋体" w:hAnsi="宋体" w:cs="宋体"/>
          <w:color w:val="auto"/>
          <w:sz w:val="21"/>
          <w:szCs w:val="21"/>
          <w:highlight w:val="none"/>
          <w:lang w:eastAsia="zh-CN"/>
        </w:rPr>
        <w:t>塑料</w:t>
      </w:r>
      <w:r>
        <w:rPr>
          <w:rFonts w:hint="eastAsia" w:ascii="宋体" w:hAnsi="宋体" w:eastAsia="宋体" w:cs="宋体"/>
          <w:color w:val="auto"/>
          <w:sz w:val="21"/>
          <w:szCs w:val="21"/>
          <w:highlight w:val="none"/>
        </w:rPr>
        <w:t>玩具</w:t>
      </w:r>
      <w:r>
        <w:rPr>
          <w:rFonts w:hint="eastAsia" w:ascii="宋体" w:hAnsi="宋体" w:eastAsia="宋体" w:cs="宋体"/>
          <w:color w:val="auto"/>
          <w:sz w:val="21"/>
          <w:szCs w:val="21"/>
          <w:highlight w:val="none"/>
          <w:lang w:val="en-US" w:eastAsia="zh-CN"/>
        </w:rPr>
        <w:t>检验项目</w:t>
      </w:r>
    </w:p>
    <w:tbl>
      <w:tblPr>
        <w:tblStyle w:val="12"/>
        <w:tblW w:w="856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3485"/>
        <w:gridCol w:w="2015"/>
        <w:gridCol w:w="22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2" w:hRule="atLeast"/>
          <w:jc w:val="center"/>
        </w:trPr>
        <w:tc>
          <w:tcPr>
            <w:tcW w:w="817"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序号</w:t>
            </w:r>
          </w:p>
        </w:tc>
        <w:tc>
          <w:tcPr>
            <w:tcW w:w="3485"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检验项目</w:t>
            </w:r>
          </w:p>
        </w:tc>
        <w:tc>
          <w:tcPr>
            <w:tcW w:w="2015"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执行标准</w:t>
            </w:r>
          </w:p>
        </w:tc>
        <w:tc>
          <w:tcPr>
            <w:tcW w:w="2248" w:type="dxa"/>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检验方法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rPr>
            </w:pPr>
            <w:r>
              <w:rPr>
                <w:rFonts w:hint="eastAsia" w:ascii="宋体" w:hAnsi="宋体" w:eastAsia="宋体" w:cs="宋体"/>
                <w:i w:val="0"/>
                <w:iCs w:val="0"/>
                <w:color w:val="000000"/>
                <w:kern w:val="0"/>
                <w:sz w:val="21"/>
                <w:szCs w:val="21"/>
                <w:u w:val="none"/>
                <w:lang w:val="en-US" w:eastAsia="zh-CN" w:bidi="ar"/>
              </w:rPr>
              <w:t>1</w:t>
            </w:r>
          </w:p>
        </w:tc>
        <w:tc>
          <w:tcPr>
            <w:tcW w:w="3485"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i w:val="0"/>
                <w:iCs w:val="0"/>
                <w:color w:val="000000"/>
                <w:kern w:val="0"/>
                <w:sz w:val="21"/>
                <w:szCs w:val="21"/>
                <w:u w:val="none"/>
                <w:lang w:val="en-US" w:eastAsia="zh-CN" w:bidi="ar"/>
              </w:rPr>
              <w:t>可预见的合理滥用</w:t>
            </w:r>
          </w:p>
        </w:tc>
        <w:tc>
          <w:tcPr>
            <w:tcW w:w="2015" w:type="dxa"/>
            <w:vMerge w:val="restart"/>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 6675.1-2014</w:t>
            </w:r>
          </w:p>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 6675.2-2014</w:t>
            </w:r>
          </w:p>
        </w:tc>
        <w:tc>
          <w:tcPr>
            <w:tcW w:w="2248" w:type="dxa"/>
            <w:noWrap w:val="0"/>
            <w:vAlign w:val="center"/>
          </w:tcPr>
          <w:p>
            <w:pPr>
              <w:keepNext w:val="0"/>
              <w:keepLines w:val="0"/>
              <w:widowControl/>
              <w:suppressLineNumbers w:val="0"/>
              <w:jc w:val="center"/>
              <w:textAlignment w:val="bottom"/>
              <w:rPr>
                <w:rFonts w:hint="eastAsia" w:ascii="宋体" w:hAnsi="宋体" w:eastAsia="宋体" w:cs="宋体"/>
                <w:i w:val="0"/>
                <w:iCs w:val="0"/>
                <w:color w:val="auto"/>
                <w:kern w:val="2"/>
                <w:sz w:val="21"/>
                <w:szCs w:val="21"/>
                <w:u w:val="none"/>
                <w:lang w:val="en-US" w:eastAsia="zh-CN" w:bidi="ar-SA"/>
              </w:rPr>
            </w:pPr>
            <w:r>
              <w:rPr>
                <w:rFonts w:hint="eastAsia" w:ascii="宋体" w:hAnsi="宋体" w:eastAsia="宋体" w:cs="宋体"/>
                <w:color w:val="auto"/>
                <w:sz w:val="21"/>
                <w:szCs w:val="21"/>
                <w:highlight w:val="none"/>
                <w:lang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2</w:t>
            </w:r>
          </w:p>
        </w:tc>
        <w:tc>
          <w:tcPr>
            <w:tcW w:w="3485"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i w:val="0"/>
                <w:iCs w:val="0"/>
                <w:color w:val="000000"/>
                <w:kern w:val="0"/>
                <w:sz w:val="21"/>
                <w:szCs w:val="21"/>
                <w:u w:val="none"/>
                <w:lang w:val="en-US" w:eastAsia="zh-CN" w:bidi="ar"/>
              </w:rPr>
              <w:t>材料</w:t>
            </w:r>
          </w:p>
        </w:tc>
        <w:tc>
          <w:tcPr>
            <w:tcW w:w="2015"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48" w:type="dxa"/>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3</w:t>
            </w:r>
          </w:p>
        </w:tc>
        <w:tc>
          <w:tcPr>
            <w:tcW w:w="3485"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i w:val="0"/>
                <w:iCs w:val="0"/>
                <w:color w:val="000000"/>
                <w:kern w:val="0"/>
                <w:sz w:val="21"/>
                <w:szCs w:val="21"/>
                <w:u w:val="none"/>
                <w:lang w:val="en-US" w:eastAsia="zh-CN" w:bidi="ar"/>
              </w:rPr>
              <w:t>小零件</w:t>
            </w:r>
          </w:p>
        </w:tc>
        <w:tc>
          <w:tcPr>
            <w:tcW w:w="2015"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48" w:type="dxa"/>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4</w:t>
            </w:r>
          </w:p>
        </w:tc>
        <w:tc>
          <w:tcPr>
            <w:tcW w:w="3485"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i w:val="0"/>
                <w:iCs w:val="0"/>
                <w:color w:val="000000"/>
                <w:kern w:val="0"/>
                <w:sz w:val="21"/>
                <w:szCs w:val="21"/>
                <w:u w:val="none"/>
                <w:lang w:val="en-US" w:eastAsia="zh-CN" w:bidi="ar"/>
              </w:rPr>
              <w:t>边缘</w:t>
            </w:r>
          </w:p>
        </w:tc>
        <w:tc>
          <w:tcPr>
            <w:tcW w:w="2015"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48" w:type="dxa"/>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5</w:t>
            </w:r>
          </w:p>
        </w:tc>
        <w:tc>
          <w:tcPr>
            <w:tcW w:w="3485"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i w:val="0"/>
                <w:iCs w:val="0"/>
                <w:color w:val="000000"/>
                <w:kern w:val="0"/>
                <w:sz w:val="21"/>
                <w:szCs w:val="21"/>
                <w:u w:val="none"/>
                <w:lang w:val="en-US" w:eastAsia="zh-CN" w:bidi="ar"/>
              </w:rPr>
              <w:t>尖端</w:t>
            </w:r>
          </w:p>
        </w:tc>
        <w:tc>
          <w:tcPr>
            <w:tcW w:w="2015"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48" w:type="dxa"/>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6</w:t>
            </w:r>
          </w:p>
        </w:tc>
        <w:tc>
          <w:tcPr>
            <w:tcW w:w="3485"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i w:val="0"/>
                <w:iCs w:val="0"/>
                <w:color w:val="000000"/>
                <w:kern w:val="0"/>
                <w:sz w:val="21"/>
                <w:szCs w:val="21"/>
                <w:u w:val="none"/>
                <w:lang w:val="en-US" w:eastAsia="zh-CN" w:bidi="ar"/>
              </w:rPr>
              <w:t>突出部件</w:t>
            </w:r>
          </w:p>
        </w:tc>
        <w:tc>
          <w:tcPr>
            <w:tcW w:w="2015"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48" w:type="dxa"/>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 6675.2-2014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17" w:type="dxa"/>
            <w:noWrap w:val="0"/>
            <w:vAlign w:val="center"/>
          </w:tcPr>
          <w:p>
            <w:pPr>
              <w:keepNext w:val="0"/>
              <w:keepLines w:val="0"/>
              <w:widowControl/>
              <w:suppressLineNumbers w:val="0"/>
              <w:jc w:val="center"/>
              <w:textAlignment w:val="center"/>
              <w:rPr>
                <w:rFonts w:hint="eastAsia" w:ascii="宋体" w:hAnsi="宋体" w:eastAsia="宋体" w:cs="宋体"/>
                <w:color w:val="auto"/>
                <w:kern w:val="0"/>
                <w:sz w:val="21"/>
                <w:szCs w:val="21"/>
                <w:highlight w:val="none"/>
                <w:lang w:val="en-US" w:eastAsia="zh-CN" w:bidi="ar-SA"/>
              </w:rPr>
            </w:pPr>
            <w:r>
              <w:rPr>
                <w:rFonts w:hint="eastAsia" w:ascii="宋体" w:hAnsi="宋体" w:eastAsia="宋体" w:cs="宋体"/>
                <w:i w:val="0"/>
                <w:iCs w:val="0"/>
                <w:color w:val="000000"/>
                <w:kern w:val="0"/>
                <w:sz w:val="21"/>
                <w:szCs w:val="21"/>
                <w:u w:val="none"/>
                <w:lang w:val="en-US" w:eastAsia="zh-CN" w:bidi="ar"/>
              </w:rPr>
              <w:t>7</w:t>
            </w:r>
          </w:p>
        </w:tc>
        <w:tc>
          <w:tcPr>
            <w:tcW w:w="3485" w:type="dxa"/>
            <w:noWrap w:val="0"/>
            <w:vAlign w:val="center"/>
          </w:tcPr>
          <w:p>
            <w:pPr>
              <w:keepNext w:val="0"/>
              <w:keepLines w:val="0"/>
              <w:widowControl/>
              <w:suppressLineNumbers w:val="0"/>
              <w:jc w:val="center"/>
              <w:textAlignment w:val="center"/>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i w:val="0"/>
                <w:iCs w:val="0"/>
                <w:color w:val="000000"/>
                <w:kern w:val="0"/>
                <w:sz w:val="21"/>
                <w:szCs w:val="21"/>
                <w:u w:val="none"/>
                <w:lang w:val="en-US" w:eastAsia="zh-CN" w:bidi="ar"/>
              </w:rPr>
              <w:t>孔、间隙、机械装置的可触及性</w:t>
            </w:r>
          </w:p>
        </w:tc>
        <w:tc>
          <w:tcPr>
            <w:tcW w:w="2015" w:type="dxa"/>
            <w:vMerge w:val="continue"/>
            <w:noWrap w:val="0"/>
            <w:vAlign w:val="center"/>
          </w:tcPr>
          <w:p>
            <w:pPr>
              <w:keepNext w:val="0"/>
              <w:keepLines w:val="0"/>
              <w:pageBreakBefore w:val="0"/>
              <w:shd w:val="clear"/>
              <w:kinsoku/>
              <w:wordWrap/>
              <w:overflowPunct/>
              <w:topLinePunct w:val="0"/>
              <w:autoSpaceDE/>
              <w:autoSpaceDN/>
              <w:bidi w:val="0"/>
              <w:snapToGrid w:val="0"/>
              <w:spacing w:line="240" w:lineRule="auto"/>
              <w:jc w:val="center"/>
              <w:textAlignment w:val="auto"/>
              <w:rPr>
                <w:rFonts w:hint="eastAsia" w:ascii="宋体" w:hAnsi="宋体" w:eastAsia="宋体" w:cs="宋体"/>
                <w:color w:val="auto"/>
                <w:sz w:val="21"/>
                <w:szCs w:val="21"/>
                <w:highlight w:val="none"/>
                <w:lang w:eastAsia="zh-CN"/>
              </w:rPr>
            </w:pPr>
          </w:p>
        </w:tc>
        <w:tc>
          <w:tcPr>
            <w:tcW w:w="2248" w:type="dxa"/>
            <w:noWrap w:val="0"/>
            <w:vAlign w:val="center"/>
          </w:tcPr>
          <w:p>
            <w:pPr>
              <w:keepNext w:val="0"/>
              <w:keepLines w:val="0"/>
              <w:widowControl/>
              <w:suppressLineNumbers w:val="0"/>
              <w:jc w:val="center"/>
              <w:textAlignment w:val="bottom"/>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GB 6675.2-2014</w:t>
            </w:r>
          </w:p>
        </w:tc>
      </w:tr>
    </w:tbl>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执行企业标准、团体标准、地方标准的产品，检验项目参照上述内容执行。</w:t>
      </w:r>
      <w:bookmarkEnd w:id="0"/>
    </w:p>
    <w:p>
      <w:pPr>
        <w:keepNext w:val="0"/>
        <w:keepLines w:val="0"/>
        <w:pageBreakBefore w:val="0"/>
        <w:widowControl w:val="0"/>
        <w:kinsoku/>
        <w:wordWrap/>
        <w:overflowPunct/>
        <w:topLinePunct w:val="0"/>
        <w:autoSpaceDE/>
        <w:autoSpaceDN/>
        <w:bidi w:val="0"/>
        <w:snapToGrid w:val="0"/>
        <w:spacing w:line="440" w:lineRule="exact"/>
        <w:ind w:firstLine="359" w:firstLineChars="171"/>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凡是注日期的文件，其随后所有的修改单（不包括勘误的内容）或修订版不适用于本细则。凡是不注日期的文件，其最新版本适用于本细则。</w:t>
      </w:r>
    </w:p>
    <w:p>
      <w:pPr>
        <w:keepNext w:val="0"/>
        <w:keepLines w:val="0"/>
        <w:pageBreakBefore w:val="0"/>
        <w:widowControl w:val="0"/>
        <w:kinsoku/>
        <w:wordWrap/>
        <w:overflowPunct/>
        <w:topLinePunct w:val="0"/>
        <w:autoSpaceDE/>
        <w:autoSpaceDN/>
        <w:bidi w:val="0"/>
        <w:snapToGrid w:val="0"/>
        <w:spacing w:beforeLines="50" w:line="440" w:lineRule="exact"/>
        <w:textAlignment w:val="auto"/>
        <w:rPr>
          <w:rFonts w:hint="eastAsia" w:ascii="宋体" w:hAnsi="宋体" w:eastAsia="宋体" w:cs="宋体"/>
          <w:b/>
          <w:bCs/>
          <w:color w:val="000000"/>
          <w:sz w:val="21"/>
          <w:szCs w:val="21"/>
        </w:rPr>
      </w:pPr>
      <w:r>
        <w:rPr>
          <w:rFonts w:hint="eastAsia" w:ascii="宋体" w:hAnsi="宋体" w:eastAsia="宋体" w:cs="宋体"/>
          <w:b/>
          <w:bCs/>
          <w:color w:val="000000"/>
          <w:sz w:val="21"/>
          <w:szCs w:val="21"/>
        </w:rPr>
        <w:t>3 判定规则</w:t>
      </w: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3.1依据标准</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GB 19865-2005电玩具的安全</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GB 6675.1-2014玩具安全 第1部分：基本规范</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rPr>
      </w:pPr>
      <w:r>
        <w:rPr>
          <w:rFonts w:hint="eastAsia" w:ascii="宋体" w:hAnsi="宋体" w:eastAsia="宋体" w:cs="宋体"/>
          <w:color w:val="000000"/>
          <w:sz w:val="21"/>
          <w:szCs w:val="21"/>
          <w:lang w:eastAsia="zh-CN"/>
        </w:rPr>
        <w:t>GB 6675.2-2014玩具安全 第2部分：机械与物理性能</w:t>
      </w:r>
    </w:p>
    <w:p>
      <w:pPr>
        <w:keepNext w:val="0"/>
        <w:keepLines w:val="0"/>
        <w:pageBreakBefore w:val="0"/>
        <w:widowControl w:val="0"/>
        <w:kinsoku/>
        <w:wordWrap/>
        <w:overflowPunct/>
        <w:topLinePunct w:val="0"/>
        <w:autoSpaceDE/>
        <w:autoSpaceDN/>
        <w:bidi w:val="0"/>
        <w:adjustRightInd w:val="0"/>
        <w:snapToGrid w:val="0"/>
        <w:spacing w:line="440" w:lineRule="exact"/>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auto"/>
          <w:sz w:val="21"/>
          <w:szCs w:val="21"/>
          <w:lang w:eastAsia="zh-CN"/>
        </w:rPr>
        <w:t>现行有效的企业标准、团体标准、地方标准及产品明示质量</w:t>
      </w:r>
      <w:r>
        <w:rPr>
          <w:rFonts w:hint="eastAsia" w:ascii="宋体" w:hAnsi="宋体" w:eastAsia="宋体" w:cs="宋体"/>
          <w:color w:val="000000"/>
          <w:sz w:val="21"/>
          <w:szCs w:val="21"/>
          <w:lang w:eastAsia="zh-CN"/>
        </w:rPr>
        <w:t>要求</w:t>
      </w:r>
    </w:p>
    <w:p>
      <w:pPr>
        <w:keepNext w:val="0"/>
        <w:keepLines w:val="0"/>
        <w:pageBreakBefore w:val="0"/>
        <w:widowControl w:val="0"/>
        <w:kinsoku/>
        <w:wordWrap/>
        <w:overflowPunct/>
        <w:topLinePunct w:val="0"/>
        <w:autoSpaceDE/>
        <w:autoSpaceDN/>
        <w:bidi w:val="0"/>
        <w:snapToGrid w:val="0"/>
        <w:spacing w:line="440" w:lineRule="exact"/>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3.2判定原则</w:t>
      </w:r>
    </w:p>
    <w:p>
      <w:pPr>
        <w:keepNext w:val="0"/>
        <w:keepLines w:val="0"/>
        <w:pageBreakBefore w:val="0"/>
        <w:widowControl w:val="0"/>
        <w:kinsoku/>
        <w:wordWrap/>
        <w:overflowPunct/>
        <w:topLinePunct w:val="0"/>
        <w:autoSpaceDE/>
        <w:autoSpaceDN/>
        <w:bidi w:val="0"/>
        <w:snapToGrid w:val="0"/>
        <w:spacing w:line="44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经检验，检验项目全部合格，判定为被抽查产品合格；检验项目中任一项或一项以上不合格，判定为被抽查产品不合格。</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若被检产品明示的质量要求高于本细则中检验项目依据的标准要求时，应按被检产品明示的质量要求判定。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若被检产品明示的质量要求低于或包含本细则中检验项目依据的推荐性标准要求时，应以被检产品明示的质量要求判定。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若被检产品明示的质量要求缺少本细则中检验项目依据的强制性标准要求时，应按照强制性标准要求判定。</w:t>
      </w:r>
    </w:p>
    <w:p>
      <w:pPr>
        <w:keepNext w:val="0"/>
        <w:keepLines w:val="0"/>
        <w:pageBreakBefore w:val="0"/>
        <w:widowControl w:val="0"/>
        <w:kinsoku/>
        <w:wordWrap/>
        <w:overflowPunct/>
        <w:topLinePunct w:val="0"/>
        <w:autoSpaceDE/>
        <w:autoSpaceDN/>
        <w:bidi w:val="0"/>
        <w:snapToGrid w:val="0"/>
        <w:spacing w:line="440" w:lineRule="exact"/>
        <w:ind w:firstLine="417" w:firstLineChars="199"/>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若被检产品明示的质量要求缺少本细则中检验项目依据的推荐性标准要求时，该项目不参与判定。</w:t>
      </w:r>
    </w:p>
    <w:sectPr>
      <w:headerReference r:id="rId3" w:type="default"/>
      <w:footerReference r:id="rId4" w:type="default"/>
      <w:pgSz w:w="11906" w:h="16838"/>
      <w:pgMar w:top="1985" w:right="1474" w:bottom="1644" w:left="1474" w:header="851" w:footer="1191"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jc w:val="center"/>
      <w:rPr>
        <w:rFonts w:ascii="宋体" w:cs="宋体"/>
        <w:sz w:val="21"/>
        <w:szCs w:val="21"/>
      </w:rPr>
    </w:pPr>
    <w:r>
      <w:rPr>
        <w:rFonts w:ascii="宋体" w:hAnsi="宋体" w:cs="宋体"/>
        <w:sz w:val="21"/>
        <w:szCs w:val="21"/>
        <w:lang w:val="zh-CN"/>
      </w:rPr>
      <w:fldChar w:fldCharType="begin"/>
    </w:r>
    <w:r>
      <w:rPr>
        <w:rFonts w:ascii="宋体" w:hAnsi="宋体" w:cs="宋体"/>
        <w:sz w:val="21"/>
        <w:szCs w:val="21"/>
        <w:lang w:val="zh-CN"/>
      </w:rPr>
      <w:instrText xml:space="preserve"> PAGE   \* MERGEFORMAT </w:instrText>
    </w:r>
    <w:r>
      <w:rPr>
        <w:rFonts w:ascii="宋体" w:hAnsi="宋体" w:cs="宋体"/>
        <w:sz w:val="21"/>
        <w:szCs w:val="21"/>
        <w:lang w:val="zh-CN"/>
      </w:rPr>
      <w:fldChar w:fldCharType="separate"/>
    </w:r>
    <w:r>
      <w:rPr>
        <w:rFonts w:ascii="宋体" w:hAnsi="宋体" w:cs="宋体"/>
        <w:sz w:val="21"/>
        <w:szCs w:val="21"/>
        <w:lang w:val="en-US"/>
      </w:rPr>
      <w:t>1</w:t>
    </w:r>
    <w:r>
      <w:rPr>
        <w:rFonts w:ascii="宋体" w:hAnsi="宋体" w:cs="宋体"/>
        <w:sz w:val="21"/>
        <w:szCs w:val="21"/>
        <w:lang w:val="zh-CN"/>
      </w:rPr>
      <w:fldChar w:fldCharType="end"/>
    </w:r>
  </w:p>
  <w:p>
    <w:pPr>
      <w:pStyle w:val="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SystemFonts/>
  <w:bordersDoNotSurroundHeader w:val="0"/>
  <w:bordersDoNotSurroundFooter w:val="0"/>
  <w:doNotTrackMoves/>
  <w:documentProtection w:enforcement="0"/>
  <w:defaultTabStop w:val="420"/>
  <w:doNotHyphenateCaps/>
  <w:drawingGridVerticalSpacing w:val="156"/>
  <w:displayHorizontalDrawingGridEvery w:val="1"/>
  <w:displayVerticalDrawingGridEvery w:val="1"/>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doNotUseIndentAsNumberingTabStop/>
    <w:useAltKinsokuLineBreakRules/>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ZjODJmOTI5YzA3OGRlODVhN2RkMmE5ZTliNTUyYmMifQ=="/>
  </w:docVars>
  <w:rsids>
    <w:rsidRoot w:val="00172A27"/>
    <w:rsid w:val="00042073"/>
    <w:rsid w:val="00044395"/>
    <w:rsid w:val="00051A44"/>
    <w:rsid w:val="00067341"/>
    <w:rsid w:val="00075F11"/>
    <w:rsid w:val="00081CBD"/>
    <w:rsid w:val="00094077"/>
    <w:rsid w:val="000976DE"/>
    <w:rsid w:val="000B4710"/>
    <w:rsid w:val="000D3400"/>
    <w:rsid w:val="000D5D4E"/>
    <w:rsid w:val="000E6F29"/>
    <w:rsid w:val="000F03DF"/>
    <w:rsid w:val="000F3729"/>
    <w:rsid w:val="00145507"/>
    <w:rsid w:val="0015727A"/>
    <w:rsid w:val="00164FF8"/>
    <w:rsid w:val="001710C3"/>
    <w:rsid w:val="00172A27"/>
    <w:rsid w:val="001809DD"/>
    <w:rsid w:val="00194335"/>
    <w:rsid w:val="001B6212"/>
    <w:rsid w:val="001C1BB2"/>
    <w:rsid w:val="001E2620"/>
    <w:rsid w:val="001E5FEE"/>
    <w:rsid w:val="002209DD"/>
    <w:rsid w:val="002301B8"/>
    <w:rsid w:val="00235A62"/>
    <w:rsid w:val="0025350A"/>
    <w:rsid w:val="00253624"/>
    <w:rsid w:val="002619B0"/>
    <w:rsid w:val="002623DD"/>
    <w:rsid w:val="0027151F"/>
    <w:rsid w:val="002A5458"/>
    <w:rsid w:val="002B5408"/>
    <w:rsid w:val="002D3385"/>
    <w:rsid w:val="002D4076"/>
    <w:rsid w:val="002D7F8A"/>
    <w:rsid w:val="002E0D1D"/>
    <w:rsid w:val="002E792F"/>
    <w:rsid w:val="003203A3"/>
    <w:rsid w:val="0034769B"/>
    <w:rsid w:val="00357AC7"/>
    <w:rsid w:val="003640ED"/>
    <w:rsid w:val="003C388C"/>
    <w:rsid w:val="003E61BF"/>
    <w:rsid w:val="003F553F"/>
    <w:rsid w:val="004206DA"/>
    <w:rsid w:val="004437D9"/>
    <w:rsid w:val="00445E86"/>
    <w:rsid w:val="0046458B"/>
    <w:rsid w:val="00474E04"/>
    <w:rsid w:val="004A64B5"/>
    <w:rsid w:val="004C761F"/>
    <w:rsid w:val="004D0C5A"/>
    <w:rsid w:val="004E1396"/>
    <w:rsid w:val="004F555A"/>
    <w:rsid w:val="0051162F"/>
    <w:rsid w:val="00541BF7"/>
    <w:rsid w:val="00563EBC"/>
    <w:rsid w:val="00597FA2"/>
    <w:rsid w:val="005B0B4F"/>
    <w:rsid w:val="005F353F"/>
    <w:rsid w:val="006056EB"/>
    <w:rsid w:val="0061086F"/>
    <w:rsid w:val="00662229"/>
    <w:rsid w:val="006713D6"/>
    <w:rsid w:val="00692B5B"/>
    <w:rsid w:val="00693B8F"/>
    <w:rsid w:val="006971BF"/>
    <w:rsid w:val="006A4B8F"/>
    <w:rsid w:val="006F0971"/>
    <w:rsid w:val="00715923"/>
    <w:rsid w:val="0072334C"/>
    <w:rsid w:val="007235B4"/>
    <w:rsid w:val="007408F6"/>
    <w:rsid w:val="007652A4"/>
    <w:rsid w:val="007A39F0"/>
    <w:rsid w:val="007B5BD5"/>
    <w:rsid w:val="007C60F1"/>
    <w:rsid w:val="007E1E99"/>
    <w:rsid w:val="007E6900"/>
    <w:rsid w:val="007F047E"/>
    <w:rsid w:val="00822D40"/>
    <w:rsid w:val="008839CD"/>
    <w:rsid w:val="00895BEA"/>
    <w:rsid w:val="008A3497"/>
    <w:rsid w:val="008B2694"/>
    <w:rsid w:val="00902779"/>
    <w:rsid w:val="009100B4"/>
    <w:rsid w:val="00917A54"/>
    <w:rsid w:val="00990873"/>
    <w:rsid w:val="009A6948"/>
    <w:rsid w:val="00A43553"/>
    <w:rsid w:val="00A52698"/>
    <w:rsid w:val="00A66378"/>
    <w:rsid w:val="00A714C4"/>
    <w:rsid w:val="00A81A11"/>
    <w:rsid w:val="00AB406F"/>
    <w:rsid w:val="00AB5364"/>
    <w:rsid w:val="00AD1F0D"/>
    <w:rsid w:val="00B00A02"/>
    <w:rsid w:val="00B11BDC"/>
    <w:rsid w:val="00B21814"/>
    <w:rsid w:val="00B501D0"/>
    <w:rsid w:val="00B71C88"/>
    <w:rsid w:val="00B80796"/>
    <w:rsid w:val="00B90291"/>
    <w:rsid w:val="00BA3F4E"/>
    <w:rsid w:val="00BA571D"/>
    <w:rsid w:val="00BA612B"/>
    <w:rsid w:val="00BB6A5D"/>
    <w:rsid w:val="00BD1FD8"/>
    <w:rsid w:val="00C116DD"/>
    <w:rsid w:val="00C26074"/>
    <w:rsid w:val="00C61942"/>
    <w:rsid w:val="00C83B0A"/>
    <w:rsid w:val="00C94B32"/>
    <w:rsid w:val="00CA078C"/>
    <w:rsid w:val="00CE1E0C"/>
    <w:rsid w:val="00CE277E"/>
    <w:rsid w:val="00D02FE3"/>
    <w:rsid w:val="00D1749D"/>
    <w:rsid w:val="00D56867"/>
    <w:rsid w:val="00D822C3"/>
    <w:rsid w:val="00DE52A3"/>
    <w:rsid w:val="00DE59CE"/>
    <w:rsid w:val="00E02A7F"/>
    <w:rsid w:val="00E07880"/>
    <w:rsid w:val="00E207FA"/>
    <w:rsid w:val="00E60E75"/>
    <w:rsid w:val="00E72135"/>
    <w:rsid w:val="00E722A0"/>
    <w:rsid w:val="00E75D62"/>
    <w:rsid w:val="00E76709"/>
    <w:rsid w:val="00E76F36"/>
    <w:rsid w:val="00E82621"/>
    <w:rsid w:val="00ED4B24"/>
    <w:rsid w:val="00ED50EE"/>
    <w:rsid w:val="00F110BB"/>
    <w:rsid w:val="00F17854"/>
    <w:rsid w:val="00F36E11"/>
    <w:rsid w:val="00F61C45"/>
    <w:rsid w:val="00F77C9A"/>
    <w:rsid w:val="00F824D9"/>
    <w:rsid w:val="00F954E2"/>
    <w:rsid w:val="00FA2CA5"/>
    <w:rsid w:val="00FB576C"/>
    <w:rsid w:val="00FD2AA6"/>
    <w:rsid w:val="00FD6AFF"/>
    <w:rsid w:val="00FE7E8A"/>
    <w:rsid w:val="01004ACB"/>
    <w:rsid w:val="022655F4"/>
    <w:rsid w:val="04394E89"/>
    <w:rsid w:val="07455335"/>
    <w:rsid w:val="085E792F"/>
    <w:rsid w:val="09A6261B"/>
    <w:rsid w:val="09FC4E8C"/>
    <w:rsid w:val="0A061B9A"/>
    <w:rsid w:val="0A157CFC"/>
    <w:rsid w:val="0A5C6552"/>
    <w:rsid w:val="0C924F32"/>
    <w:rsid w:val="0CCD48BE"/>
    <w:rsid w:val="0E6D7CC2"/>
    <w:rsid w:val="0E9D3866"/>
    <w:rsid w:val="0EB600C0"/>
    <w:rsid w:val="0EE859DF"/>
    <w:rsid w:val="0F4C135D"/>
    <w:rsid w:val="1060257A"/>
    <w:rsid w:val="121E77F5"/>
    <w:rsid w:val="12AD17A2"/>
    <w:rsid w:val="135C6AE0"/>
    <w:rsid w:val="14403F37"/>
    <w:rsid w:val="14661880"/>
    <w:rsid w:val="15712886"/>
    <w:rsid w:val="15977161"/>
    <w:rsid w:val="15F1357D"/>
    <w:rsid w:val="160618C5"/>
    <w:rsid w:val="16F008C2"/>
    <w:rsid w:val="172376ED"/>
    <w:rsid w:val="174851B8"/>
    <w:rsid w:val="17C957B1"/>
    <w:rsid w:val="18F360E2"/>
    <w:rsid w:val="19CE37E7"/>
    <w:rsid w:val="1A4B03FB"/>
    <w:rsid w:val="1A951C05"/>
    <w:rsid w:val="1CA64FD4"/>
    <w:rsid w:val="1D6E57D3"/>
    <w:rsid w:val="1DC626DE"/>
    <w:rsid w:val="1F353E4A"/>
    <w:rsid w:val="1F6C40FF"/>
    <w:rsid w:val="20801925"/>
    <w:rsid w:val="210C148C"/>
    <w:rsid w:val="213F6706"/>
    <w:rsid w:val="21BE04B9"/>
    <w:rsid w:val="220F3EEC"/>
    <w:rsid w:val="22206785"/>
    <w:rsid w:val="235B16F9"/>
    <w:rsid w:val="23CA70BF"/>
    <w:rsid w:val="25651A24"/>
    <w:rsid w:val="25753316"/>
    <w:rsid w:val="25B87416"/>
    <w:rsid w:val="26212DDE"/>
    <w:rsid w:val="26497204"/>
    <w:rsid w:val="268D7140"/>
    <w:rsid w:val="27FB6E16"/>
    <w:rsid w:val="2A9443BD"/>
    <w:rsid w:val="2AEF6C27"/>
    <w:rsid w:val="2B35258B"/>
    <w:rsid w:val="2B5F5484"/>
    <w:rsid w:val="2CD05FD9"/>
    <w:rsid w:val="2D7B3776"/>
    <w:rsid w:val="2D8D6C1D"/>
    <w:rsid w:val="2E5D389C"/>
    <w:rsid w:val="2F045AE0"/>
    <w:rsid w:val="311C17EC"/>
    <w:rsid w:val="32C74F2A"/>
    <w:rsid w:val="337C47C4"/>
    <w:rsid w:val="34522BF0"/>
    <w:rsid w:val="34897229"/>
    <w:rsid w:val="353B5493"/>
    <w:rsid w:val="375515B4"/>
    <w:rsid w:val="3852702E"/>
    <w:rsid w:val="397D7B2F"/>
    <w:rsid w:val="3C8E106E"/>
    <w:rsid w:val="3E111FAD"/>
    <w:rsid w:val="3F0415FA"/>
    <w:rsid w:val="3F986345"/>
    <w:rsid w:val="409E3FCC"/>
    <w:rsid w:val="41932B9C"/>
    <w:rsid w:val="443B7E1A"/>
    <w:rsid w:val="44F97927"/>
    <w:rsid w:val="45BE672D"/>
    <w:rsid w:val="46B8256F"/>
    <w:rsid w:val="47CB736B"/>
    <w:rsid w:val="47E42D3C"/>
    <w:rsid w:val="48926E4B"/>
    <w:rsid w:val="489B1C01"/>
    <w:rsid w:val="49697220"/>
    <w:rsid w:val="4A9604C3"/>
    <w:rsid w:val="4AC22FAD"/>
    <w:rsid w:val="4BEF5B96"/>
    <w:rsid w:val="4D3E0715"/>
    <w:rsid w:val="509458C1"/>
    <w:rsid w:val="522E622F"/>
    <w:rsid w:val="524152A4"/>
    <w:rsid w:val="526145C3"/>
    <w:rsid w:val="533A400F"/>
    <w:rsid w:val="53C66440"/>
    <w:rsid w:val="53DB13D1"/>
    <w:rsid w:val="54CF67CC"/>
    <w:rsid w:val="550B30CE"/>
    <w:rsid w:val="550E5435"/>
    <w:rsid w:val="5513308D"/>
    <w:rsid w:val="55296CA0"/>
    <w:rsid w:val="55752566"/>
    <w:rsid w:val="558B7413"/>
    <w:rsid w:val="56717635"/>
    <w:rsid w:val="57B32CB8"/>
    <w:rsid w:val="58727DC0"/>
    <w:rsid w:val="58FE78A6"/>
    <w:rsid w:val="59485891"/>
    <w:rsid w:val="59635BFA"/>
    <w:rsid w:val="5A8262B5"/>
    <w:rsid w:val="5A846EBF"/>
    <w:rsid w:val="5ABD01F2"/>
    <w:rsid w:val="5AFC7317"/>
    <w:rsid w:val="5CBB6483"/>
    <w:rsid w:val="5E0B2391"/>
    <w:rsid w:val="5E167440"/>
    <w:rsid w:val="5E543AC4"/>
    <w:rsid w:val="5E9521B4"/>
    <w:rsid w:val="5F742670"/>
    <w:rsid w:val="5FE77CE8"/>
    <w:rsid w:val="60463280"/>
    <w:rsid w:val="60B74CE9"/>
    <w:rsid w:val="61135EB8"/>
    <w:rsid w:val="621974FF"/>
    <w:rsid w:val="62A11406"/>
    <w:rsid w:val="63C81B21"/>
    <w:rsid w:val="64C37830"/>
    <w:rsid w:val="64FE29DC"/>
    <w:rsid w:val="65633D8D"/>
    <w:rsid w:val="67F929C5"/>
    <w:rsid w:val="68612EB3"/>
    <w:rsid w:val="695011AA"/>
    <w:rsid w:val="6AFF3C8B"/>
    <w:rsid w:val="6B791C38"/>
    <w:rsid w:val="6BBF2EC5"/>
    <w:rsid w:val="6DD72BB3"/>
    <w:rsid w:val="6E0C6169"/>
    <w:rsid w:val="6E480D56"/>
    <w:rsid w:val="6F0F4163"/>
    <w:rsid w:val="6F2347E1"/>
    <w:rsid w:val="700115ED"/>
    <w:rsid w:val="70114AD2"/>
    <w:rsid w:val="71254F3C"/>
    <w:rsid w:val="714B0D57"/>
    <w:rsid w:val="71E748F5"/>
    <w:rsid w:val="733962DF"/>
    <w:rsid w:val="743A1F10"/>
    <w:rsid w:val="747A0265"/>
    <w:rsid w:val="74CE7542"/>
    <w:rsid w:val="757271D1"/>
    <w:rsid w:val="75B861D3"/>
    <w:rsid w:val="75BB472E"/>
    <w:rsid w:val="774848A6"/>
    <w:rsid w:val="77901972"/>
    <w:rsid w:val="78C849A6"/>
    <w:rsid w:val="7A9A25A5"/>
    <w:rsid w:val="7AEC7106"/>
    <w:rsid w:val="7B456D91"/>
    <w:rsid w:val="7BAE0860"/>
    <w:rsid w:val="7BDB07C8"/>
    <w:rsid w:val="7D684B35"/>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qFormat="1"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iPriority="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3">
    <w:name w:val="table of authorities"/>
    <w:basedOn w:val="1"/>
    <w:next w:val="1"/>
    <w:unhideWhenUsed/>
    <w:qFormat/>
    <w:uiPriority w:val="99"/>
    <w:pPr>
      <w:ind w:left="420" w:leftChars="200"/>
    </w:pPr>
  </w:style>
  <w:style w:type="paragraph" w:styleId="4">
    <w:name w:val="Body Text"/>
    <w:basedOn w:val="1"/>
    <w:next w:val="1"/>
    <w:qFormat/>
    <w:uiPriority w:val="0"/>
    <w:pPr>
      <w:adjustRightInd w:val="0"/>
      <w:spacing w:after="120" w:line="312" w:lineRule="atLeast"/>
      <w:textAlignment w:val="baseline"/>
    </w:pPr>
    <w:rPr>
      <w:kern w:val="0"/>
    </w:rPr>
  </w:style>
  <w:style w:type="paragraph" w:styleId="5">
    <w:name w:val="Body Text Indent"/>
    <w:basedOn w:val="1"/>
    <w:link w:val="22"/>
    <w:qFormat/>
    <w:uiPriority w:val="99"/>
    <w:pPr>
      <w:ind w:firstLine="600" w:firstLineChars="200"/>
    </w:pPr>
    <w:rPr>
      <w:rFonts w:eastAsia="仿宋_GB2312"/>
      <w:sz w:val="24"/>
      <w:szCs w:val="24"/>
    </w:rPr>
  </w:style>
  <w:style w:type="paragraph" w:styleId="6">
    <w:name w:val="Plain Text"/>
    <w:basedOn w:val="1"/>
    <w:qFormat/>
    <w:uiPriority w:val="99"/>
    <w:rPr>
      <w:rFonts w:ascii="宋体" w:hAnsi="Courier New"/>
      <w:kern w:val="0"/>
      <w:sz w:val="20"/>
      <w:szCs w:val="20"/>
    </w:rPr>
  </w:style>
  <w:style w:type="paragraph" w:styleId="7">
    <w:name w:val="Balloon Text"/>
    <w:basedOn w:val="1"/>
    <w:link w:val="25"/>
    <w:semiHidden/>
    <w:qFormat/>
    <w:uiPriority w:val="99"/>
    <w:rPr>
      <w:sz w:val="18"/>
      <w:szCs w:val="18"/>
    </w:rPr>
  </w:style>
  <w:style w:type="paragraph" w:styleId="8">
    <w:name w:val="footer"/>
    <w:basedOn w:val="1"/>
    <w:link w:val="17"/>
    <w:qFormat/>
    <w:uiPriority w:val="99"/>
    <w:pPr>
      <w:tabs>
        <w:tab w:val="center" w:pos="4153"/>
        <w:tab w:val="right" w:pos="8306"/>
      </w:tabs>
      <w:snapToGrid w:val="0"/>
      <w:jc w:val="left"/>
    </w:pPr>
    <w:rPr>
      <w:sz w:val="18"/>
      <w:szCs w:val="18"/>
    </w:rPr>
  </w:style>
  <w:style w:type="paragraph" w:styleId="9">
    <w:name w:val="header"/>
    <w:basedOn w:val="1"/>
    <w:link w:val="18"/>
    <w:qFormat/>
    <w:uiPriority w:val="99"/>
    <w:pPr>
      <w:pBdr>
        <w:bottom w:val="single" w:color="auto" w:sz="6" w:space="1"/>
      </w:pBdr>
      <w:tabs>
        <w:tab w:val="center" w:pos="4153"/>
        <w:tab w:val="right" w:pos="8306"/>
      </w:tabs>
      <w:snapToGrid w:val="0"/>
      <w:jc w:val="center"/>
    </w:pPr>
    <w:rPr>
      <w:sz w:val="18"/>
      <w:szCs w:val="18"/>
    </w:rPr>
  </w:style>
  <w:style w:type="paragraph" w:styleId="10">
    <w:name w:val="Body Text First Indent"/>
    <w:basedOn w:val="4"/>
    <w:next w:val="11"/>
    <w:qFormat/>
    <w:uiPriority w:val="0"/>
    <w:pPr>
      <w:spacing w:line="240" w:lineRule="auto"/>
      <w:ind w:firstLine="420" w:firstLineChars="100"/>
      <w:jc w:val="both"/>
    </w:pPr>
    <w:rPr>
      <w:rFonts w:ascii="Calibri" w:hAnsi="Calibri" w:cs="Times New Roman"/>
      <w:sz w:val="21"/>
      <w:szCs w:val="24"/>
    </w:rPr>
  </w:style>
  <w:style w:type="paragraph" w:styleId="11">
    <w:name w:val="Body Text First Indent 2"/>
    <w:qFormat/>
    <w:uiPriority w:val="0"/>
    <w:pPr>
      <w:widowControl w:val="0"/>
      <w:adjustRightInd w:val="0"/>
      <w:snapToGrid w:val="0"/>
      <w:spacing w:line="360" w:lineRule="auto"/>
      <w:ind w:left="0" w:leftChars="0" w:firstLine="420" w:firstLineChars="200"/>
      <w:jc w:val="both"/>
    </w:pPr>
    <w:rPr>
      <w:rFonts w:ascii="等线" w:hAnsi="等线" w:eastAsia="宋体" w:cs="Times New Roman"/>
      <w:kern w:val="2"/>
      <w:sz w:val="24"/>
      <w:szCs w:val="24"/>
      <w:lang w:val="en-US" w:eastAsia="zh-CN" w:bidi="ar-SA"/>
    </w:rPr>
  </w:style>
  <w:style w:type="table" w:styleId="13">
    <w:name w:val="Table Grid"/>
    <w:basedOn w:val="12"/>
    <w:semiHidden/>
    <w:unhideWhenUsed/>
    <w:qFormat/>
    <w:locked/>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basedOn w:val="14"/>
    <w:qFormat/>
    <w:uiPriority w:val="99"/>
  </w:style>
  <w:style w:type="paragraph" w:customStyle="1" w:styleId="16">
    <w:name w:val="样式 首行缩进:  2 字符"/>
    <w:basedOn w:val="1"/>
    <w:qFormat/>
    <w:uiPriority w:val="0"/>
    <w:pPr>
      <w:spacing w:line="360" w:lineRule="auto"/>
      <w:ind w:firstLine="480" w:firstLineChars="200"/>
      <w:jc w:val="left"/>
    </w:pPr>
    <w:rPr>
      <w:rFonts w:ascii="宋体" w:hAnsi="宋体" w:cs="宋体"/>
      <w:color w:val="000000"/>
      <w:sz w:val="24"/>
      <w:szCs w:val="20"/>
    </w:rPr>
  </w:style>
  <w:style w:type="character" w:customStyle="1" w:styleId="17">
    <w:name w:val="页脚 Char"/>
    <w:link w:val="8"/>
    <w:qFormat/>
    <w:locked/>
    <w:uiPriority w:val="99"/>
    <w:rPr>
      <w:kern w:val="2"/>
      <w:sz w:val="18"/>
      <w:szCs w:val="18"/>
    </w:rPr>
  </w:style>
  <w:style w:type="character" w:customStyle="1" w:styleId="18">
    <w:name w:val="页眉 Char"/>
    <w:link w:val="9"/>
    <w:semiHidden/>
    <w:qFormat/>
    <w:locked/>
    <w:uiPriority w:val="99"/>
    <w:rPr>
      <w:kern w:val="2"/>
      <w:sz w:val="18"/>
      <w:szCs w:val="18"/>
    </w:rPr>
  </w:style>
  <w:style w:type="character" w:customStyle="1" w:styleId="19">
    <w:name w:val="Footer Char1"/>
    <w:semiHidden/>
    <w:qFormat/>
    <w:uiPriority w:val="99"/>
    <w:rPr>
      <w:sz w:val="18"/>
      <w:szCs w:val="18"/>
    </w:rPr>
  </w:style>
  <w:style w:type="character" w:customStyle="1" w:styleId="20">
    <w:name w:val="Header Char1"/>
    <w:semiHidden/>
    <w:qFormat/>
    <w:uiPriority w:val="99"/>
    <w:rPr>
      <w:sz w:val="18"/>
      <w:szCs w:val="18"/>
    </w:rPr>
  </w:style>
  <w:style w:type="paragraph" w:customStyle="1" w:styleId="21">
    <w:name w:val="_Style 67"/>
    <w:basedOn w:val="1"/>
    <w:next w:val="1"/>
    <w:qFormat/>
    <w:uiPriority w:val="99"/>
    <w:pPr>
      <w:widowControl/>
      <w:spacing w:line="360" w:lineRule="auto"/>
      <w:ind w:firstLine="420" w:firstLineChars="200"/>
      <w:jc w:val="left"/>
    </w:pPr>
    <w:rPr>
      <w:rFonts w:ascii="Calibri" w:hAnsi="Calibri" w:eastAsia="微软雅黑" w:cs="Calibri"/>
      <w:sz w:val="24"/>
      <w:szCs w:val="24"/>
    </w:rPr>
  </w:style>
  <w:style w:type="character" w:customStyle="1" w:styleId="22">
    <w:name w:val="正文文本缩进 Char"/>
    <w:link w:val="5"/>
    <w:qFormat/>
    <w:locked/>
    <w:uiPriority w:val="99"/>
    <w:rPr>
      <w:rFonts w:eastAsia="仿宋_GB2312"/>
      <w:kern w:val="2"/>
      <w:sz w:val="24"/>
      <w:szCs w:val="24"/>
    </w:rPr>
  </w:style>
  <w:style w:type="character" w:customStyle="1" w:styleId="23">
    <w:name w:val="Body Text Indent Char1"/>
    <w:semiHidden/>
    <w:qFormat/>
    <w:uiPriority w:val="99"/>
    <w:rPr>
      <w:szCs w:val="21"/>
    </w:rPr>
  </w:style>
  <w:style w:type="character" w:customStyle="1" w:styleId="24">
    <w:name w:val="正文文本缩进 字符"/>
    <w:semiHidden/>
    <w:qFormat/>
    <w:uiPriority w:val="99"/>
    <w:rPr>
      <w:kern w:val="2"/>
      <w:sz w:val="24"/>
      <w:szCs w:val="24"/>
    </w:rPr>
  </w:style>
  <w:style w:type="character" w:customStyle="1" w:styleId="25">
    <w:name w:val="批注框文本 Char"/>
    <w:link w:val="7"/>
    <w:semiHidden/>
    <w:qFormat/>
    <w:locked/>
    <w:uiPriority w:val="99"/>
    <w:rPr>
      <w:kern w:val="2"/>
      <w:sz w:val="18"/>
      <w:szCs w:val="18"/>
    </w:rPr>
  </w:style>
  <w:style w:type="paragraph" w:customStyle="1" w:styleId="26">
    <w:name w:val="Table Paragraph"/>
    <w:basedOn w:val="1"/>
    <w:qFormat/>
    <w:uiPriority w:val="1"/>
    <w:rPr>
      <w:rFonts w:ascii="宋体" w:hAnsi="宋体" w:eastAsia="宋体" w:cs="宋体"/>
      <w:lang w:val="zh-CN" w:eastAsia="zh-CN" w:bidi="zh-CN"/>
    </w:rPr>
  </w:style>
  <w:style w:type="character" w:customStyle="1" w:styleId="27">
    <w:name w:val="font41"/>
    <w:basedOn w:val="14"/>
    <w:qFormat/>
    <w:uiPriority w:val="0"/>
    <w:rPr>
      <w:rFonts w:hint="eastAsia" w:ascii="宋体" w:hAnsi="宋体" w:eastAsia="宋体" w:cs="宋体"/>
      <w:color w:val="000000"/>
      <w:sz w:val="22"/>
      <w:szCs w:val="22"/>
      <w:u w:val="none"/>
    </w:rPr>
  </w:style>
  <w:style w:type="character" w:customStyle="1" w:styleId="28">
    <w:name w:val="font01"/>
    <w:basedOn w:val="14"/>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Legend (Beijing) Limited</Company>
  <Pages>2</Pages>
  <Words>823</Words>
  <Characters>1128</Characters>
  <Lines>25</Lines>
  <Paragraphs>7</Paragraphs>
  <TotalTime>2</TotalTime>
  <ScaleCrop>false</ScaleCrop>
  <LinksUpToDate>false</LinksUpToDate>
  <CharactersWithSpaces>1161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2019-12-18T07:49:00Z</dcterms:created>
  <dc:creator>Legend User</dc:creator>
  <cp:lastModifiedBy>山东精准产品质量检测有限公司</cp:lastModifiedBy>
  <cp:lastPrinted>2020-08-24T03:42:00Z</cp:lastPrinted>
  <dcterms:modified xsi:type="dcterms:W3CDTF">2022-07-05T08:43:03Z</dcterms:modified>
  <dc:title>××产品质量监督抽查实施细则</dc:title>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F563A6BB52F14DAEA412A97A99FA5BDF</vt:lpwstr>
  </property>
</Properties>
</file>